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3794" w:rsidRPr="003F75E8" w:rsidRDefault="005A3794" w:rsidP="005A3794">
      <w:pPr>
        <w:spacing w:after="0" w:line="240" w:lineRule="auto"/>
        <w:ind w:left="3969"/>
        <w:jc w:val="both"/>
        <w:rPr>
          <w:rFonts w:ascii="Arial" w:eastAsia="Calibri" w:hAnsi="Arial" w:cs="Arial"/>
          <w:b/>
        </w:rPr>
      </w:pPr>
      <w:r w:rsidRPr="003F75E8">
        <w:rPr>
          <w:rFonts w:ascii="Arial" w:eastAsia="Calibri" w:hAnsi="Arial" w:cs="Arial"/>
          <w:b/>
        </w:rPr>
        <w:t>TRIBUNAL ESTATAL DE JUSTICIA ADMINISTRATIVA</w:t>
      </w:r>
    </w:p>
    <w:p w:rsidR="005A3794" w:rsidRDefault="005A3794" w:rsidP="005A3794">
      <w:pPr>
        <w:spacing w:after="0" w:line="240" w:lineRule="auto"/>
        <w:ind w:left="3969"/>
        <w:jc w:val="both"/>
        <w:rPr>
          <w:rFonts w:ascii="Arial" w:eastAsia="Calibri" w:hAnsi="Arial" w:cs="Arial"/>
          <w:b/>
        </w:rPr>
      </w:pPr>
    </w:p>
    <w:p w:rsidR="005A3794" w:rsidRDefault="005A3794" w:rsidP="005A3794">
      <w:pPr>
        <w:spacing w:after="0" w:line="240" w:lineRule="auto"/>
        <w:ind w:left="3969"/>
        <w:jc w:val="both"/>
        <w:rPr>
          <w:rFonts w:ascii="Arial" w:eastAsia="Calibri" w:hAnsi="Arial" w:cs="Arial"/>
          <w:b/>
        </w:rPr>
      </w:pPr>
      <w:r>
        <w:rPr>
          <w:rFonts w:ascii="Arial" w:eastAsia="Calibri" w:hAnsi="Arial" w:cs="Arial"/>
          <w:b/>
        </w:rPr>
        <w:t>TERCERA SALA UNITARIA</w:t>
      </w:r>
    </w:p>
    <w:p w:rsidR="005A3794" w:rsidRPr="003F75E8" w:rsidRDefault="005A3794" w:rsidP="005A3794">
      <w:pPr>
        <w:spacing w:after="0" w:line="240" w:lineRule="auto"/>
        <w:ind w:left="3969"/>
        <w:jc w:val="both"/>
        <w:rPr>
          <w:rFonts w:ascii="Arial" w:eastAsia="Calibri" w:hAnsi="Arial" w:cs="Arial"/>
          <w:b/>
        </w:rPr>
      </w:pPr>
    </w:p>
    <w:p w:rsidR="005A3794" w:rsidRPr="003F75E8" w:rsidRDefault="005A3794" w:rsidP="005A3794">
      <w:pPr>
        <w:spacing w:after="0" w:line="240" w:lineRule="auto"/>
        <w:ind w:left="3969"/>
        <w:jc w:val="both"/>
        <w:rPr>
          <w:rFonts w:ascii="Arial" w:eastAsia="Calibri" w:hAnsi="Arial" w:cs="Arial"/>
          <w:b/>
        </w:rPr>
      </w:pPr>
      <w:r>
        <w:rPr>
          <w:rFonts w:ascii="Arial" w:eastAsia="Calibri" w:hAnsi="Arial" w:cs="Arial"/>
          <w:b/>
        </w:rPr>
        <w:t>EXPEDIENTE: 1</w:t>
      </w:r>
      <w:r w:rsidR="00E80C05">
        <w:rPr>
          <w:rFonts w:ascii="Arial" w:eastAsia="Calibri" w:hAnsi="Arial" w:cs="Arial"/>
          <w:b/>
        </w:rPr>
        <w:t>275</w:t>
      </w:r>
      <w:r w:rsidRPr="003F75E8">
        <w:rPr>
          <w:rFonts w:ascii="Arial" w:eastAsia="Calibri" w:hAnsi="Arial" w:cs="Arial"/>
          <w:b/>
        </w:rPr>
        <w:t>/202</w:t>
      </w:r>
      <w:r>
        <w:rPr>
          <w:rFonts w:ascii="Arial" w:eastAsia="Calibri" w:hAnsi="Arial" w:cs="Arial"/>
          <w:b/>
        </w:rPr>
        <w:t>4</w:t>
      </w:r>
      <w:r w:rsidRPr="003F75E8">
        <w:rPr>
          <w:rFonts w:ascii="Arial" w:eastAsia="Calibri" w:hAnsi="Arial" w:cs="Arial"/>
          <w:b/>
        </w:rPr>
        <w:t>-</w:t>
      </w:r>
      <w:r>
        <w:rPr>
          <w:rFonts w:ascii="Arial" w:eastAsia="Calibri" w:hAnsi="Arial" w:cs="Arial"/>
          <w:b/>
        </w:rPr>
        <w:t>3</w:t>
      </w:r>
    </w:p>
    <w:p w:rsidR="005A3794" w:rsidRPr="003F75E8" w:rsidRDefault="005A3794" w:rsidP="005A3794">
      <w:pPr>
        <w:spacing w:after="0" w:line="240" w:lineRule="auto"/>
        <w:ind w:left="3969"/>
        <w:jc w:val="both"/>
        <w:rPr>
          <w:rFonts w:ascii="Arial" w:eastAsia="Calibri" w:hAnsi="Arial" w:cs="Arial"/>
          <w:b/>
        </w:rPr>
      </w:pPr>
    </w:p>
    <w:p w:rsidR="005A3794" w:rsidRPr="003F75E8" w:rsidRDefault="005A3794" w:rsidP="005A3794">
      <w:pPr>
        <w:spacing w:after="0" w:line="240" w:lineRule="auto"/>
        <w:ind w:left="3969"/>
        <w:jc w:val="both"/>
        <w:rPr>
          <w:rFonts w:ascii="Arial" w:eastAsia="Calibri" w:hAnsi="Arial" w:cs="Arial"/>
          <w:b/>
        </w:rPr>
      </w:pPr>
      <w:r w:rsidRPr="003F75E8">
        <w:rPr>
          <w:rFonts w:ascii="Arial" w:eastAsia="Calibri" w:hAnsi="Arial" w:cs="Arial"/>
          <w:b/>
        </w:rPr>
        <w:t xml:space="preserve">ACTOR: </w:t>
      </w:r>
    </w:p>
    <w:p w:rsidR="008D704E" w:rsidRPr="003F75E8" w:rsidRDefault="009A4B62" w:rsidP="005A3794">
      <w:pPr>
        <w:spacing w:after="0" w:line="240" w:lineRule="auto"/>
        <w:ind w:left="3969"/>
        <w:jc w:val="both"/>
        <w:rPr>
          <w:rFonts w:ascii="Arial" w:eastAsia="Calibri" w:hAnsi="Arial" w:cs="Arial"/>
        </w:rPr>
      </w:pPr>
      <w:r>
        <w:rPr>
          <w:rFonts w:ascii="Arial" w:eastAsia="Calibri" w:hAnsi="Arial" w:cs="Arial"/>
          <w:b/>
          <w:color w:val="FF0000"/>
        </w:rPr>
        <w:t>*********</w:t>
      </w:r>
    </w:p>
    <w:p w:rsidR="005A3794" w:rsidRPr="003F75E8" w:rsidRDefault="005A3794" w:rsidP="005A3794">
      <w:pPr>
        <w:spacing w:after="0" w:line="240" w:lineRule="auto"/>
        <w:ind w:left="3969"/>
        <w:jc w:val="both"/>
        <w:rPr>
          <w:rFonts w:ascii="Arial" w:eastAsia="Calibri" w:hAnsi="Arial" w:cs="Arial"/>
          <w:b/>
        </w:rPr>
      </w:pPr>
      <w:r w:rsidRPr="003F75E8">
        <w:rPr>
          <w:rFonts w:ascii="Arial" w:eastAsia="Calibri" w:hAnsi="Arial" w:cs="Arial"/>
          <w:b/>
        </w:rPr>
        <w:t>MAGISTRADO:</w:t>
      </w:r>
    </w:p>
    <w:p w:rsidR="005A3794" w:rsidRPr="003F75E8" w:rsidRDefault="005A3794" w:rsidP="005A3794">
      <w:pPr>
        <w:spacing w:after="0" w:line="240" w:lineRule="auto"/>
        <w:ind w:left="3969"/>
        <w:jc w:val="both"/>
        <w:rPr>
          <w:rFonts w:ascii="Arial" w:eastAsia="Calibri" w:hAnsi="Arial" w:cs="Arial"/>
        </w:rPr>
      </w:pPr>
      <w:r w:rsidRPr="003F75E8">
        <w:rPr>
          <w:rFonts w:ascii="Arial" w:eastAsia="Calibri" w:hAnsi="Arial" w:cs="Arial"/>
        </w:rPr>
        <w:t>LICENCIADO JORGE ALEJANDRO VERA NOYOLA.</w:t>
      </w:r>
    </w:p>
    <w:p w:rsidR="005A3794" w:rsidRPr="003F75E8" w:rsidRDefault="005A3794" w:rsidP="005A3794">
      <w:pPr>
        <w:spacing w:after="0" w:line="240" w:lineRule="auto"/>
        <w:ind w:left="3969"/>
        <w:jc w:val="both"/>
        <w:rPr>
          <w:rFonts w:ascii="Arial" w:eastAsia="Arial Unicode MS" w:hAnsi="Arial" w:cs="Arial"/>
          <w:b/>
        </w:rPr>
      </w:pPr>
    </w:p>
    <w:p w:rsidR="005A3794" w:rsidRPr="003F75E8" w:rsidRDefault="005A3794" w:rsidP="005A3794">
      <w:pPr>
        <w:spacing w:after="0" w:line="240" w:lineRule="auto"/>
        <w:ind w:left="3969"/>
        <w:jc w:val="both"/>
        <w:rPr>
          <w:rFonts w:ascii="Arial" w:eastAsia="Arial Unicode MS" w:hAnsi="Arial" w:cs="Arial"/>
          <w:b/>
        </w:rPr>
      </w:pPr>
      <w:r w:rsidRPr="003F75E8">
        <w:rPr>
          <w:rFonts w:ascii="Arial" w:eastAsia="Arial Unicode MS" w:hAnsi="Arial" w:cs="Arial"/>
          <w:b/>
        </w:rPr>
        <w:t>SECRETARIO DE ESTUDIO Y CUENTA:</w:t>
      </w:r>
    </w:p>
    <w:p w:rsidR="005A3794" w:rsidRDefault="005A3794" w:rsidP="005A3794">
      <w:pPr>
        <w:spacing w:after="0" w:line="240" w:lineRule="auto"/>
        <w:ind w:left="3969"/>
        <w:jc w:val="both"/>
        <w:rPr>
          <w:rFonts w:ascii="Arial" w:eastAsia="Arial Unicode MS" w:hAnsi="Arial" w:cs="Arial"/>
        </w:rPr>
      </w:pPr>
      <w:r w:rsidRPr="003F75E8">
        <w:rPr>
          <w:rFonts w:ascii="Arial" w:eastAsia="Arial Unicode MS" w:hAnsi="Arial" w:cs="Arial"/>
        </w:rPr>
        <w:t xml:space="preserve">LICENCIADA </w:t>
      </w:r>
      <w:r>
        <w:rPr>
          <w:rFonts w:ascii="Arial" w:eastAsia="Arial Unicode MS" w:hAnsi="Arial" w:cs="Arial"/>
        </w:rPr>
        <w:t>DIANA CAROLINA MONTELONGO ORTIZ</w:t>
      </w:r>
    </w:p>
    <w:p w:rsidR="005A3794" w:rsidRPr="003326D3" w:rsidRDefault="005A3794" w:rsidP="005A3794">
      <w:pPr>
        <w:spacing w:after="0" w:line="360" w:lineRule="auto"/>
        <w:ind w:firstLine="708"/>
        <w:jc w:val="both"/>
        <w:rPr>
          <w:rFonts w:ascii="Arial Narrow" w:eastAsia="Calibri" w:hAnsi="Arial Narrow" w:cs="Arial"/>
          <w:sz w:val="28"/>
          <w:szCs w:val="28"/>
        </w:rPr>
      </w:pPr>
    </w:p>
    <w:p w:rsidR="005A3794" w:rsidRPr="004D3322" w:rsidRDefault="005A3794" w:rsidP="005A3794">
      <w:pPr>
        <w:spacing w:after="0" w:line="360" w:lineRule="auto"/>
        <w:ind w:firstLine="708"/>
        <w:jc w:val="both"/>
        <w:rPr>
          <w:rFonts w:ascii="Arial" w:eastAsia="Calibri" w:hAnsi="Arial" w:cs="Arial"/>
          <w:sz w:val="26"/>
          <w:szCs w:val="26"/>
        </w:rPr>
      </w:pPr>
      <w:r w:rsidRPr="004D3322">
        <w:rPr>
          <w:rFonts w:ascii="Arial" w:eastAsia="Calibri" w:hAnsi="Arial" w:cs="Arial"/>
          <w:sz w:val="26"/>
          <w:szCs w:val="26"/>
        </w:rPr>
        <w:t xml:space="preserve">San Luis Potosí, S.L.P., a </w:t>
      </w:r>
      <w:r w:rsidR="008D704E" w:rsidRPr="004D3322">
        <w:rPr>
          <w:rFonts w:ascii="Arial" w:eastAsia="Calibri" w:hAnsi="Arial" w:cs="Arial"/>
          <w:sz w:val="26"/>
          <w:szCs w:val="26"/>
        </w:rPr>
        <w:t>once de marzo de dos mil veintiséis</w:t>
      </w:r>
      <w:r w:rsidRPr="004D3322">
        <w:rPr>
          <w:rFonts w:ascii="Arial" w:eastAsia="Calibri" w:hAnsi="Arial" w:cs="Arial"/>
          <w:sz w:val="26"/>
          <w:szCs w:val="26"/>
        </w:rPr>
        <w:t>.</w:t>
      </w:r>
    </w:p>
    <w:p w:rsidR="005A3794" w:rsidRPr="004D3322" w:rsidRDefault="005A3794" w:rsidP="005A3794">
      <w:pPr>
        <w:spacing w:after="0" w:line="360" w:lineRule="auto"/>
        <w:ind w:firstLine="708"/>
        <w:jc w:val="both"/>
        <w:rPr>
          <w:rFonts w:ascii="Arial" w:eastAsia="Calibri" w:hAnsi="Arial" w:cs="Arial"/>
          <w:sz w:val="26"/>
          <w:szCs w:val="26"/>
        </w:rPr>
      </w:pPr>
    </w:p>
    <w:p w:rsidR="005A3794" w:rsidRPr="004D3322" w:rsidRDefault="005A3794" w:rsidP="008D704E">
      <w:pPr>
        <w:spacing w:after="0" w:line="360" w:lineRule="auto"/>
        <w:ind w:firstLine="708"/>
        <w:jc w:val="both"/>
        <w:rPr>
          <w:rFonts w:ascii="Arial" w:eastAsia="Calibri" w:hAnsi="Arial" w:cs="Arial"/>
          <w:color w:val="000000"/>
          <w:sz w:val="26"/>
          <w:szCs w:val="26"/>
        </w:rPr>
      </w:pPr>
      <w:r w:rsidRPr="004D3322">
        <w:rPr>
          <w:rFonts w:ascii="Arial" w:eastAsia="Calibri" w:hAnsi="Arial" w:cs="Arial"/>
          <w:b/>
          <w:sz w:val="26"/>
          <w:szCs w:val="26"/>
        </w:rPr>
        <w:t xml:space="preserve">V I S T O S </w:t>
      </w:r>
      <w:r w:rsidRPr="004D3322">
        <w:rPr>
          <w:rFonts w:ascii="Arial" w:eastAsia="Calibri" w:hAnsi="Arial" w:cs="Arial"/>
          <w:sz w:val="26"/>
          <w:szCs w:val="26"/>
        </w:rPr>
        <w:t xml:space="preserve">para resolver en definitiva los autos del juicio contencioso administrativo número </w:t>
      </w:r>
      <w:r w:rsidRPr="004D3322">
        <w:rPr>
          <w:rFonts w:ascii="Arial" w:eastAsia="Calibri" w:hAnsi="Arial" w:cs="Arial"/>
          <w:b/>
          <w:sz w:val="26"/>
          <w:szCs w:val="26"/>
        </w:rPr>
        <w:t>1</w:t>
      </w:r>
      <w:r w:rsidR="008D704E" w:rsidRPr="004D3322">
        <w:rPr>
          <w:rFonts w:ascii="Arial" w:eastAsia="Calibri" w:hAnsi="Arial" w:cs="Arial"/>
          <w:b/>
          <w:sz w:val="26"/>
          <w:szCs w:val="26"/>
        </w:rPr>
        <w:t>275</w:t>
      </w:r>
      <w:r w:rsidRPr="004D3322">
        <w:rPr>
          <w:rFonts w:ascii="Arial" w:eastAsia="Calibri" w:hAnsi="Arial" w:cs="Arial"/>
          <w:b/>
          <w:sz w:val="26"/>
          <w:szCs w:val="26"/>
        </w:rPr>
        <w:t xml:space="preserve">/2024-3, </w:t>
      </w:r>
      <w:r w:rsidRPr="004D3322">
        <w:rPr>
          <w:rFonts w:ascii="Arial" w:eastAsia="Calibri" w:hAnsi="Arial" w:cs="Arial"/>
          <w:sz w:val="26"/>
          <w:szCs w:val="26"/>
        </w:rPr>
        <w:t xml:space="preserve">promovido por </w:t>
      </w:r>
      <w:r w:rsidR="009A4B62">
        <w:rPr>
          <w:rFonts w:ascii="Arial" w:eastAsia="Calibri" w:hAnsi="Arial" w:cs="Arial"/>
          <w:b/>
          <w:color w:val="FF0000"/>
          <w:sz w:val="26"/>
          <w:szCs w:val="26"/>
        </w:rPr>
        <w:t>*********</w:t>
      </w:r>
      <w:proofErr w:type="gramStart"/>
      <w:r w:rsidRPr="004D3322">
        <w:rPr>
          <w:rFonts w:ascii="Arial" w:eastAsia="Calibri" w:hAnsi="Arial" w:cs="Arial"/>
          <w:sz w:val="26"/>
          <w:szCs w:val="26"/>
        </w:rPr>
        <w:t>,</w:t>
      </w:r>
      <w:r w:rsidR="009A4B62">
        <w:rPr>
          <w:rFonts w:ascii="Arial" w:eastAsia="Arial Unicode MS" w:hAnsi="Arial" w:cs="Arial"/>
          <w:b/>
          <w:color w:val="FF0000"/>
          <w:sz w:val="26"/>
          <w:szCs w:val="26"/>
        </w:rPr>
        <w:t>*</w:t>
      </w:r>
      <w:proofErr w:type="gramEnd"/>
      <w:r w:rsidR="009A4B62">
        <w:rPr>
          <w:rFonts w:ascii="Arial" w:eastAsia="Arial Unicode MS" w:hAnsi="Arial" w:cs="Arial"/>
          <w:b/>
          <w:color w:val="FF0000"/>
          <w:sz w:val="26"/>
          <w:szCs w:val="26"/>
        </w:rPr>
        <w:t>********</w:t>
      </w:r>
      <w:r w:rsidRPr="004D3322">
        <w:rPr>
          <w:rFonts w:ascii="Arial" w:eastAsia="Arial Unicode MS" w:hAnsi="Arial" w:cs="Arial"/>
          <w:sz w:val="26"/>
          <w:szCs w:val="26"/>
        </w:rPr>
        <w:t>contra actos de</w:t>
      </w:r>
      <w:r w:rsidR="008D704E" w:rsidRPr="004D3322">
        <w:rPr>
          <w:rFonts w:ascii="Arial" w:eastAsia="Arial Unicode MS" w:hAnsi="Arial" w:cs="Arial"/>
          <w:sz w:val="26"/>
          <w:szCs w:val="26"/>
        </w:rPr>
        <w:t xml:space="preserve"> la </w:t>
      </w:r>
      <w:r w:rsidR="008D704E" w:rsidRPr="004D3322">
        <w:rPr>
          <w:rFonts w:ascii="Arial" w:eastAsia="Arial Unicode MS" w:hAnsi="Arial" w:cs="Arial"/>
          <w:b/>
          <w:sz w:val="26"/>
          <w:szCs w:val="26"/>
        </w:rPr>
        <w:t>DIRECCION DE RECAUDACION Y POLITICA FISCAL DE LA SECRETARIA DE FINANZAS DE GOBIERNO DEL ESTADO</w:t>
      </w:r>
      <w:r w:rsidRPr="004D3322">
        <w:rPr>
          <w:rFonts w:ascii="Arial" w:eastAsia="Arial Unicode MS" w:hAnsi="Arial" w:cs="Arial"/>
          <w:b/>
          <w:sz w:val="26"/>
          <w:szCs w:val="26"/>
        </w:rPr>
        <w:t>;</w:t>
      </w:r>
      <w:r w:rsidRPr="004D3322">
        <w:rPr>
          <w:rFonts w:ascii="Arial" w:eastAsia="Calibri" w:hAnsi="Arial" w:cs="Arial"/>
          <w:color w:val="000000"/>
          <w:sz w:val="26"/>
          <w:szCs w:val="26"/>
        </w:rPr>
        <w:t xml:space="preserve"> y,</w:t>
      </w:r>
    </w:p>
    <w:p w:rsidR="005A3794" w:rsidRPr="004D3322" w:rsidRDefault="005A3794" w:rsidP="005A3794">
      <w:pPr>
        <w:spacing w:after="0" w:line="360" w:lineRule="auto"/>
        <w:jc w:val="center"/>
        <w:rPr>
          <w:rFonts w:ascii="Arial" w:eastAsia="Arial Unicode MS" w:hAnsi="Arial" w:cs="Arial"/>
          <w:b/>
          <w:sz w:val="26"/>
          <w:szCs w:val="26"/>
        </w:rPr>
      </w:pPr>
    </w:p>
    <w:p w:rsidR="005A3794" w:rsidRPr="004D3322" w:rsidRDefault="005A3794" w:rsidP="005A3794">
      <w:pPr>
        <w:spacing w:after="0" w:line="360" w:lineRule="auto"/>
        <w:jc w:val="center"/>
        <w:rPr>
          <w:rFonts w:ascii="Arial" w:eastAsia="Arial Unicode MS" w:hAnsi="Arial" w:cs="Arial"/>
          <w:b/>
          <w:sz w:val="26"/>
          <w:szCs w:val="26"/>
        </w:rPr>
      </w:pPr>
      <w:r w:rsidRPr="004D3322">
        <w:rPr>
          <w:rFonts w:ascii="Arial" w:eastAsia="Arial Unicode MS" w:hAnsi="Arial" w:cs="Arial"/>
          <w:b/>
          <w:sz w:val="26"/>
          <w:szCs w:val="26"/>
        </w:rPr>
        <w:t>R E S U L T A N D O</w:t>
      </w:r>
    </w:p>
    <w:p w:rsidR="005A3794" w:rsidRPr="004D3322" w:rsidRDefault="005A3794" w:rsidP="005A3794">
      <w:pPr>
        <w:spacing w:after="0" w:line="360" w:lineRule="auto"/>
        <w:ind w:firstLine="709"/>
        <w:jc w:val="both"/>
        <w:rPr>
          <w:rFonts w:ascii="Arial" w:eastAsia="Arial Unicode MS" w:hAnsi="Arial" w:cs="Arial"/>
          <w:b/>
          <w:sz w:val="26"/>
          <w:szCs w:val="26"/>
        </w:rPr>
      </w:pPr>
    </w:p>
    <w:p w:rsidR="005A3794" w:rsidRPr="004D3322" w:rsidRDefault="005A3794" w:rsidP="005A3794">
      <w:pPr>
        <w:spacing w:after="0" w:line="360" w:lineRule="auto"/>
        <w:ind w:firstLine="709"/>
        <w:jc w:val="both"/>
        <w:rPr>
          <w:rFonts w:ascii="Arial" w:eastAsia="Arial Unicode MS" w:hAnsi="Arial" w:cs="Arial"/>
          <w:sz w:val="26"/>
          <w:szCs w:val="26"/>
        </w:rPr>
      </w:pPr>
      <w:r w:rsidRPr="004D3322">
        <w:rPr>
          <w:rFonts w:ascii="Arial" w:eastAsia="Calibri" w:hAnsi="Arial" w:cs="Arial"/>
          <w:b/>
          <w:sz w:val="26"/>
          <w:szCs w:val="26"/>
        </w:rPr>
        <w:t>I.-</w:t>
      </w:r>
      <w:r w:rsidRPr="004D3322">
        <w:rPr>
          <w:rFonts w:ascii="Arial" w:eastAsia="Calibri" w:hAnsi="Arial" w:cs="Arial"/>
          <w:sz w:val="26"/>
          <w:szCs w:val="26"/>
        </w:rPr>
        <w:t xml:space="preserve"> </w:t>
      </w:r>
      <w:r w:rsidRPr="004D3322">
        <w:rPr>
          <w:rFonts w:ascii="Arial" w:eastAsia="Calibri" w:hAnsi="Arial" w:cs="Arial"/>
          <w:sz w:val="26"/>
          <w:szCs w:val="26"/>
          <w:lang w:val="es-ES"/>
        </w:rPr>
        <w:t xml:space="preserve">Por escrito recibido en este Tribunal con fecha </w:t>
      </w:r>
      <w:r w:rsidR="00C00419" w:rsidRPr="004D3322">
        <w:rPr>
          <w:rFonts w:ascii="Arial" w:eastAsia="Calibri" w:hAnsi="Arial" w:cs="Arial"/>
          <w:sz w:val="26"/>
          <w:szCs w:val="26"/>
          <w:lang w:val="es-ES"/>
        </w:rPr>
        <w:t>once de noviembre de dos mil veinticinco</w:t>
      </w:r>
      <w:r w:rsidRPr="004D3322">
        <w:rPr>
          <w:rFonts w:ascii="Arial" w:eastAsia="Calibri" w:hAnsi="Arial" w:cs="Arial"/>
          <w:sz w:val="26"/>
          <w:szCs w:val="26"/>
          <w:lang w:val="es-ES"/>
        </w:rPr>
        <w:t xml:space="preserve">, compareció </w:t>
      </w:r>
      <w:r w:rsidR="009A4B62">
        <w:rPr>
          <w:rFonts w:ascii="Arial" w:eastAsia="Calibri" w:hAnsi="Arial" w:cs="Arial"/>
          <w:color w:val="FF0000"/>
          <w:sz w:val="26"/>
          <w:szCs w:val="26"/>
          <w:lang w:val="es-ES"/>
        </w:rPr>
        <w:t>*********</w:t>
      </w:r>
      <w:r w:rsidRPr="004D3322">
        <w:rPr>
          <w:rFonts w:ascii="Arial" w:eastAsia="Calibri" w:hAnsi="Arial" w:cs="Arial"/>
          <w:sz w:val="26"/>
          <w:szCs w:val="26"/>
          <w:lang w:val="es-ES"/>
        </w:rPr>
        <w:t xml:space="preserve">, </w:t>
      </w:r>
      <w:r w:rsidRPr="004D3322">
        <w:rPr>
          <w:rFonts w:ascii="Arial" w:eastAsia="Arial Unicode MS" w:hAnsi="Arial" w:cs="Arial"/>
          <w:bCs/>
          <w:color w:val="000000"/>
          <w:sz w:val="26"/>
          <w:szCs w:val="26"/>
        </w:rPr>
        <w:t>a demandar de la</w:t>
      </w:r>
      <w:r w:rsidR="00C00419" w:rsidRPr="004D3322">
        <w:rPr>
          <w:rFonts w:ascii="Arial" w:eastAsia="Arial Unicode MS" w:hAnsi="Arial" w:cs="Arial"/>
          <w:bCs/>
          <w:color w:val="000000"/>
          <w:sz w:val="26"/>
          <w:szCs w:val="26"/>
        </w:rPr>
        <w:t xml:space="preserve"> autoridad demandada Dirección de Recaudación y Política Fiscal de la Secretaría de Finanzas de Gobierno del Estado, por la nulidad de la resolución que determina obligaciones fiscales omitidas y/o con inconsistencias en materia del Impuesto sobre erogaciones por Remuneraciones al Trabajo Personal, identificada con el número de control SP250801128001703, de fecha siete de agosto de dos mil veinticinco, que determina la cantidad de $2,597.00 pesos</w:t>
      </w:r>
      <w:r w:rsidRPr="004D3322">
        <w:rPr>
          <w:rFonts w:ascii="Arial" w:eastAsia="Arial Unicode MS" w:hAnsi="Arial" w:cs="Arial"/>
          <w:sz w:val="26"/>
          <w:szCs w:val="26"/>
        </w:rPr>
        <w:t>.</w:t>
      </w:r>
    </w:p>
    <w:p w:rsidR="005A3794" w:rsidRPr="004D3322" w:rsidRDefault="005A3794" w:rsidP="005A3794">
      <w:pPr>
        <w:spacing w:after="0" w:line="360" w:lineRule="auto"/>
        <w:ind w:firstLine="709"/>
        <w:jc w:val="both"/>
        <w:rPr>
          <w:rFonts w:ascii="Arial" w:eastAsia="Arial Unicode MS" w:hAnsi="Arial" w:cs="Arial"/>
          <w:i/>
          <w:sz w:val="26"/>
          <w:szCs w:val="26"/>
        </w:rPr>
      </w:pPr>
    </w:p>
    <w:p w:rsidR="005A3794" w:rsidRPr="004D3322" w:rsidRDefault="005A3794" w:rsidP="00C00419">
      <w:pPr>
        <w:spacing w:after="0" w:line="360" w:lineRule="auto"/>
        <w:ind w:firstLine="709"/>
        <w:jc w:val="both"/>
        <w:rPr>
          <w:rFonts w:ascii="Arial" w:eastAsia="Calibri" w:hAnsi="Arial" w:cs="Arial"/>
          <w:sz w:val="26"/>
          <w:szCs w:val="26"/>
          <w:lang w:val="es-ES_tradnl"/>
        </w:rPr>
      </w:pPr>
      <w:r w:rsidRPr="004D3322">
        <w:rPr>
          <w:rFonts w:ascii="Arial" w:eastAsia="Calibri" w:hAnsi="Arial" w:cs="Arial"/>
          <w:b/>
          <w:sz w:val="26"/>
          <w:szCs w:val="26"/>
        </w:rPr>
        <w:t>II.-</w:t>
      </w:r>
      <w:r w:rsidRPr="004D3322">
        <w:rPr>
          <w:rFonts w:ascii="Arial" w:eastAsia="Calibri" w:hAnsi="Arial" w:cs="Arial"/>
          <w:sz w:val="26"/>
          <w:szCs w:val="26"/>
        </w:rPr>
        <w:t xml:space="preserve"> Por auto de fecha </w:t>
      </w:r>
      <w:r w:rsidR="00C00419" w:rsidRPr="004D3322">
        <w:rPr>
          <w:rFonts w:ascii="Arial" w:eastAsia="Calibri" w:hAnsi="Arial" w:cs="Arial"/>
          <w:sz w:val="26"/>
          <w:szCs w:val="26"/>
        </w:rPr>
        <w:t>veinte de</w:t>
      </w:r>
      <w:r w:rsidRPr="004D3322">
        <w:rPr>
          <w:rFonts w:ascii="Arial" w:eastAsia="Calibri" w:hAnsi="Arial" w:cs="Arial"/>
          <w:sz w:val="26"/>
          <w:szCs w:val="26"/>
        </w:rPr>
        <w:t xml:space="preserve"> noviembre de dos mil veintic</w:t>
      </w:r>
      <w:r w:rsidR="00C00419" w:rsidRPr="004D3322">
        <w:rPr>
          <w:rFonts w:ascii="Arial" w:eastAsia="Calibri" w:hAnsi="Arial" w:cs="Arial"/>
          <w:sz w:val="26"/>
          <w:szCs w:val="26"/>
        </w:rPr>
        <w:t>inco</w:t>
      </w:r>
      <w:r w:rsidRPr="004D3322">
        <w:rPr>
          <w:rFonts w:ascii="Arial" w:eastAsia="Calibri" w:hAnsi="Arial" w:cs="Arial"/>
          <w:sz w:val="26"/>
          <w:szCs w:val="26"/>
        </w:rPr>
        <w:t xml:space="preserve">, se </w:t>
      </w:r>
      <w:r w:rsidR="00C00419" w:rsidRPr="004D3322">
        <w:rPr>
          <w:rFonts w:ascii="Arial" w:eastAsia="Calibri" w:hAnsi="Arial" w:cs="Arial"/>
          <w:sz w:val="26"/>
          <w:szCs w:val="26"/>
        </w:rPr>
        <w:t>admitió a trámite la demanda, por lo que se ordenó correr traslado a la autoridad demandada</w:t>
      </w:r>
      <w:r w:rsidRPr="004D3322">
        <w:rPr>
          <w:rFonts w:ascii="Arial" w:eastAsia="Calibri" w:hAnsi="Arial" w:cs="Arial"/>
          <w:sz w:val="26"/>
          <w:szCs w:val="26"/>
        </w:rPr>
        <w:t xml:space="preserve">, para que </w:t>
      </w:r>
      <w:r w:rsidRPr="004D3322">
        <w:rPr>
          <w:rFonts w:ascii="Arial" w:eastAsia="Calibri" w:hAnsi="Arial" w:cs="Arial"/>
          <w:sz w:val="26"/>
          <w:szCs w:val="26"/>
          <w:lang w:val="es-ES_tradnl"/>
        </w:rPr>
        <w:t>contestara dentro del término legal lo que a su interés conviniera.</w:t>
      </w:r>
    </w:p>
    <w:p w:rsidR="005A3794" w:rsidRPr="004D3322" w:rsidRDefault="005A3794" w:rsidP="005A3794">
      <w:pPr>
        <w:spacing w:after="0" w:line="360" w:lineRule="auto"/>
        <w:ind w:firstLine="709"/>
        <w:jc w:val="both"/>
        <w:rPr>
          <w:rFonts w:ascii="Arial" w:eastAsia="Calibri" w:hAnsi="Arial" w:cs="Arial"/>
          <w:sz w:val="26"/>
          <w:szCs w:val="26"/>
          <w:lang w:val="es-ES_tradnl"/>
        </w:rPr>
      </w:pPr>
    </w:p>
    <w:p w:rsidR="005A3794" w:rsidRPr="004D3322" w:rsidRDefault="005A3794" w:rsidP="005A3794">
      <w:pPr>
        <w:spacing w:after="0" w:line="360" w:lineRule="auto"/>
        <w:ind w:firstLine="709"/>
        <w:jc w:val="both"/>
        <w:rPr>
          <w:rFonts w:ascii="Arial" w:eastAsia="Calibri" w:hAnsi="Arial" w:cs="Arial"/>
          <w:sz w:val="26"/>
          <w:szCs w:val="26"/>
        </w:rPr>
      </w:pPr>
      <w:r w:rsidRPr="004D3322">
        <w:rPr>
          <w:rFonts w:ascii="Arial" w:eastAsia="Calibri" w:hAnsi="Arial" w:cs="Arial"/>
          <w:b/>
          <w:sz w:val="26"/>
          <w:szCs w:val="26"/>
          <w:lang w:val="es-ES_tradnl"/>
        </w:rPr>
        <w:lastRenderedPageBreak/>
        <w:t xml:space="preserve">III.- </w:t>
      </w:r>
      <w:r w:rsidRPr="004D3322">
        <w:rPr>
          <w:rFonts w:ascii="Arial" w:eastAsia="Calibri" w:hAnsi="Arial" w:cs="Arial"/>
          <w:sz w:val="26"/>
          <w:szCs w:val="26"/>
          <w:lang w:val="es-ES_tradnl"/>
        </w:rPr>
        <w:t>P</w:t>
      </w:r>
      <w:proofErr w:type="spellStart"/>
      <w:r w:rsidRPr="004D3322">
        <w:rPr>
          <w:rFonts w:ascii="Arial" w:eastAsia="Calibri" w:hAnsi="Arial" w:cs="Arial"/>
          <w:sz w:val="26"/>
          <w:szCs w:val="26"/>
        </w:rPr>
        <w:t>or</w:t>
      </w:r>
      <w:proofErr w:type="spellEnd"/>
      <w:r w:rsidRPr="004D3322">
        <w:rPr>
          <w:rFonts w:ascii="Arial" w:eastAsia="Calibri" w:hAnsi="Arial" w:cs="Arial"/>
          <w:sz w:val="26"/>
          <w:szCs w:val="26"/>
        </w:rPr>
        <w:t xml:space="preserve"> proveído de fecha </w:t>
      </w:r>
      <w:r w:rsidR="00C00419" w:rsidRPr="004D3322">
        <w:rPr>
          <w:rFonts w:ascii="Arial" w:eastAsia="Calibri" w:hAnsi="Arial" w:cs="Arial"/>
          <w:sz w:val="26"/>
          <w:szCs w:val="26"/>
        </w:rPr>
        <w:t>veintiséis de enero de dos mil veintiséis</w:t>
      </w:r>
      <w:r w:rsidRPr="004D3322">
        <w:rPr>
          <w:rFonts w:ascii="Arial" w:eastAsia="Calibri" w:hAnsi="Arial" w:cs="Arial"/>
          <w:sz w:val="26"/>
          <w:szCs w:val="26"/>
          <w:lang w:val="es-ES_tradnl"/>
        </w:rPr>
        <w:t>, se tuvo al Procurador Fiscal de la Secretaría de Finanzas del Estado, por contestada la demanda, por lo que se ordenó correr traslado a la parte actora con copia del escrito de contestación para que manifestara lo que a su derecho correspondiera y se admitieron las pruebas ofrecidas por las partes</w:t>
      </w:r>
      <w:r w:rsidRPr="004D3322">
        <w:rPr>
          <w:rFonts w:ascii="Arial" w:eastAsia="Calibri" w:hAnsi="Arial" w:cs="Arial"/>
          <w:sz w:val="26"/>
          <w:szCs w:val="26"/>
        </w:rPr>
        <w:t>.</w:t>
      </w:r>
    </w:p>
    <w:p w:rsidR="005A3794" w:rsidRPr="004D3322" w:rsidRDefault="005A3794" w:rsidP="005A3794">
      <w:pPr>
        <w:spacing w:after="0" w:line="360" w:lineRule="auto"/>
        <w:ind w:firstLine="709"/>
        <w:jc w:val="both"/>
        <w:rPr>
          <w:rFonts w:ascii="Arial" w:eastAsia="Calibri" w:hAnsi="Arial" w:cs="Arial"/>
          <w:sz w:val="26"/>
          <w:szCs w:val="26"/>
        </w:rPr>
      </w:pPr>
    </w:p>
    <w:p w:rsidR="005A3794" w:rsidRPr="004D3322" w:rsidRDefault="005A3794" w:rsidP="005A3794">
      <w:pPr>
        <w:spacing w:after="0" w:line="360" w:lineRule="auto"/>
        <w:ind w:firstLine="709"/>
        <w:jc w:val="both"/>
        <w:rPr>
          <w:rFonts w:ascii="Arial" w:eastAsia="Arial Unicode MS" w:hAnsi="Arial" w:cs="Arial"/>
          <w:sz w:val="26"/>
          <w:szCs w:val="26"/>
        </w:rPr>
      </w:pPr>
      <w:r w:rsidRPr="004D3322">
        <w:rPr>
          <w:rFonts w:ascii="Arial" w:eastAsia="Calibri" w:hAnsi="Arial" w:cs="Arial"/>
          <w:b/>
          <w:sz w:val="26"/>
          <w:szCs w:val="26"/>
        </w:rPr>
        <w:t>IV.-</w:t>
      </w:r>
      <w:r w:rsidRPr="004D3322">
        <w:rPr>
          <w:rFonts w:ascii="Arial" w:eastAsia="Calibri" w:hAnsi="Arial" w:cs="Arial"/>
          <w:sz w:val="26"/>
          <w:szCs w:val="26"/>
        </w:rPr>
        <w:t xml:space="preserve">  Con fecha </w:t>
      </w:r>
      <w:r w:rsidR="00C00419" w:rsidRPr="004D3322">
        <w:rPr>
          <w:rFonts w:ascii="Arial" w:eastAsia="Calibri" w:hAnsi="Arial" w:cs="Arial"/>
          <w:sz w:val="26"/>
          <w:szCs w:val="26"/>
        </w:rPr>
        <w:t>dieciocho de febrero de dos mil veintiséis</w:t>
      </w:r>
      <w:r w:rsidRPr="004D3322">
        <w:rPr>
          <w:rFonts w:ascii="Arial" w:eastAsia="Calibri" w:hAnsi="Arial" w:cs="Arial"/>
          <w:sz w:val="26"/>
          <w:szCs w:val="26"/>
        </w:rPr>
        <w:t xml:space="preserve">, </w:t>
      </w:r>
      <w:r w:rsidRPr="004D3322">
        <w:rPr>
          <w:rFonts w:ascii="Arial" w:eastAsia="Calibri" w:hAnsi="Arial" w:cs="Arial"/>
          <w:sz w:val="26"/>
          <w:szCs w:val="26"/>
          <w:lang w:val="es-ES_tradnl"/>
        </w:rPr>
        <w:t xml:space="preserve">tuvo verificativo la audiencia de ley en este juicio, sin la asistencia de las partes; </w:t>
      </w:r>
      <w:r w:rsidRPr="004D3322">
        <w:rPr>
          <w:rFonts w:ascii="Arial" w:eastAsia="Calibri" w:hAnsi="Arial" w:cs="Arial"/>
          <w:sz w:val="26"/>
          <w:szCs w:val="26"/>
        </w:rPr>
        <w:t>el Secretario de Acuerdos hizo relación de las constancias de autos; e hizo relación de las constancias; en la etapa de pruebas, se tienen por desahogadas las pruebas documentales ofrecidas por las partes de acuerdo a su propia naturaleza; en etapa de alegatos, se hizo constar que estos no se formularon por ninguna de las partes</w:t>
      </w:r>
      <w:r w:rsidRPr="004D3322">
        <w:rPr>
          <w:rFonts w:ascii="Arial" w:eastAsia="Arial Unicode MS" w:hAnsi="Arial" w:cs="Arial"/>
          <w:sz w:val="26"/>
          <w:szCs w:val="26"/>
        </w:rPr>
        <w:t>; concluida la audiencia se citó para resolver en definitiva.</w:t>
      </w:r>
    </w:p>
    <w:p w:rsidR="005A3794" w:rsidRPr="004D3322" w:rsidRDefault="005A3794" w:rsidP="005A3794">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tab/>
      </w:r>
    </w:p>
    <w:p w:rsidR="005A3794" w:rsidRPr="004D3322" w:rsidRDefault="005A3794" w:rsidP="005A3794">
      <w:pPr>
        <w:spacing w:after="0" w:line="360" w:lineRule="auto"/>
        <w:jc w:val="center"/>
        <w:rPr>
          <w:rFonts w:ascii="Arial" w:eastAsia="Arial Unicode MS" w:hAnsi="Arial" w:cs="Arial"/>
          <w:b/>
          <w:sz w:val="26"/>
          <w:szCs w:val="26"/>
        </w:rPr>
      </w:pPr>
      <w:r w:rsidRPr="004D3322">
        <w:rPr>
          <w:rFonts w:ascii="Arial" w:eastAsia="Arial Unicode MS" w:hAnsi="Arial" w:cs="Arial"/>
          <w:b/>
          <w:sz w:val="26"/>
          <w:szCs w:val="26"/>
        </w:rPr>
        <w:t>C O N S I D E R A N D O</w:t>
      </w:r>
    </w:p>
    <w:p w:rsidR="005A3794" w:rsidRPr="004D3322" w:rsidRDefault="005A3794" w:rsidP="005A3794">
      <w:pPr>
        <w:spacing w:after="0" w:line="360" w:lineRule="auto"/>
        <w:jc w:val="center"/>
        <w:rPr>
          <w:rFonts w:ascii="Arial" w:eastAsia="Arial Unicode MS" w:hAnsi="Arial" w:cs="Arial"/>
          <w:b/>
          <w:sz w:val="26"/>
          <w:szCs w:val="26"/>
        </w:rPr>
      </w:pPr>
    </w:p>
    <w:p w:rsidR="005A3794" w:rsidRPr="004D3322" w:rsidRDefault="005A3794" w:rsidP="005A3794">
      <w:pPr>
        <w:spacing w:after="0" w:line="360" w:lineRule="auto"/>
        <w:ind w:firstLine="709"/>
        <w:jc w:val="both"/>
        <w:rPr>
          <w:rFonts w:ascii="Arial" w:eastAsia="Arial Unicode MS" w:hAnsi="Arial" w:cs="Arial"/>
          <w:sz w:val="26"/>
          <w:szCs w:val="26"/>
        </w:rPr>
      </w:pPr>
      <w:r w:rsidRPr="004D3322">
        <w:rPr>
          <w:rFonts w:ascii="Arial" w:eastAsia="Arial Unicode MS" w:hAnsi="Arial" w:cs="Arial"/>
          <w:b/>
          <w:sz w:val="26"/>
          <w:szCs w:val="26"/>
        </w:rPr>
        <w:t>PRIMERO.-</w:t>
      </w:r>
      <w:r w:rsidRPr="004D3322">
        <w:rPr>
          <w:rFonts w:ascii="Arial" w:eastAsia="Arial Unicode MS" w:hAnsi="Arial" w:cs="Arial"/>
          <w:sz w:val="26"/>
          <w:szCs w:val="26"/>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 en el presente caso le resulta competencia para conocer del presente juicio, ya que se trata de una controversia de naturaleza fiscal suscitada entre un particular y una autoridad del Poder Ejecutivo de esta entidad federativa, donde se ejerce jurisdicción.</w:t>
      </w:r>
    </w:p>
    <w:p w:rsidR="005A3794" w:rsidRPr="004D3322" w:rsidRDefault="005A3794" w:rsidP="005A3794">
      <w:pPr>
        <w:spacing w:after="0" w:line="360" w:lineRule="auto"/>
        <w:ind w:firstLine="709"/>
        <w:jc w:val="both"/>
        <w:rPr>
          <w:rFonts w:ascii="Arial" w:eastAsia="Arial Unicode MS" w:hAnsi="Arial" w:cs="Arial"/>
          <w:sz w:val="26"/>
          <w:szCs w:val="26"/>
        </w:rPr>
      </w:pPr>
    </w:p>
    <w:p w:rsidR="005A3794" w:rsidRPr="004D3322" w:rsidRDefault="005A3794" w:rsidP="005A3794">
      <w:pPr>
        <w:autoSpaceDE w:val="0"/>
        <w:autoSpaceDN w:val="0"/>
        <w:adjustRightInd w:val="0"/>
        <w:spacing w:after="0" w:line="360" w:lineRule="auto"/>
        <w:ind w:firstLine="709"/>
        <w:jc w:val="both"/>
        <w:rPr>
          <w:rFonts w:ascii="Arial" w:eastAsia="Times New Roman" w:hAnsi="Arial" w:cs="Arial"/>
          <w:sz w:val="26"/>
          <w:szCs w:val="26"/>
          <w:lang w:eastAsia="es-ES"/>
        </w:rPr>
      </w:pPr>
      <w:r w:rsidRPr="004D3322">
        <w:rPr>
          <w:rFonts w:ascii="Arial" w:eastAsia="Calibri" w:hAnsi="Arial" w:cs="Arial"/>
          <w:b/>
          <w:sz w:val="26"/>
          <w:szCs w:val="26"/>
        </w:rPr>
        <w:t xml:space="preserve">SEGUNDO.- </w:t>
      </w:r>
      <w:r w:rsidRPr="004D3322">
        <w:rPr>
          <w:rFonts w:ascii="Arial" w:eastAsia="Times New Roman" w:hAnsi="Arial" w:cs="Arial"/>
          <w:sz w:val="26"/>
          <w:szCs w:val="26"/>
          <w:lang w:eastAsia="es-ES"/>
        </w:rPr>
        <w:t>De acuerdo con lo que precisa el artículo 221 del Código Procesal Administrativo para el Estado, esta Sala Unitaria procede a analizar la personalidad y legitimación de los comparecientes a este juicio.</w:t>
      </w:r>
    </w:p>
    <w:p w:rsidR="005A3794" w:rsidRPr="004D3322" w:rsidRDefault="005A3794" w:rsidP="005A3794">
      <w:pPr>
        <w:spacing w:after="0" w:line="360" w:lineRule="auto"/>
        <w:ind w:firstLine="709"/>
        <w:jc w:val="both"/>
        <w:rPr>
          <w:rFonts w:ascii="Arial" w:eastAsia="Arial Unicode MS" w:hAnsi="Arial" w:cs="Arial"/>
          <w:sz w:val="26"/>
          <w:szCs w:val="26"/>
        </w:rPr>
      </w:pPr>
    </w:p>
    <w:p w:rsidR="005A3794" w:rsidRPr="004D3322" w:rsidRDefault="005A3794" w:rsidP="005A3794">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lastRenderedPageBreak/>
        <w:t xml:space="preserve">La parte actora compareció por derecho propio; acreditando su interés jurídico en términos del artículo 231 del Código Procesal Administrativo para el Estado de San Luis Potosí, con el acto impugnado que obra a fojas </w:t>
      </w:r>
      <w:r w:rsidR="00C00419" w:rsidRPr="004D3322">
        <w:rPr>
          <w:rFonts w:ascii="Arial" w:eastAsia="Arial Unicode MS" w:hAnsi="Arial" w:cs="Arial"/>
          <w:sz w:val="26"/>
          <w:szCs w:val="26"/>
        </w:rPr>
        <w:t>8</w:t>
      </w:r>
      <w:r w:rsidRPr="004D3322">
        <w:rPr>
          <w:rFonts w:ascii="Arial" w:eastAsia="Arial Unicode MS" w:hAnsi="Arial" w:cs="Arial"/>
          <w:sz w:val="26"/>
          <w:szCs w:val="26"/>
        </w:rPr>
        <w:t xml:space="preserve"> de autos.</w:t>
      </w:r>
    </w:p>
    <w:p w:rsidR="005A3794" w:rsidRPr="004D3322" w:rsidRDefault="005A3794" w:rsidP="005A3794">
      <w:pPr>
        <w:spacing w:after="0" w:line="360" w:lineRule="auto"/>
        <w:ind w:firstLine="708"/>
        <w:jc w:val="both"/>
        <w:rPr>
          <w:rFonts w:ascii="Arial" w:eastAsia="Calibri" w:hAnsi="Arial" w:cs="Arial"/>
          <w:b/>
          <w:sz w:val="26"/>
          <w:szCs w:val="26"/>
        </w:rPr>
      </w:pPr>
    </w:p>
    <w:p w:rsidR="005A3794" w:rsidRPr="004D3322" w:rsidRDefault="005A3794" w:rsidP="005A3794">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t xml:space="preserve">La personalidad del Procurador Fiscal de la Secretaría de Finanzas del Gobierno del Estado de San Luis Potosí, quien compareció en representación de la demandada, quedó acreditada, a través de la copia certificada del nombramiento expedido a su favor que obra a fojas </w:t>
      </w:r>
      <w:r w:rsidR="00CB3A04" w:rsidRPr="004D3322">
        <w:rPr>
          <w:rFonts w:ascii="Arial" w:eastAsia="Arial Unicode MS" w:hAnsi="Arial" w:cs="Arial"/>
          <w:sz w:val="26"/>
          <w:szCs w:val="26"/>
        </w:rPr>
        <w:t>19</w:t>
      </w:r>
      <w:r w:rsidRPr="004D3322">
        <w:rPr>
          <w:rFonts w:ascii="Arial" w:eastAsia="Arial Unicode MS" w:hAnsi="Arial" w:cs="Arial"/>
          <w:sz w:val="26"/>
          <w:szCs w:val="26"/>
        </w:rPr>
        <w:t xml:space="preserve"> del expediente en el que se actúa, de conformidad con lo dispuesto por el artículo 220 del Código Procesal Administrativo para el Estado.</w:t>
      </w:r>
    </w:p>
    <w:p w:rsidR="005A3794" w:rsidRPr="004D3322" w:rsidRDefault="005A3794" w:rsidP="005A3794">
      <w:pPr>
        <w:tabs>
          <w:tab w:val="left" w:pos="2835"/>
        </w:tabs>
        <w:spacing w:after="0" w:line="360" w:lineRule="auto"/>
        <w:ind w:firstLine="709"/>
        <w:jc w:val="both"/>
        <w:rPr>
          <w:rFonts w:ascii="Arial" w:eastAsia="Times New Roman" w:hAnsi="Arial" w:cs="Arial"/>
          <w:sz w:val="26"/>
          <w:szCs w:val="26"/>
          <w:lang w:val="es-ES" w:eastAsia="es-ES"/>
        </w:rPr>
      </w:pPr>
      <w:r w:rsidRPr="004D3322">
        <w:rPr>
          <w:rFonts w:ascii="Arial" w:eastAsia="Calibri" w:hAnsi="Arial" w:cs="Arial"/>
          <w:sz w:val="26"/>
          <w:szCs w:val="26"/>
        </w:rPr>
        <w:t xml:space="preserve">Las documentales </w:t>
      </w:r>
      <w:r w:rsidRPr="004D3322">
        <w:rPr>
          <w:rFonts w:ascii="Arial" w:eastAsia="Times New Roman" w:hAnsi="Arial" w:cs="Arial"/>
          <w:sz w:val="26"/>
          <w:szCs w:val="26"/>
          <w:lang w:val="es-ES" w:eastAsia="es-ES"/>
        </w:rPr>
        <w:t xml:space="preserve">anteriormente referidas, adquieren </w:t>
      </w:r>
      <w:r w:rsidRPr="004D3322">
        <w:rPr>
          <w:rFonts w:ascii="Arial" w:eastAsia="Calibri" w:hAnsi="Arial" w:cs="Arial"/>
          <w:sz w:val="26"/>
          <w:szCs w:val="26"/>
        </w:rPr>
        <w:t xml:space="preserve">valor probatorio pleno de acuerdo con </w:t>
      </w:r>
      <w:r w:rsidRPr="004D3322">
        <w:rPr>
          <w:rFonts w:ascii="Arial" w:eastAsia="Times New Roman" w:hAnsi="Arial" w:cs="Arial"/>
          <w:sz w:val="26"/>
          <w:szCs w:val="26"/>
          <w:lang w:val="es-ES" w:eastAsia="es-ES"/>
        </w:rPr>
        <w:t>los artículos 72 fracción I, 74 y 91 del Código Procesal Administrativo para el Estado, por tratarse de documentos públicos expedidos por servidor y fedatario públicos, en el desempeño de sus respectivas funciones.</w:t>
      </w:r>
    </w:p>
    <w:p w:rsidR="005A3794" w:rsidRPr="004D3322" w:rsidRDefault="005A3794" w:rsidP="005A3794">
      <w:pPr>
        <w:spacing w:after="0" w:line="360" w:lineRule="auto"/>
        <w:ind w:firstLine="709"/>
        <w:jc w:val="both"/>
        <w:rPr>
          <w:rFonts w:ascii="Arial" w:eastAsia="Arial Unicode MS" w:hAnsi="Arial" w:cs="Arial"/>
          <w:b/>
          <w:sz w:val="26"/>
          <w:szCs w:val="26"/>
        </w:rPr>
      </w:pPr>
    </w:p>
    <w:p w:rsidR="00753B41" w:rsidRPr="004D3322" w:rsidRDefault="005A3794" w:rsidP="00753B41">
      <w:pPr>
        <w:spacing w:after="0" w:line="360" w:lineRule="auto"/>
        <w:ind w:firstLine="709"/>
        <w:jc w:val="both"/>
        <w:rPr>
          <w:rFonts w:ascii="Arial" w:eastAsia="Calibri" w:hAnsi="Arial" w:cs="Arial"/>
          <w:sz w:val="26"/>
          <w:szCs w:val="26"/>
          <w:lang w:val="es-ES_tradnl"/>
        </w:rPr>
      </w:pPr>
      <w:r w:rsidRPr="004D3322">
        <w:rPr>
          <w:rFonts w:ascii="Arial" w:eastAsia="Arial Unicode MS" w:hAnsi="Arial" w:cs="Arial"/>
          <w:b/>
          <w:sz w:val="26"/>
          <w:szCs w:val="26"/>
        </w:rPr>
        <w:t>TERCERO.-</w:t>
      </w:r>
      <w:r w:rsidRPr="004D3322">
        <w:rPr>
          <w:rFonts w:ascii="Arial" w:eastAsia="Arial Unicode MS" w:hAnsi="Arial" w:cs="Arial"/>
          <w:sz w:val="26"/>
          <w:szCs w:val="26"/>
        </w:rPr>
        <w:t xml:space="preserve"> </w:t>
      </w:r>
      <w:r w:rsidRPr="004D3322">
        <w:rPr>
          <w:rFonts w:ascii="Arial" w:eastAsia="Calibri" w:hAnsi="Arial" w:cs="Arial"/>
          <w:sz w:val="26"/>
          <w:szCs w:val="26"/>
        </w:rPr>
        <w:t xml:space="preserve">La </w:t>
      </w:r>
      <w:proofErr w:type="spellStart"/>
      <w:r w:rsidRPr="004D3322">
        <w:rPr>
          <w:rFonts w:ascii="Arial" w:eastAsia="Calibri" w:hAnsi="Arial" w:cs="Arial"/>
          <w:sz w:val="26"/>
          <w:szCs w:val="26"/>
        </w:rPr>
        <w:t>litis</w:t>
      </w:r>
      <w:proofErr w:type="spellEnd"/>
      <w:r w:rsidRPr="004D3322">
        <w:rPr>
          <w:rFonts w:ascii="Arial" w:eastAsia="Calibri" w:hAnsi="Arial" w:cs="Arial"/>
          <w:sz w:val="26"/>
          <w:szCs w:val="26"/>
        </w:rPr>
        <w:t xml:space="preserve"> de la presente controversia, es la legalidad o ilegalidad </w:t>
      </w:r>
      <w:r w:rsidRPr="004D3322">
        <w:rPr>
          <w:rFonts w:ascii="Arial" w:eastAsia="Calibri" w:hAnsi="Arial" w:cs="Arial"/>
          <w:sz w:val="26"/>
          <w:szCs w:val="26"/>
          <w:lang w:val="es-ES_tradnl"/>
        </w:rPr>
        <w:t>de</w:t>
      </w:r>
      <w:r w:rsidR="00CB3A04" w:rsidRPr="004D3322">
        <w:rPr>
          <w:rFonts w:ascii="Arial" w:eastAsia="Calibri" w:hAnsi="Arial" w:cs="Arial"/>
          <w:sz w:val="26"/>
          <w:szCs w:val="26"/>
          <w:lang w:val="es-ES_tradnl"/>
        </w:rPr>
        <w:t xml:space="preserve"> </w:t>
      </w:r>
      <w:r w:rsidRPr="004D3322">
        <w:rPr>
          <w:rFonts w:ascii="Arial" w:eastAsia="Calibri" w:hAnsi="Arial" w:cs="Arial"/>
          <w:sz w:val="26"/>
          <w:szCs w:val="26"/>
          <w:lang w:val="es-ES_tradnl"/>
        </w:rPr>
        <w:t>l</w:t>
      </w:r>
      <w:r w:rsidR="00CB3A04" w:rsidRPr="004D3322">
        <w:rPr>
          <w:rFonts w:ascii="Arial" w:eastAsia="Calibri" w:hAnsi="Arial" w:cs="Arial"/>
          <w:sz w:val="26"/>
          <w:szCs w:val="26"/>
          <w:lang w:val="es-ES_tradnl"/>
        </w:rPr>
        <w:t>a</w:t>
      </w:r>
      <w:r w:rsidRPr="004D3322">
        <w:rPr>
          <w:rFonts w:ascii="Arial" w:eastAsia="Calibri" w:hAnsi="Arial" w:cs="Arial"/>
          <w:sz w:val="26"/>
          <w:szCs w:val="26"/>
          <w:lang w:val="es-ES_tradnl"/>
        </w:rPr>
        <w:t xml:space="preserve"> </w:t>
      </w:r>
      <w:r w:rsidR="00CB3A04" w:rsidRPr="004D3322">
        <w:rPr>
          <w:rFonts w:ascii="Arial" w:eastAsia="Calibri" w:hAnsi="Arial" w:cs="Arial"/>
          <w:sz w:val="26"/>
          <w:szCs w:val="26"/>
          <w:lang w:val="es-ES_tradnl"/>
        </w:rPr>
        <w:t>determinación de</w:t>
      </w:r>
      <w:r w:rsidR="00CB3A04" w:rsidRPr="004D3322">
        <w:rPr>
          <w:rFonts w:ascii="Arial" w:eastAsia="Arial Unicode MS" w:hAnsi="Arial" w:cs="Arial"/>
          <w:bCs/>
          <w:color w:val="000000"/>
          <w:sz w:val="26"/>
          <w:szCs w:val="26"/>
        </w:rPr>
        <w:t xml:space="preserve"> Obligaciones Fiscales Omitidas y/o con Inconsistencias en Materia del Impuesto sobre Erogaciones por Remuneraciones al Trabajo Personal, identificada con el número de control SP250801128001703, de fecha siete de agosto de dos mil veinticinco, que determina la cantidad de $2,597.00 pesos</w:t>
      </w:r>
      <w:r w:rsidR="00753B41" w:rsidRPr="004D3322">
        <w:rPr>
          <w:rFonts w:ascii="Arial" w:eastAsia="Arial Unicode MS" w:hAnsi="Arial" w:cs="Arial"/>
          <w:bCs/>
          <w:color w:val="000000"/>
          <w:sz w:val="26"/>
          <w:szCs w:val="26"/>
        </w:rPr>
        <w:t>, emitida por el Director de Recaudación y Política Fiscal de la Secretaría de Finanzas de Gobierno del Estado, según se advierte a fojas 8 de autos</w:t>
      </w:r>
    </w:p>
    <w:p w:rsidR="005A3794" w:rsidRPr="004D3322" w:rsidRDefault="005A3794" w:rsidP="005A3794">
      <w:pPr>
        <w:spacing w:after="0" w:line="360" w:lineRule="auto"/>
        <w:ind w:firstLine="709"/>
        <w:jc w:val="both"/>
        <w:rPr>
          <w:rFonts w:ascii="Arial" w:eastAsia="Calibri" w:hAnsi="Arial" w:cs="Arial"/>
          <w:sz w:val="26"/>
          <w:szCs w:val="26"/>
        </w:rPr>
      </w:pPr>
    </w:p>
    <w:p w:rsidR="005A3794" w:rsidRPr="004D3322" w:rsidRDefault="005A3794" w:rsidP="005A3794">
      <w:pPr>
        <w:spacing w:after="0" w:line="360" w:lineRule="auto"/>
        <w:ind w:firstLine="709"/>
        <w:jc w:val="both"/>
        <w:rPr>
          <w:rFonts w:ascii="Arial" w:eastAsia="Arial Unicode MS" w:hAnsi="Arial" w:cs="Arial"/>
          <w:sz w:val="26"/>
          <w:szCs w:val="26"/>
        </w:rPr>
      </w:pPr>
      <w:r w:rsidRPr="004D3322">
        <w:rPr>
          <w:rFonts w:ascii="Arial" w:eastAsia="Arial Unicode MS" w:hAnsi="Arial" w:cs="Arial"/>
          <w:b/>
          <w:sz w:val="26"/>
          <w:szCs w:val="26"/>
        </w:rPr>
        <w:t>CUARTO.-</w:t>
      </w:r>
      <w:r w:rsidRPr="004D3322">
        <w:rPr>
          <w:rFonts w:ascii="Arial" w:eastAsia="Arial Unicode MS" w:hAnsi="Arial" w:cs="Arial"/>
          <w:sz w:val="26"/>
          <w:szCs w:val="26"/>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artículos 228 y 229 del Código Procesal Administrativo para el Estado de San Luis Potosí.</w:t>
      </w:r>
    </w:p>
    <w:p w:rsidR="005A3794" w:rsidRPr="004D3322" w:rsidRDefault="005A3794" w:rsidP="005A3794">
      <w:pPr>
        <w:spacing w:after="0" w:line="360" w:lineRule="auto"/>
        <w:ind w:firstLine="709"/>
        <w:jc w:val="both"/>
        <w:rPr>
          <w:rFonts w:ascii="Arial" w:eastAsia="Arial Unicode MS" w:hAnsi="Arial" w:cs="Arial"/>
          <w:sz w:val="26"/>
          <w:szCs w:val="26"/>
        </w:rPr>
      </w:pPr>
    </w:p>
    <w:p w:rsidR="005A3794" w:rsidRPr="004D3322" w:rsidRDefault="005A3794" w:rsidP="005A3794">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lastRenderedPageBreak/>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artículos 228 y 229 del Código Procesal Administrativo para el Estado de San Luis Potosí.</w:t>
      </w:r>
    </w:p>
    <w:p w:rsidR="005A3794" w:rsidRPr="004D3322" w:rsidRDefault="005A3794" w:rsidP="005A3794">
      <w:pPr>
        <w:spacing w:after="0" w:line="360" w:lineRule="auto"/>
        <w:ind w:firstLine="709"/>
        <w:jc w:val="both"/>
        <w:rPr>
          <w:rFonts w:ascii="Arial" w:eastAsia="Arial Unicode MS" w:hAnsi="Arial" w:cs="Arial"/>
          <w:sz w:val="26"/>
          <w:szCs w:val="26"/>
        </w:rPr>
      </w:pPr>
    </w:p>
    <w:p w:rsidR="005A3794" w:rsidRPr="004D3322" w:rsidRDefault="005A3794" w:rsidP="005A3794">
      <w:pPr>
        <w:spacing w:after="0" w:line="360" w:lineRule="auto"/>
        <w:ind w:firstLine="709"/>
        <w:jc w:val="both"/>
        <w:rPr>
          <w:rFonts w:ascii="Arial" w:eastAsia="Calibri" w:hAnsi="Arial" w:cs="Arial"/>
          <w:sz w:val="26"/>
          <w:szCs w:val="26"/>
        </w:rPr>
      </w:pPr>
      <w:r w:rsidRPr="004D3322">
        <w:rPr>
          <w:rFonts w:ascii="Arial" w:eastAsia="Calibri" w:hAnsi="Arial" w:cs="Arial"/>
          <w:sz w:val="26"/>
          <w:szCs w:val="26"/>
        </w:rPr>
        <w:t xml:space="preserve">Es aplicable al efecto, la siguiente Tesis Aislada del </w:t>
      </w:r>
      <w:r w:rsidRPr="004D3322">
        <w:rPr>
          <w:rFonts w:ascii="Arial" w:eastAsia="Calibri" w:hAnsi="Arial" w:cs="Arial"/>
          <w:sz w:val="26"/>
          <w:szCs w:val="26"/>
          <w:lang w:val="es-ES"/>
        </w:rPr>
        <w:t>Cuarto Tribunal Colegiado en Materia Administrativa del Primer Circuito</w:t>
      </w:r>
      <w:r w:rsidRPr="004D3322">
        <w:rPr>
          <w:rFonts w:ascii="Arial" w:eastAsia="Calibri" w:hAnsi="Arial" w:cs="Arial"/>
          <w:sz w:val="26"/>
          <w:szCs w:val="26"/>
        </w:rPr>
        <w:t xml:space="preserve">, Época: Octava Época, Registro: 221332, Instancia: Tribunales Colegiados de Circuito, Fuente: Semanario Judicial de la Federación, Tesis Aislada, Materia(s): Administrativa, VIII, Noviembre de 1991, Página: 185, que dice: </w:t>
      </w:r>
    </w:p>
    <w:p w:rsidR="005A3794" w:rsidRPr="00AD4230" w:rsidRDefault="005A3794" w:rsidP="005A3794">
      <w:pPr>
        <w:spacing w:after="0" w:line="360" w:lineRule="auto"/>
        <w:ind w:firstLine="709"/>
        <w:jc w:val="both"/>
        <w:rPr>
          <w:rFonts w:ascii="Arial" w:eastAsia="Calibri" w:hAnsi="Arial" w:cs="Arial"/>
          <w:sz w:val="24"/>
          <w:szCs w:val="24"/>
        </w:rPr>
      </w:pPr>
    </w:p>
    <w:p w:rsidR="005A3794" w:rsidRPr="00766177" w:rsidRDefault="005A3794" w:rsidP="005A3794">
      <w:pPr>
        <w:autoSpaceDE w:val="0"/>
        <w:autoSpaceDN w:val="0"/>
        <w:adjustRightInd w:val="0"/>
        <w:spacing w:after="0"/>
        <w:ind w:left="709"/>
        <w:jc w:val="both"/>
        <w:rPr>
          <w:rFonts w:ascii="Arial Narrow" w:eastAsia="Times New Roman" w:hAnsi="Arial Narrow" w:cs="Arial"/>
          <w:i/>
          <w:sz w:val="21"/>
          <w:szCs w:val="21"/>
          <w:lang w:val="es-ES" w:eastAsia="es-ES"/>
        </w:rPr>
      </w:pPr>
      <w:r w:rsidRPr="00766177">
        <w:rPr>
          <w:rFonts w:ascii="Arial Narrow" w:eastAsia="Calibri" w:hAnsi="Arial Narrow" w:cs="Arial"/>
          <w:b/>
          <w:bCs/>
          <w:i/>
        </w:rPr>
        <w:t>“CONTENCIOSO ADMINISTRATIVO,</w:t>
      </w:r>
      <w:r w:rsidRPr="00766177">
        <w:rPr>
          <w:rFonts w:ascii="Arial Narrow" w:eastAsia="Calibri" w:hAnsi="Arial Narrow" w:cs="Arial"/>
          <w:bCs/>
          <w:i/>
        </w:rPr>
        <w:t xml:space="preserve"> </w:t>
      </w:r>
      <w:r w:rsidRPr="00766177">
        <w:rPr>
          <w:rFonts w:ascii="Arial Narrow" w:eastAsia="Calibri" w:hAnsi="Arial Narrow" w:cs="Arial"/>
          <w:b/>
          <w:bCs/>
          <w:i/>
        </w:rPr>
        <w:t>IMPROCEDENCIA</w:t>
      </w:r>
      <w:r w:rsidRPr="00766177">
        <w:rPr>
          <w:rFonts w:ascii="Arial Narrow" w:eastAsia="Calibri" w:hAnsi="Arial Narrow" w:cs="Arial"/>
          <w:bCs/>
          <w:i/>
        </w:rPr>
        <w:t xml:space="preserve"> </w:t>
      </w:r>
      <w:r w:rsidRPr="00766177">
        <w:rPr>
          <w:rFonts w:ascii="Arial Narrow" w:eastAsia="Calibri" w:hAnsi="Arial Narrow" w:cs="Arial"/>
          <w:b/>
          <w:bCs/>
          <w:i/>
        </w:rPr>
        <w:t>DEL JUICIO, ANTE EL TRIBUNAL FISCAL. CONCEPTO</w:t>
      </w:r>
      <w:r w:rsidRPr="00766177">
        <w:rPr>
          <w:rFonts w:ascii="Arial Narrow" w:eastAsia="Calibri" w:hAnsi="Arial Narrow" w:cs="Arial"/>
          <w:bCs/>
          <w:i/>
        </w:rPr>
        <w:t xml:space="preserve"> </w:t>
      </w:r>
      <w:r w:rsidRPr="00766177">
        <w:rPr>
          <w:rFonts w:ascii="Arial Narrow" w:eastAsia="Calibri" w:hAnsi="Arial Narrow" w:cs="Arial"/>
          <w:b/>
          <w:bCs/>
          <w:i/>
        </w:rPr>
        <w:t>JURIDICO.</w:t>
      </w:r>
      <w:r w:rsidRPr="00766177">
        <w:rPr>
          <w:rFonts w:ascii="Arial Narrow" w:eastAsia="Calibri" w:hAnsi="Arial Narrow" w:cs="Arial"/>
          <w:i/>
        </w:rPr>
        <w:t xml:space="preserve"> Las causas de improcedencia que determina la ley de la materia, ven o se refieren a la procedencia del juicio mismo, esto es, los motivos de improcedencia son en cuanto a que </w:t>
      </w:r>
      <w:r w:rsidRPr="00766177">
        <w:rPr>
          <w:rFonts w:ascii="Arial Narrow" w:eastAsia="Calibri" w:hAnsi="Arial Narrow" w:cs="Arial"/>
          <w:bCs/>
          <w:i/>
          <w:iCs/>
        </w:rPr>
        <w:t>la acción en sí misma considerada no procede por las causas específicas consignadas en la ley;</w:t>
      </w:r>
      <w:r w:rsidRPr="00766177">
        <w:rPr>
          <w:rFonts w:ascii="Arial Narrow" w:eastAsia="Calibri" w:hAnsi="Arial Narrow" w:cs="Arial"/>
          <w:i/>
        </w:rPr>
        <w:t xml:space="preserve"> es verdad que las causas de improcedencia dan lugar al </w:t>
      </w:r>
      <w:r w:rsidRPr="00766177">
        <w:rPr>
          <w:rFonts w:ascii="Arial Narrow" w:eastAsia="Calibri" w:hAnsi="Arial Narrow" w:cs="Arial"/>
          <w:bCs/>
          <w:i/>
          <w:iCs/>
        </w:rPr>
        <w:t>sobreseimiento,</w:t>
      </w:r>
      <w:r w:rsidRPr="00766177">
        <w:rPr>
          <w:rFonts w:ascii="Arial Narrow" w:eastAsia="Calibri" w:hAnsi="Arial Narrow" w:cs="Arial"/>
          <w:i/>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766177">
          <w:rPr>
            <w:rFonts w:ascii="Arial Narrow" w:eastAsia="Calibri" w:hAnsi="Arial Narrow" w:cs="Arial"/>
            <w:i/>
          </w:rPr>
          <w:t>la Federación</w:t>
        </w:r>
      </w:smartTag>
      <w:r w:rsidRPr="00766177">
        <w:rPr>
          <w:rFonts w:ascii="Arial Narrow" w:eastAsia="Calibri" w:hAnsi="Arial Narrow" w:cs="Arial"/>
          <w:i/>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766177">
        <w:rPr>
          <w:rFonts w:ascii="Arial Narrow" w:eastAsia="Calibri" w:hAnsi="Arial Narrow" w:cs="Arial"/>
          <w:bCs/>
          <w:i/>
          <w:iC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766177">
        <w:rPr>
          <w:rFonts w:ascii="Arial Narrow" w:eastAsia="Calibri" w:hAnsi="Arial Narrow" w:cs="Arial"/>
          <w:bCs/>
          <w:i/>
        </w:rPr>
        <w:t xml:space="preserve"> y principalmente </w:t>
      </w:r>
      <w:r w:rsidRPr="00766177">
        <w:rPr>
          <w:rFonts w:ascii="Arial Narrow" w:eastAsia="Calibri" w:hAnsi="Arial Narrow" w:cs="Arial"/>
          <w:bCs/>
          <w:i/>
          <w:iCs/>
        </w:rPr>
        <w:t>por existir un impedimento</w:t>
      </w:r>
      <w:r w:rsidRPr="00766177">
        <w:rPr>
          <w:rFonts w:ascii="Arial Narrow" w:eastAsia="Calibri" w:hAnsi="Arial Narrow" w:cs="Arial"/>
          <w:i/>
        </w:rPr>
        <w:t xml:space="preserve"> para que el órgano jurisdiccional competente analice y resuelva sobre la cuestión debatida. </w:t>
      </w:r>
      <w:r w:rsidRPr="00766177">
        <w:rPr>
          <w:rFonts w:ascii="Arial Narrow" w:eastAsia="Calibri" w:hAnsi="Arial Narrow" w:cs="Arial"/>
          <w:bCs/>
          <w:i/>
          <w:iCs/>
        </w:rPr>
        <w:t>En resumen, la improcedencia de la acción se traduce en la imposibilidad jurídica de que el órgano jurisdiccional estudie y decida dicha cuestión, absteniéndose</w:t>
      </w:r>
      <w:r w:rsidRPr="00766177">
        <w:rPr>
          <w:rFonts w:ascii="Arial Narrow" w:eastAsia="Calibri" w:hAnsi="Arial Narrow" w:cs="Arial"/>
          <w:bCs/>
          <w:i/>
          <w:iCs/>
          <w:sz w:val="21"/>
          <w:szCs w:val="21"/>
        </w:rPr>
        <w:t xml:space="preserve"> obligatoriamente a resolver sobre el fondo de la controversia. ..</w:t>
      </w:r>
      <w:r w:rsidRPr="00766177">
        <w:rPr>
          <w:rFonts w:ascii="Arial Narrow" w:eastAsia="Times New Roman" w:hAnsi="Arial Narrow" w:cs="Arial"/>
          <w:i/>
          <w:sz w:val="21"/>
          <w:szCs w:val="21"/>
          <w:lang w:val="es-ES" w:eastAsia="es-ES"/>
        </w:rPr>
        <w:t>.”</w:t>
      </w:r>
    </w:p>
    <w:p w:rsidR="005A3794" w:rsidRDefault="005A3794" w:rsidP="005A3794">
      <w:pPr>
        <w:spacing w:after="0" w:line="360" w:lineRule="auto"/>
        <w:ind w:firstLine="709"/>
        <w:jc w:val="both"/>
        <w:rPr>
          <w:rFonts w:ascii="Arial" w:eastAsia="Times New Roman" w:hAnsi="Arial" w:cs="Arial"/>
          <w:sz w:val="24"/>
          <w:szCs w:val="24"/>
          <w:lang w:val="es-ES" w:eastAsia="es-ES"/>
        </w:rPr>
      </w:pPr>
    </w:p>
    <w:p w:rsidR="00366D36" w:rsidRPr="004D3322" w:rsidRDefault="005A3794" w:rsidP="005A3794">
      <w:pPr>
        <w:spacing w:after="0" w:line="360" w:lineRule="auto"/>
        <w:ind w:firstLine="709"/>
        <w:jc w:val="both"/>
        <w:rPr>
          <w:rFonts w:ascii="Arial" w:eastAsia="Times New Roman" w:hAnsi="Arial" w:cs="Arial"/>
          <w:sz w:val="26"/>
          <w:szCs w:val="26"/>
          <w:lang w:val="es-ES" w:eastAsia="es-ES"/>
        </w:rPr>
      </w:pPr>
      <w:r w:rsidRPr="004D3322">
        <w:rPr>
          <w:rFonts w:ascii="Arial" w:eastAsia="Times New Roman" w:hAnsi="Arial" w:cs="Arial"/>
          <w:sz w:val="26"/>
          <w:szCs w:val="26"/>
          <w:lang w:val="es-ES" w:eastAsia="es-ES"/>
        </w:rPr>
        <w:t xml:space="preserve">En ese contexto, se advierte que la autoridad demandada, al producir su respectiva contestación que obra a fojas </w:t>
      </w:r>
      <w:r w:rsidR="00366D36" w:rsidRPr="004D3322">
        <w:rPr>
          <w:rFonts w:ascii="Arial" w:eastAsia="Times New Roman" w:hAnsi="Arial" w:cs="Arial"/>
          <w:sz w:val="26"/>
          <w:szCs w:val="26"/>
          <w:lang w:val="es-ES" w:eastAsia="es-ES"/>
        </w:rPr>
        <w:t>16 a 18</w:t>
      </w:r>
      <w:r w:rsidRPr="004D3322">
        <w:rPr>
          <w:rFonts w:ascii="Arial" w:eastAsia="Times New Roman" w:hAnsi="Arial" w:cs="Arial"/>
          <w:sz w:val="26"/>
          <w:szCs w:val="26"/>
          <w:lang w:val="es-ES" w:eastAsia="es-ES"/>
        </w:rPr>
        <w:t xml:space="preserve"> de este sumario, </w:t>
      </w:r>
      <w:r w:rsidR="00366D36" w:rsidRPr="004D3322">
        <w:rPr>
          <w:rFonts w:ascii="Arial" w:eastAsia="Times New Roman" w:hAnsi="Arial" w:cs="Arial"/>
          <w:sz w:val="26"/>
          <w:szCs w:val="26"/>
          <w:lang w:val="es-ES" w:eastAsia="es-ES"/>
        </w:rPr>
        <w:t xml:space="preserve">señaló que de las constancias que integran el acto impugnado, no se desprende transgresión alguna a los derechos subjetivos del promovente, lo cual es indispensable para que proceda la instancia intentada, pues el documento identificado con número de control SP250801128001703, de fecha siete de agosto de dos mil </w:t>
      </w:r>
      <w:r w:rsidR="00366D36" w:rsidRPr="004D3322">
        <w:rPr>
          <w:rFonts w:ascii="Arial" w:eastAsia="Times New Roman" w:hAnsi="Arial" w:cs="Arial"/>
          <w:sz w:val="26"/>
          <w:szCs w:val="26"/>
          <w:lang w:val="es-ES" w:eastAsia="es-ES"/>
        </w:rPr>
        <w:lastRenderedPageBreak/>
        <w:t>veinticinco, consiste en una INVITACION para que el contribuyente corrija su situación fiscal y se regularice en cuanto a sus obligaciones en materia de Impuesto Sobre Erogaciones por Remuneraciones al Trabajo Personal, con la finalidad de facilitar su cumplimiento; sin embargo, NO se le hace ninguna determinación ni se le imponen multas; por lo cual no puede considerarse que el acto que se pretende impugnar constituye una resolución definitiva, acto administrativo o procedimiento impugnable conforme a las previstas en el artículo 7º de la Ley Orgánica del Tribunal Estatal de Justicia Administrativa de San Luis Potosí, por lo que procede que en la especie sea declarado el sobreseimiento, toda vez que sobreviene una causal de improcedencia, al quedar demostrado que el acto señalado por el demandante no afecta sus intereses ni trasciende su esfera jurídica, en virtud de no tratarse de un acto definitivo, resolución determinante de contribuciones omitidas o imposición de multas por incumplimiento.</w:t>
      </w:r>
    </w:p>
    <w:p w:rsidR="00366D36" w:rsidRPr="004D3322" w:rsidRDefault="00366D36" w:rsidP="005A3794">
      <w:pPr>
        <w:spacing w:after="0" w:line="360" w:lineRule="auto"/>
        <w:ind w:firstLine="709"/>
        <w:jc w:val="both"/>
        <w:rPr>
          <w:rFonts w:ascii="Arial" w:eastAsia="Times New Roman" w:hAnsi="Arial" w:cs="Arial"/>
          <w:sz w:val="26"/>
          <w:szCs w:val="26"/>
          <w:lang w:val="es-ES" w:eastAsia="es-ES"/>
        </w:rPr>
      </w:pPr>
    </w:p>
    <w:p w:rsidR="004D3322" w:rsidRPr="004D3322" w:rsidRDefault="005A3794" w:rsidP="004D3322">
      <w:pPr>
        <w:spacing w:after="0" w:line="360" w:lineRule="auto"/>
        <w:ind w:firstLine="708"/>
        <w:jc w:val="both"/>
        <w:rPr>
          <w:rFonts w:ascii="Arial" w:eastAsia="Times New Roman" w:hAnsi="Arial" w:cs="Arial"/>
          <w:sz w:val="26"/>
          <w:szCs w:val="26"/>
          <w:lang w:val="es-ES" w:eastAsia="es-ES"/>
        </w:rPr>
      </w:pPr>
      <w:r w:rsidRPr="004D3322">
        <w:rPr>
          <w:rFonts w:ascii="Arial" w:eastAsia="Times New Roman" w:hAnsi="Arial" w:cs="Arial"/>
          <w:sz w:val="26"/>
          <w:szCs w:val="26"/>
          <w:lang w:val="es-ES" w:eastAsia="es-ES"/>
        </w:rPr>
        <w:t xml:space="preserve">Al respecto, debe decirse que es fundada la causal de sobreseimiento propuesta por la demandada, en virtud de </w:t>
      </w:r>
      <w:r w:rsidR="004D3322" w:rsidRPr="004D3322">
        <w:rPr>
          <w:rFonts w:ascii="Arial" w:eastAsia="Times New Roman" w:hAnsi="Arial" w:cs="Arial"/>
          <w:sz w:val="26"/>
          <w:szCs w:val="26"/>
          <w:lang w:val="es-ES" w:eastAsia="es-ES"/>
        </w:rPr>
        <w:t>lo siguiente:</w:t>
      </w:r>
    </w:p>
    <w:p w:rsidR="004D3322" w:rsidRPr="004D3322" w:rsidRDefault="004D3322" w:rsidP="004D3322">
      <w:pPr>
        <w:spacing w:after="0" w:line="360" w:lineRule="auto"/>
        <w:ind w:firstLine="708"/>
        <w:jc w:val="both"/>
        <w:rPr>
          <w:rFonts w:ascii="Arial" w:eastAsia="Times New Roman" w:hAnsi="Arial" w:cs="Arial"/>
          <w:sz w:val="26"/>
          <w:szCs w:val="26"/>
          <w:lang w:val="es-ES" w:eastAsia="es-ES"/>
        </w:rPr>
      </w:pPr>
    </w:p>
    <w:p w:rsidR="004D3322" w:rsidRPr="004D3322" w:rsidRDefault="004D3322" w:rsidP="004D3322">
      <w:pPr>
        <w:spacing w:after="0" w:line="360" w:lineRule="auto"/>
        <w:ind w:firstLine="708"/>
        <w:jc w:val="both"/>
        <w:rPr>
          <w:rFonts w:ascii="Arial" w:eastAsia="Times New Roman" w:hAnsi="Arial" w:cs="Arial"/>
          <w:color w:val="000000"/>
          <w:sz w:val="26"/>
          <w:szCs w:val="26"/>
          <w:lang w:val="es-ES" w:eastAsia="es-ES"/>
        </w:rPr>
      </w:pPr>
      <w:r w:rsidRPr="004D3322">
        <w:rPr>
          <w:rFonts w:ascii="Arial" w:eastAsiaTheme="minorEastAsia" w:hAnsi="Arial" w:cs="Arial"/>
          <w:sz w:val="26"/>
          <w:szCs w:val="26"/>
          <w:lang w:val="es-ES" w:eastAsia="es-MX"/>
        </w:rPr>
        <w:t xml:space="preserve">La parte actora señala como acto impugnado </w:t>
      </w:r>
      <w:r w:rsidRPr="004D3322">
        <w:rPr>
          <w:rFonts w:ascii="Arial" w:eastAsiaTheme="minorEastAsia" w:hAnsi="Arial" w:cs="Arial"/>
          <w:b/>
          <w:sz w:val="26"/>
          <w:szCs w:val="26"/>
          <w:lang w:val="es-ES" w:eastAsia="es-MX"/>
        </w:rPr>
        <w:t xml:space="preserve">el documento identificado </w:t>
      </w:r>
      <w:r w:rsidRPr="004D3322">
        <w:rPr>
          <w:rFonts w:ascii="Arial" w:eastAsia="Arial Unicode MS" w:hAnsi="Arial" w:cs="Arial"/>
          <w:b/>
          <w:color w:val="000000" w:themeColor="text1"/>
          <w:sz w:val="26"/>
          <w:szCs w:val="26"/>
          <w:lang w:eastAsia="es-MX"/>
        </w:rPr>
        <w:t>con el número de control SP250801128001703</w:t>
      </w:r>
      <w:r w:rsidRPr="004D3322">
        <w:rPr>
          <w:rFonts w:ascii="Arial" w:eastAsia="Times New Roman" w:hAnsi="Arial" w:cs="Arial"/>
          <w:color w:val="000000"/>
          <w:sz w:val="26"/>
          <w:szCs w:val="26"/>
          <w:lang w:val="es-ES" w:eastAsia="es-ES"/>
        </w:rPr>
        <w:t xml:space="preserve">, mediante el cual el Director de Recaudación y Política Fiscal le informa que, derivado de un análisis de información, se detectó que a la fecha señalada en el mismo no ha dado cumplimiento de forma correcta a sus obligaciones fiscales en materia del Impuesto Sobre Erogaciones por Remuneraciones al Trabajo Personal. Asimismo, se le presenta una </w:t>
      </w:r>
      <w:r w:rsidRPr="004D3322">
        <w:rPr>
          <w:rFonts w:ascii="Arial" w:eastAsia="Times New Roman" w:hAnsi="Arial" w:cs="Arial"/>
          <w:b/>
          <w:color w:val="000000"/>
          <w:sz w:val="26"/>
          <w:szCs w:val="26"/>
          <w:lang w:val="es-ES" w:eastAsia="es-ES"/>
        </w:rPr>
        <w:t>estimación</w:t>
      </w:r>
      <w:r w:rsidRPr="004D3322">
        <w:rPr>
          <w:rFonts w:ascii="Arial" w:eastAsia="Times New Roman" w:hAnsi="Arial" w:cs="Arial"/>
          <w:color w:val="000000"/>
          <w:sz w:val="26"/>
          <w:szCs w:val="26"/>
          <w:lang w:val="es-ES" w:eastAsia="es-ES"/>
        </w:rPr>
        <w:t xml:space="preserve"> de diferentes adeudos.</w:t>
      </w:r>
    </w:p>
    <w:p w:rsidR="004D3322" w:rsidRPr="004D3322" w:rsidRDefault="004D3322" w:rsidP="004D3322">
      <w:pPr>
        <w:spacing w:after="0" w:line="360" w:lineRule="auto"/>
        <w:ind w:firstLine="708"/>
        <w:jc w:val="both"/>
        <w:rPr>
          <w:rFonts w:ascii="Arial" w:eastAsia="Times New Roman" w:hAnsi="Arial" w:cs="Arial"/>
          <w:color w:val="000000"/>
          <w:sz w:val="26"/>
          <w:szCs w:val="26"/>
          <w:lang w:val="es-ES" w:eastAsia="es-ES"/>
        </w:rPr>
      </w:pPr>
    </w:p>
    <w:p w:rsidR="004D3322" w:rsidRPr="004D3322" w:rsidRDefault="004D3322" w:rsidP="004D3322">
      <w:pPr>
        <w:spacing w:after="0" w:line="360" w:lineRule="auto"/>
        <w:ind w:firstLine="708"/>
        <w:jc w:val="both"/>
        <w:rPr>
          <w:rFonts w:ascii="Arial" w:eastAsia="Times New Roman" w:hAnsi="Arial" w:cs="Arial"/>
          <w:color w:val="000000"/>
          <w:sz w:val="26"/>
          <w:szCs w:val="26"/>
          <w:lang w:val="es-ES" w:eastAsia="es-ES"/>
        </w:rPr>
      </w:pPr>
      <w:r w:rsidRPr="004D3322">
        <w:rPr>
          <w:rFonts w:ascii="Arial" w:eastAsia="Times New Roman" w:hAnsi="Arial" w:cs="Arial"/>
          <w:color w:val="000000"/>
          <w:sz w:val="26"/>
          <w:szCs w:val="26"/>
          <w:lang w:val="es-ES" w:eastAsia="es-ES"/>
        </w:rPr>
        <w:t xml:space="preserve">También, se le realiza a la hoy actora una </w:t>
      </w:r>
      <w:r w:rsidRPr="004D3322">
        <w:rPr>
          <w:rFonts w:ascii="Arial" w:eastAsia="Times New Roman" w:hAnsi="Arial" w:cs="Arial"/>
          <w:b/>
          <w:i/>
          <w:color w:val="000000"/>
          <w:sz w:val="26"/>
          <w:szCs w:val="26"/>
          <w:lang w:val="es-ES" w:eastAsia="es-ES"/>
        </w:rPr>
        <w:t>cordial invitación</w:t>
      </w:r>
      <w:r w:rsidRPr="004D3322">
        <w:rPr>
          <w:rFonts w:ascii="Arial" w:eastAsia="Times New Roman" w:hAnsi="Arial" w:cs="Arial"/>
          <w:i/>
          <w:color w:val="000000"/>
          <w:sz w:val="26"/>
          <w:szCs w:val="26"/>
          <w:lang w:val="es-ES" w:eastAsia="es-ES"/>
        </w:rPr>
        <w:t xml:space="preserve"> </w:t>
      </w:r>
      <w:r w:rsidRPr="004D3322">
        <w:rPr>
          <w:rFonts w:ascii="Arial" w:eastAsia="Times New Roman" w:hAnsi="Arial" w:cs="Arial"/>
          <w:color w:val="000000"/>
          <w:sz w:val="26"/>
          <w:szCs w:val="26"/>
          <w:lang w:val="es-ES" w:eastAsia="es-ES"/>
        </w:rPr>
        <w:t xml:space="preserve">para que corrija su situación fiscal, indicándole las formas en que podrá pagar, señalando que si no realiza el pago en quince días hábiles la autoridad </w:t>
      </w:r>
      <w:r w:rsidRPr="004D3322">
        <w:rPr>
          <w:rFonts w:ascii="Arial" w:eastAsia="Times New Roman" w:hAnsi="Arial" w:cs="Arial"/>
          <w:b/>
          <w:color w:val="000000"/>
          <w:sz w:val="26"/>
          <w:szCs w:val="26"/>
          <w:lang w:val="es-ES" w:eastAsia="es-ES"/>
        </w:rPr>
        <w:t>podrá</w:t>
      </w:r>
      <w:r w:rsidRPr="004D3322">
        <w:rPr>
          <w:rFonts w:ascii="Arial" w:eastAsia="Times New Roman" w:hAnsi="Arial" w:cs="Arial"/>
          <w:color w:val="000000"/>
          <w:sz w:val="26"/>
          <w:szCs w:val="26"/>
          <w:lang w:val="es-ES" w:eastAsia="es-ES"/>
        </w:rPr>
        <w:t xml:space="preserve"> ejercer sus </w:t>
      </w:r>
      <w:r w:rsidRPr="004D3322">
        <w:rPr>
          <w:rFonts w:ascii="Arial" w:eastAsia="Times New Roman" w:hAnsi="Arial" w:cs="Arial"/>
          <w:b/>
          <w:color w:val="000000"/>
          <w:sz w:val="26"/>
          <w:szCs w:val="26"/>
          <w:lang w:val="es-ES" w:eastAsia="es-ES"/>
        </w:rPr>
        <w:t>facultades de comprobación</w:t>
      </w:r>
      <w:r w:rsidRPr="004D3322">
        <w:rPr>
          <w:rFonts w:ascii="Arial" w:eastAsia="Times New Roman" w:hAnsi="Arial" w:cs="Arial"/>
          <w:color w:val="000000"/>
          <w:sz w:val="26"/>
          <w:szCs w:val="26"/>
          <w:lang w:val="es-ES" w:eastAsia="es-ES"/>
        </w:rPr>
        <w:t xml:space="preserve"> establecidas en la norma. Finalmente, la autoridad hace la aclaración de que el documento en cuestión </w:t>
      </w:r>
      <w:r w:rsidRPr="004D3322">
        <w:rPr>
          <w:rFonts w:ascii="Arial" w:eastAsia="Times New Roman" w:hAnsi="Arial" w:cs="Arial"/>
          <w:b/>
          <w:color w:val="000000"/>
          <w:sz w:val="26"/>
          <w:szCs w:val="26"/>
          <w:lang w:val="es-ES" w:eastAsia="es-ES"/>
        </w:rPr>
        <w:t>no es una resolución</w:t>
      </w:r>
      <w:r w:rsidRPr="004D3322">
        <w:rPr>
          <w:rFonts w:ascii="Arial" w:eastAsia="Times New Roman" w:hAnsi="Arial" w:cs="Arial"/>
          <w:color w:val="000000"/>
          <w:sz w:val="26"/>
          <w:szCs w:val="26"/>
          <w:lang w:val="es-ES" w:eastAsia="es-ES"/>
        </w:rPr>
        <w:t xml:space="preserve">, por ende, </w:t>
      </w:r>
      <w:r w:rsidRPr="004D3322">
        <w:rPr>
          <w:rFonts w:ascii="Arial" w:eastAsia="Times New Roman" w:hAnsi="Arial" w:cs="Arial"/>
          <w:b/>
          <w:color w:val="000000"/>
          <w:sz w:val="26"/>
          <w:szCs w:val="26"/>
          <w:lang w:val="es-ES" w:eastAsia="es-ES"/>
        </w:rPr>
        <w:t>no es un acto susceptible de impugnación</w:t>
      </w:r>
      <w:r w:rsidRPr="004D3322">
        <w:rPr>
          <w:rFonts w:ascii="Arial" w:eastAsia="Times New Roman" w:hAnsi="Arial" w:cs="Arial"/>
          <w:color w:val="000000"/>
          <w:sz w:val="26"/>
          <w:szCs w:val="26"/>
          <w:lang w:val="es-ES" w:eastAsia="es-ES"/>
        </w:rPr>
        <w:t>.</w:t>
      </w:r>
    </w:p>
    <w:p w:rsidR="004D3322" w:rsidRPr="004D3322" w:rsidRDefault="004D3322" w:rsidP="004D3322">
      <w:pPr>
        <w:spacing w:after="0" w:line="360" w:lineRule="auto"/>
        <w:ind w:firstLine="708"/>
        <w:jc w:val="both"/>
        <w:rPr>
          <w:rFonts w:ascii="Arial" w:eastAsiaTheme="minorEastAsia" w:hAnsi="Arial" w:cs="Arial"/>
          <w:sz w:val="26"/>
          <w:szCs w:val="26"/>
          <w:lang w:eastAsia="es-MX"/>
        </w:rPr>
      </w:pPr>
    </w:p>
    <w:p w:rsidR="004D3322" w:rsidRPr="004D3322" w:rsidRDefault="004D3322" w:rsidP="004D3322">
      <w:pPr>
        <w:spacing w:after="0" w:line="360" w:lineRule="auto"/>
        <w:ind w:firstLine="708"/>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En el caso, resulta que el acto que por esta vía se impugna, no se considera definitivo para efectos del juicio contencioso administrativo, debido a que de acuerdo con el artículo 7° de la Ley Orgánica de este Tribunal, la competencia de este Órgano se limita al conocimiento de </w:t>
      </w:r>
      <w:r w:rsidRPr="004D3322">
        <w:rPr>
          <w:rFonts w:ascii="Arial" w:eastAsiaTheme="minorEastAsia" w:hAnsi="Arial" w:cs="Arial"/>
          <w:b/>
          <w:sz w:val="26"/>
          <w:szCs w:val="26"/>
          <w:lang w:eastAsia="es-MX"/>
        </w:rPr>
        <w:t xml:space="preserve">los juicios que se promuevan contra las resoluciones definitivas, actos administrativos y procedimientos </w:t>
      </w:r>
      <w:r w:rsidRPr="004D3322">
        <w:rPr>
          <w:rFonts w:ascii="Arial" w:eastAsiaTheme="minorEastAsia" w:hAnsi="Arial" w:cs="Arial"/>
          <w:sz w:val="26"/>
          <w:szCs w:val="26"/>
          <w:lang w:eastAsia="es-MX"/>
        </w:rPr>
        <w:t>que ahí se enlistan.</w:t>
      </w:r>
    </w:p>
    <w:p w:rsidR="004D3322" w:rsidRPr="004D3322" w:rsidRDefault="004D3322" w:rsidP="004D3322">
      <w:pPr>
        <w:spacing w:after="0" w:line="360" w:lineRule="auto"/>
        <w:ind w:firstLine="708"/>
        <w:jc w:val="both"/>
        <w:rPr>
          <w:rFonts w:ascii="Arial" w:eastAsia="Times New Roman" w:hAnsi="Arial" w:cs="Arial"/>
          <w:color w:val="000000"/>
          <w:sz w:val="26"/>
          <w:szCs w:val="26"/>
          <w:lang w:val="es-ES" w:eastAsia="es-ES"/>
        </w:rPr>
      </w:pPr>
    </w:p>
    <w:p w:rsid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De tal manera que, si bien es cierto, en la fracción I se menciona que se conocerá de las controversias de carácter administrativo y fiscal derivadas de actos o resoluciones definitivas, o que pongan fin a un procedimiento, que dicten, ordenen, ejecuten o traten de ejecutar en agravio de los particulares; asimismo, que la fracción XI, dispone la competencia sobre las resoluciones dictadas por las autoridades administrativas que pongan fin a un procedimiento administrativo, a una instancia o resuelvan un expediente; no menos cierto es que todos los actos administrativos o resoluciones se sujetan a que se </w:t>
      </w:r>
      <w:r w:rsidRPr="004D3322">
        <w:rPr>
          <w:rFonts w:ascii="Arial" w:eastAsiaTheme="minorEastAsia" w:hAnsi="Arial" w:cs="Arial"/>
          <w:b/>
          <w:sz w:val="26"/>
          <w:szCs w:val="26"/>
          <w:lang w:eastAsia="es-MX"/>
        </w:rPr>
        <w:t>surta la definitividad para efectos del juicio contencioso administrativo</w:t>
      </w:r>
      <w:r w:rsidRPr="004D3322">
        <w:rPr>
          <w:rFonts w:ascii="Arial" w:eastAsiaTheme="minorEastAsia" w:hAnsi="Arial" w:cs="Arial"/>
          <w:sz w:val="26"/>
          <w:szCs w:val="26"/>
          <w:lang w:eastAsia="es-MX"/>
        </w:rPr>
        <w:t>, al grado que en el penúltimo párrafo del artículo, se establece que para los efectos del mismo, las resoluciones se considerarán definitivas cuando no admitan recurso administrativo o cuando la interposición de éste sea optativa.</w:t>
      </w:r>
    </w:p>
    <w:p w:rsidR="004D3322" w:rsidRP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Entonces, para que el juicio contencioso administrativo sea procedente ante este Tribunal, es indispensable que la resolución administrativa en cuestión sea definitiva y que se actualice alguna de las hipótesis previstas en el artículo 7° de la Ley Orgánica</w:t>
      </w:r>
      <w:r w:rsidR="00B30615">
        <w:rPr>
          <w:rFonts w:ascii="Arial" w:eastAsiaTheme="minorEastAsia" w:hAnsi="Arial" w:cs="Arial"/>
          <w:sz w:val="26"/>
          <w:szCs w:val="26"/>
          <w:lang w:eastAsia="es-MX"/>
        </w:rPr>
        <w:t xml:space="preserve"> del Tribunal Estatal de Justicia Administrativa de San Luis Potosí</w:t>
      </w:r>
      <w:r w:rsidRPr="004D3322">
        <w:rPr>
          <w:rFonts w:ascii="Arial" w:eastAsiaTheme="minorEastAsia" w:hAnsi="Arial" w:cs="Arial"/>
          <w:sz w:val="26"/>
          <w:szCs w:val="26"/>
          <w:lang w:eastAsia="es-MX"/>
        </w:rPr>
        <w:t xml:space="preserve">. </w:t>
      </w:r>
    </w:p>
    <w:p w:rsidR="004D3322" w:rsidRP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Dicha definitividad no se determina únicamente por la imposibilidad de interponer un recurso, sino también por su naturaleza jurídica y su función dentro del procedimiento administrativo. </w:t>
      </w:r>
    </w:p>
    <w:p w:rsidR="004D3322" w:rsidRP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4D3322" w:rsidRDefault="00B30615"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r>
        <w:rPr>
          <w:rFonts w:ascii="Arial" w:eastAsiaTheme="minorEastAsia" w:hAnsi="Arial" w:cs="Arial"/>
          <w:b/>
          <w:sz w:val="26"/>
          <w:szCs w:val="26"/>
          <w:lang w:eastAsia="es-MX"/>
        </w:rPr>
        <w:lastRenderedPageBreak/>
        <w:t>Por tanto, u</w:t>
      </w:r>
      <w:r w:rsidR="004D3322" w:rsidRPr="004D3322">
        <w:rPr>
          <w:rFonts w:ascii="Arial" w:eastAsiaTheme="minorEastAsia" w:hAnsi="Arial" w:cs="Arial"/>
          <w:b/>
          <w:sz w:val="26"/>
          <w:szCs w:val="26"/>
          <w:lang w:eastAsia="es-MX"/>
        </w:rPr>
        <w:t>na resolución es definitiva</w:t>
      </w:r>
      <w:r w:rsidR="004D3322" w:rsidRPr="004D3322">
        <w:rPr>
          <w:rFonts w:ascii="Arial" w:eastAsiaTheme="minorEastAsia" w:hAnsi="Arial" w:cs="Arial"/>
          <w:sz w:val="26"/>
          <w:szCs w:val="26"/>
          <w:lang w:eastAsia="es-MX"/>
        </w:rPr>
        <w:t xml:space="preserve"> </w:t>
      </w:r>
      <w:r w:rsidR="004D3322" w:rsidRPr="004D3322">
        <w:rPr>
          <w:rFonts w:ascii="Arial" w:eastAsiaTheme="minorEastAsia" w:hAnsi="Arial" w:cs="Arial"/>
          <w:b/>
          <w:sz w:val="26"/>
          <w:szCs w:val="26"/>
          <w:lang w:eastAsia="es-MX"/>
        </w:rPr>
        <w:t>cuando representa la última expresión de voluntad de la administración pública</w:t>
      </w:r>
      <w:r w:rsidR="004D3322" w:rsidRPr="004D3322">
        <w:rPr>
          <w:rFonts w:ascii="Arial" w:eastAsiaTheme="minorEastAsia" w:hAnsi="Arial" w:cs="Arial"/>
          <w:sz w:val="26"/>
          <w:szCs w:val="26"/>
          <w:lang w:eastAsia="es-MX"/>
        </w:rPr>
        <w:t xml:space="preserve">, </w:t>
      </w:r>
      <w:r w:rsidR="004D3322" w:rsidRPr="004D3322">
        <w:rPr>
          <w:rFonts w:ascii="Arial" w:eastAsiaTheme="minorEastAsia" w:hAnsi="Arial" w:cs="Arial"/>
          <w:b/>
          <w:sz w:val="26"/>
          <w:szCs w:val="26"/>
          <w:lang w:eastAsia="es-MX"/>
        </w:rPr>
        <w:t>ya sea porque</w:t>
      </w:r>
      <w:r w:rsidR="004D3322" w:rsidRPr="004D3322">
        <w:rPr>
          <w:rFonts w:ascii="Arial" w:eastAsiaTheme="minorEastAsia" w:hAnsi="Arial" w:cs="Arial"/>
          <w:sz w:val="26"/>
          <w:szCs w:val="26"/>
          <w:lang w:eastAsia="es-MX"/>
        </w:rPr>
        <w:t xml:space="preserve"> </w:t>
      </w:r>
      <w:r w:rsidR="004D3322" w:rsidRPr="004D3322">
        <w:rPr>
          <w:rFonts w:ascii="Arial" w:eastAsiaTheme="minorEastAsia" w:hAnsi="Arial" w:cs="Arial"/>
          <w:b/>
          <w:sz w:val="26"/>
          <w:szCs w:val="26"/>
          <w:lang w:eastAsia="es-MX"/>
        </w:rPr>
        <w:t>concluye un procedimiento</w:t>
      </w:r>
      <w:r w:rsidR="004D3322" w:rsidRPr="004D3322">
        <w:rPr>
          <w:rFonts w:ascii="Arial" w:eastAsiaTheme="minorEastAsia" w:hAnsi="Arial" w:cs="Arial"/>
          <w:sz w:val="26"/>
          <w:szCs w:val="26"/>
          <w:lang w:eastAsia="es-MX"/>
        </w:rPr>
        <w:t xml:space="preserve"> </w:t>
      </w:r>
      <w:r w:rsidR="004D3322" w:rsidRPr="004D3322">
        <w:rPr>
          <w:rFonts w:ascii="Arial" w:eastAsiaTheme="minorEastAsia" w:hAnsi="Arial" w:cs="Arial"/>
          <w:b/>
          <w:sz w:val="26"/>
          <w:szCs w:val="26"/>
          <w:lang w:eastAsia="es-MX"/>
        </w:rPr>
        <w:t>o porque se trata de un acto aislado que genera efectos jurídicos sin necesidad de procedimientos previos</w:t>
      </w:r>
      <w:r w:rsidR="004D3322" w:rsidRPr="004D3322">
        <w:rPr>
          <w:rFonts w:ascii="Arial" w:eastAsiaTheme="minorEastAsia" w:hAnsi="Arial" w:cs="Arial"/>
          <w:sz w:val="26"/>
          <w:szCs w:val="26"/>
          <w:lang w:eastAsia="es-MX"/>
        </w:rPr>
        <w:t>.</w:t>
      </w:r>
    </w:p>
    <w:p w:rsidR="00B30615" w:rsidRPr="004D3322" w:rsidRDefault="00B30615"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En este sentido, los actos declarativos emitidos por las autoridades no pueden considerarse resoluciones definitivas, ya que únicamente lo será aquella resolución que tenga la capacidad de causar agravio al gobernado.</w:t>
      </w:r>
    </w:p>
    <w:p w:rsidR="004D3322" w:rsidRP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Lo anterior, concluye que la competencia del Tribunal es taxativa y no enunciativa, por lo que </w:t>
      </w:r>
      <w:r w:rsidRPr="004D3322">
        <w:rPr>
          <w:rFonts w:ascii="Arial" w:eastAsiaTheme="minorEastAsia" w:hAnsi="Arial" w:cs="Arial"/>
          <w:b/>
          <w:sz w:val="26"/>
          <w:szCs w:val="26"/>
          <w:lang w:eastAsia="es-MX"/>
        </w:rPr>
        <w:t>solo las resoluciones definitivas pueden ser impugnadas</w:t>
      </w:r>
      <w:r w:rsidRPr="004D3322">
        <w:rPr>
          <w:rFonts w:ascii="Arial" w:eastAsiaTheme="minorEastAsia" w:hAnsi="Arial" w:cs="Arial"/>
          <w:sz w:val="26"/>
          <w:szCs w:val="26"/>
          <w:lang w:eastAsia="es-MX"/>
        </w:rPr>
        <w:t>, excluyendo aquellas que sean meramente declarativas o instrumentales dentro de un procedimiento en desarrollo.</w:t>
      </w:r>
    </w:p>
    <w:p w:rsidR="004D3322" w:rsidRP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Así, al realizar un análisis al acto que se pretende impugnar, se advierte que el mismo es de carácter declarativo, en el cual se hace una estimación de lo que puede adeudar la parte actora, asimismo, se hace una invitación al contribuyente a realizar el pago, indicándole que en caso de no realizarlo se podría iniciar las facultades de comprobación de la autoridad. </w:t>
      </w:r>
    </w:p>
    <w:p w:rsidR="004D3322" w:rsidRP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Por lo que</w:t>
      </w:r>
      <w:r w:rsidR="00B30615">
        <w:rPr>
          <w:rFonts w:ascii="Arial" w:eastAsiaTheme="minorEastAsia" w:hAnsi="Arial" w:cs="Arial"/>
          <w:sz w:val="26"/>
          <w:szCs w:val="26"/>
          <w:lang w:eastAsia="es-MX"/>
        </w:rPr>
        <w:t>, resulta</w:t>
      </w:r>
      <w:r w:rsidRPr="004D3322">
        <w:rPr>
          <w:rFonts w:ascii="Arial" w:eastAsiaTheme="minorEastAsia" w:hAnsi="Arial" w:cs="Arial"/>
          <w:sz w:val="26"/>
          <w:szCs w:val="26"/>
          <w:lang w:eastAsia="es-MX"/>
        </w:rPr>
        <w:t xml:space="preserve"> evidente</w:t>
      </w:r>
      <w:r w:rsidR="00B30615">
        <w:rPr>
          <w:rFonts w:ascii="Arial" w:eastAsiaTheme="minorEastAsia" w:hAnsi="Arial" w:cs="Arial"/>
          <w:sz w:val="26"/>
          <w:szCs w:val="26"/>
          <w:lang w:eastAsia="es-MX"/>
        </w:rPr>
        <w:t xml:space="preserve">, </w:t>
      </w:r>
      <w:r w:rsidRPr="004D3322">
        <w:rPr>
          <w:rFonts w:ascii="Arial" w:eastAsiaTheme="minorEastAsia" w:hAnsi="Arial" w:cs="Arial"/>
          <w:sz w:val="26"/>
          <w:szCs w:val="26"/>
          <w:lang w:eastAsia="es-MX"/>
        </w:rPr>
        <w:t>que el documento cuestionado es una carta invitación emitida por la autoridad fiscal, misma que no constituye una resolución definitiva</w:t>
      </w:r>
      <w:r w:rsidR="00B30615">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ni un acto que cause un agravio real y actual en la esfera jurídica del contribuyente. </w:t>
      </w:r>
    </w:p>
    <w:p w:rsidR="004D3322" w:rsidRP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Lo anterior se debe</w:t>
      </w:r>
      <w:r w:rsidR="00B30615">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a que dicho documento</w:t>
      </w:r>
      <w:r w:rsidR="00B30615">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posee un carácter meramente declarativo e informativo, pues su finalidad es únicamente invitar al particular</w:t>
      </w:r>
      <w:r w:rsidR="00B30615">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a corregir voluntariamente su situación fiscal y a aclarar discrepancias, sin que implique la determinación de un crédito fiscal, la imposición de una sanción, o la creación de obligaciones distintas a las ya establecidas en la legislación. Por lo tanto, al no definir la situación jurídica del particular y ser su cumplimiento optativo, </w:t>
      </w:r>
      <w:r w:rsidRPr="004D3322">
        <w:rPr>
          <w:rFonts w:ascii="Arial" w:eastAsiaTheme="minorEastAsia" w:hAnsi="Arial" w:cs="Arial"/>
          <w:sz w:val="26"/>
          <w:szCs w:val="26"/>
          <w:lang w:eastAsia="es-MX"/>
        </w:rPr>
        <w:lastRenderedPageBreak/>
        <w:t>carece de la definitividad requerida</w:t>
      </w:r>
      <w:r w:rsidR="00B30615">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para ser objeto de impugnación en el juicio contencioso administrativo.</w:t>
      </w:r>
    </w:p>
    <w:p w:rsidR="004D3322" w:rsidRP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Sirve de sustento a lo aquí determinado, la tesis aislada de la entonces Segunda Sala de la Suprema Corte de Justicia de la Nación, con número 2a. X/2003 y registro digital 184733, que se cita a continuación:</w:t>
      </w:r>
    </w:p>
    <w:p w:rsidR="004D3322" w:rsidRPr="004D3322" w:rsidRDefault="004D3322" w:rsidP="004D3322">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4D3322" w:rsidRPr="004D3322" w:rsidRDefault="004D3322" w:rsidP="004D3322">
      <w:pPr>
        <w:autoSpaceDE w:val="0"/>
        <w:autoSpaceDN w:val="0"/>
        <w:adjustRightInd w:val="0"/>
        <w:spacing w:after="0" w:line="240" w:lineRule="auto"/>
        <w:ind w:left="709"/>
        <w:jc w:val="both"/>
        <w:rPr>
          <w:rFonts w:ascii="Century Gothic" w:eastAsiaTheme="minorEastAsia" w:hAnsi="Century Gothic"/>
          <w:sz w:val="20"/>
          <w:szCs w:val="20"/>
          <w:lang w:eastAsia="es-MX"/>
        </w:rPr>
      </w:pPr>
      <w:r>
        <w:rPr>
          <w:rFonts w:ascii="Century Gothic" w:eastAsiaTheme="minorEastAsia" w:hAnsi="Century Gothic"/>
          <w:b/>
          <w:sz w:val="20"/>
          <w:szCs w:val="20"/>
          <w:lang w:eastAsia="es-MX"/>
        </w:rPr>
        <w:t>“</w:t>
      </w:r>
      <w:r w:rsidRPr="004D3322">
        <w:rPr>
          <w:rFonts w:ascii="Century Gothic" w:eastAsiaTheme="minorEastAsia" w:hAnsi="Century Gothic"/>
          <w:b/>
          <w:sz w:val="20"/>
          <w:szCs w:val="20"/>
          <w:lang w:eastAsia="es-MX"/>
        </w:rPr>
        <w:t>TRIBUNAL FEDERAL DE JUSTICIA FISCAL Y ADMINISTRATIVA. "RESOLUCIONES ADMINISTRATIVAS DEFINITIVAS". ALCANCE DEL CONCEPTO A QUE SE REFIERE EL ARTÍCULO 11, PRIMER PÁRRAFO, DE LA LEY ORGÁNICA DE DICHO TRIBUNAL.</w:t>
      </w:r>
      <w:r>
        <w:rPr>
          <w:rFonts w:ascii="Century Gothic" w:eastAsiaTheme="minorEastAsia" w:hAnsi="Century Gothic"/>
          <w:b/>
          <w:sz w:val="20"/>
          <w:szCs w:val="20"/>
          <w:lang w:eastAsia="es-MX"/>
        </w:rPr>
        <w:t xml:space="preserve">- </w:t>
      </w:r>
      <w:r w:rsidRPr="004D3322">
        <w:rPr>
          <w:rFonts w:ascii="Century Gothic" w:eastAsiaTheme="minorEastAsia" w:hAnsi="Century Gothic"/>
          <w:sz w:val="20"/>
          <w:szCs w:val="20"/>
          <w:lang w:eastAsia="es-MX"/>
        </w:rPr>
        <w:t>La acción contenciosa administrativa promovida ante el Tribunal Federal de Justicia Fiscal y Administrativa, aun cuando sólo requiere la afectación de un interés, no constituye una potestad procesal contra todo acto de la Administración Pública, pues se trata de un mecanismo de jurisdicción restringida donde la procedencia de la vía está condicionada a que los actos administrativos constituyan "resoluciones definitivas", y que se encuentran mencionadas dentro de las hipótesis de procedencia que prevé el citado artículo 11; ahora bien, aunque este precepto establece que tendrán carácter de "resoluciones definitivas" las que no admitan recurso o admitiéndolo sea optativo, es contrario a derecho determinar el alcance de la definitividad para efectos del juicio contencioso administrativo sólo por esa expresión, ya que también debe considerarse la naturaleza jurídica de la resolución, sea ésta expresa o ficta, la cual debe constituir el producto final o la voluntad definitiva de la Administración Pública, que suele ser de dos formas: a) como última resolución dictada para poner fin a un procedimiento, y b) como manifestación aislada que no requiere de un procedimiento que le anteceda para poder reflejar la última voluntad oficial. En ese tenor, cuando se trata de resoluciones definitivas que culminan un procedimiento administrativo, las fases de dicho procedimiento o actos de naturaleza procedimental no podrán considerarse resoluciones definitivas, pues ese carácter sólo lo tendrá la última decisión del procedimiento, y cuando se impugne ésta podrán reclamarse tanto los vicios de procedimiento como los cometidos en el dictado de la resolución; mientras que, cuando se trate de actos aislados expresos o fictos de la Administración Pública serán definitivos en tanto contengan una determinación o decisión cuyas características impidan reformas que ocasionen agravios a los gobernados.</w:t>
      </w:r>
      <w:r>
        <w:rPr>
          <w:rFonts w:ascii="Century Gothic" w:eastAsiaTheme="minorEastAsia" w:hAnsi="Century Gothic"/>
          <w:sz w:val="20"/>
          <w:szCs w:val="20"/>
          <w:lang w:eastAsia="es-MX"/>
        </w:rPr>
        <w:t>”</w:t>
      </w:r>
    </w:p>
    <w:p w:rsidR="004D3322" w:rsidRPr="004D3322" w:rsidRDefault="004D3322" w:rsidP="004D3322">
      <w:pPr>
        <w:autoSpaceDE w:val="0"/>
        <w:autoSpaceDN w:val="0"/>
        <w:adjustRightInd w:val="0"/>
        <w:spacing w:after="0" w:line="360" w:lineRule="auto"/>
        <w:ind w:firstLine="709"/>
        <w:jc w:val="both"/>
        <w:rPr>
          <w:rFonts w:ascii="Century Gothic" w:eastAsiaTheme="minorEastAsia" w:hAnsi="Century Gothic"/>
          <w:sz w:val="24"/>
          <w:szCs w:val="24"/>
          <w:lang w:eastAsia="es-MX"/>
        </w:rPr>
      </w:pPr>
    </w:p>
    <w:p w:rsidR="004D3322" w:rsidRDefault="004D3322" w:rsidP="004D3322">
      <w:pPr>
        <w:autoSpaceDE w:val="0"/>
        <w:autoSpaceDN w:val="0"/>
        <w:adjustRightInd w:val="0"/>
        <w:spacing w:after="0" w:line="360" w:lineRule="auto"/>
        <w:jc w:val="both"/>
        <w:rPr>
          <w:rFonts w:ascii="Arial" w:eastAsia="Times New Roman" w:hAnsi="Arial" w:cs="Arial"/>
          <w:color w:val="000000"/>
          <w:sz w:val="26"/>
          <w:szCs w:val="26"/>
          <w:lang w:val="es-ES" w:eastAsia="es-ES"/>
        </w:rPr>
      </w:pPr>
      <w:r w:rsidRPr="004D3322">
        <w:rPr>
          <w:rFonts w:ascii="Century Gothic" w:eastAsia="Times New Roman" w:hAnsi="Century Gothic" w:cs="Arial"/>
          <w:color w:val="000000"/>
          <w:sz w:val="24"/>
          <w:szCs w:val="24"/>
          <w:lang w:val="es-ES" w:eastAsia="es-ES"/>
        </w:rPr>
        <w:tab/>
      </w:r>
      <w:r w:rsidRPr="004D3322">
        <w:rPr>
          <w:rFonts w:ascii="Arial" w:eastAsia="Times New Roman" w:hAnsi="Arial" w:cs="Arial"/>
          <w:color w:val="000000"/>
          <w:sz w:val="26"/>
          <w:szCs w:val="26"/>
          <w:lang w:val="es-ES" w:eastAsia="es-ES"/>
        </w:rPr>
        <w:t>Asimismo, la tesis jurisprudencial de la misma Sala mencionada, número 2a</w:t>
      </w:r>
      <w:proofErr w:type="gramStart"/>
      <w:r w:rsidRPr="004D3322">
        <w:rPr>
          <w:rFonts w:ascii="Arial" w:eastAsia="Times New Roman" w:hAnsi="Arial" w:cs="Arial"/>
          <w:color w:val="000000"/>
          <w:sz w:val="26"/>
          <w:szCs w:val="26"/>
          <w:lang w:val="es-ES" w:eastAsia="es-ES"/>
        </w:rPr>
        <w:t>./</w:t>
      </w:r>
      <w:proofErr w:type="gramEnd"/>
      <w:r w:rsidRPr="004D3322">
        <w:rPr>
          <w:rFonts w:ascii="Arial" w:eastAsia="Times New Roman" w:hAnsi="Arial" w:cs="Arial"/>
          <w:color w:val="000000"/>
          <w:sz w:val="26"/>
          <w:szCs w:val="26"/>
          <w:lang w:val="es-ES" w:eastAsia="es-ES"/>
        </w:rPr>
        <w:t xml:space="preserve">J. 62/2013 (10a.) y registro digital 2003822, que a la letra dice: </w:t>
      </w:r>
    </w:p>
    <w:p w:rsidR="00B22ACB" w:rsidRPr="004D3322" w:rsidRDefault="00B22ACB" w:rsidP="004D3322">
      <w:pPr>
        <w:autoSpaceDE w:val="0"/>
        <w:autoSpaceDN w:val="0"/>
        <w:adjustRightInd w:val="0"/>
        <w:spacing w:after="0" w:line="360" w:lineRule="auto"/>
        <w:jc w:val="both"/>
        <w:rPr>
          <w:rFonts w:ascii="Arial" w:eastAsia="Times New Roman" w:hAnsi="Arial" w:cs="Arial"/>
          <w:color w:val="000000"/>
          <w:sz w:val="26"/>
          <w:szCs w:val="26"/>
          <w:lang w:val="es-ES" w:eastAsia="es-ES"/>
        </w:rPr>
      </w:pPr>
    </w:p>
    <w:p w:rsidR="004D3322" w:rsidRPr="004D3322" w:rsidRDefault="004D3322" w:rsidP="004D3322">
      <w:pPr>
        <w:autoSpaceDE w:val="0"/>
        <w:autoSpaceDN w:val="0"/>
        <w:adjustRightInd w:val="0"/>
        <w:spacing w:after="0" w:line="240" w:lineRule="auto"/>
        <w:ind w:left="708"/>
        <w:jc w:val="both"/>
        <w:rPr>
          <w:rFonts w:ascii="Century Gothic" w:eastAsia="Times New Roman" w:hAnsi="Century Gothic" w:cs="Arial"/>
          <w:color w:val="000000"/>
          <w:sz w:val="20"/>
          <w:szCs w:val="24"/>
          <w:lang w:val="es-ES" w:eastAsia="es-ES"/>
        </w:rPr>
      </w:pPr>
      <w:r>
        <w:rPr>
          <w:rFonts w:ascii="Century Gothic" w:eastAsia="Times New Roman" w:hAnsi="Century Gothic" w:cs="Arial"/>
          <w:b/>
          <w:color w:val="000000"/>
          <w:sz w:val="20"/>
          <w:szCs w:val="24"/>
          <w:lang w:val="es-ES" w:eastAsia="es-ES"/>
        </w:rPr>
        <w:t>“</w:t>
      </w:r>
      <w:r w:rsidRPr="004D3322">
        <w:rPr>
          <w:rFonts w:ascii="Century Gothic" w:eastAsia="Times New Roman" w:hAnsi="Century Gothic" w:cs="Arial"/>
          <w:b/>
          <w:color w:val="000000"/>
          <w:sz w:val="20"/>
          <w:szCs w:val="24"/>
          <w:lang w:val="es-ES" w:eastAsia="es-ES"/>
        </w:rPr>
        <w:t>CARTA INVITACIÓN AL CONTRIBUYENTE PARA QUE REGULARICE EL PAGO DEL IMPUESTO SOBRE LA RENTA DERIVADO DE SUS INGRESOS POR DEPÓSITOS EN EFECTIVO. NO ES IMPUGNABLE EN SEDE CONTENCIOSA ADMINISTRATIVA</w:t>
      </w:r>
      <w:r>
        <w:rPr>
          <w:rFonts w:ascii="Century Gothic" w:eastAsia="Times New Roman" w:hAnsi="Century Gothic" w:cs="Arial"/>
          <w:color w:val="000000"/>
          <w:sz w:val="20"/>
          <w:szCs w:val="24"/>
          <w:lang w:val="es-ES" w:eastAsia="es-ES"/>
        </w:rPr>
        <w:t xml:space="preserve">.- </w:t>
      </w:r>
      <w:r w:rsidRPr="004D3322">
        <w:rPr>
          <w:rFonts w:ascii="Century Gothic" w:eastAsia="Times New Roman" w:hAnsi="Century Gothic" w:cs="Arial"/>
          <w:color w:val="000000"/>
          <w:sz w:val="20"/>
          <w:szCs w:val="24"/>
          <w:lang w:val="es-ES" w:eastAsia="es-ES"/>
        </w:rPr>
        <w:t xml:space="preserve">La carta invitación del Servicio de Administración Tributaria dirigida al contribuyente para regularizar su situación fiscal con relación al pago del impuesto sobre la renta, derivado de los ingresos ciertos y determinados originados por depósitos en efectivo a su favor, efectuados durante un ejercicio fiscal específico, no constituye una resolución definitiva impugnable en el juicio contencioso administrativo, conforme al artículo 14, fracción I, de la Ley Orgánica del Tribunal Federal de Justicia Fiscal y Administrativa, pues </w:t>
      </w:r>
      <w:r w:rsidRPr="004D3322">
        <w:rPr>
          <w:rFonts w:ascii="Century Gothic" w:eastAsia="Times New Roman" w:hAnsi="Century Gothic" w:cs="Arial"/>
          <w:color w:val="000000"/>
          <w:sz w:val="20"/>
          <w:szCs w:val="24"/>
          <w:lang w:val="es-ES" w:eastAsia="es-ES"/>
        </w:rPr>
        <w:lastRenderedPageBreak/>
        <w:t>se trata únicamente de un acto declarativo a través del cual la autoridad exhorta al contribuyente a corregir su situación fiscal respecto de las omisiones detectadas, acogiéndose a los beneficios establecidos por la regla de la Resolución Miscelánea Fiscal correspondiente, y presentándole una propuesta de pago que no le ocasiona un perjuicio real en su esfera jurídica, en la medida en que a través de este acto la autoridad exclusivamente señala una cantidad que obra en sus registros y que sólo tendrá en cuenta cuando ejerza sus facultades de comprobación y, en consecuencia, emita una resolución que establezca obligaciones para el contribuyente fiscalizado, la que sí será definitiva para efectos de la procedencia de la vía contenciosa administrativa, por incidir en su esfera jurídica al fijarle un crédito a su cargo. A lo anterior se suma que en el texto de la propia carta se informe expresamente que esa invitación no determina cantidad alguna a pagar, ni crea derechos, lo cual significa que su inobservancia tampoco provoca la pérdida de los beneficios concedidos por la mencionada regla, pues para que así sea debe contener, además del apercibimiento en tal sentido, la correspondiente declaración de incumplimiento que lo haga efectivo y, en el caso, la autoridad sólo se limita a dar noticia de la existencia de un presunto adeudo, sin establecer consecuencias jurídicas para el interesado.</w:t>
      </w:r>
      <w:r>
        <w:rPr>
          <w:rFonts w:ascii="Century Gothic" w:eastAsia="Times New Roman" w:hAnsi="Century Gothic" w:cs="Arial"/>
          <w:color w:val="000000"/>
          <w:sz w:val="20"/>
          <w:szCs w:val="24"/>
          <w:lang w:val="es-ES" w:eastAsia="es-ES"/>
        </w:rPr>
        <w:t>”</w:t>
      </w:r>
    </w:p>
    <w:p w:rsidR="004D3322" w:rsidRPr="004D3322" w:rsidRDefault="004D3322" w:rsidP="004D3322">
      <w:pPr>
        <w:autoSpaceDE w:val="0"/>
        <w:autoSpaceDN w:val="0"/>
        <w:adjustRightInd w:val="0"/>
        <w:spacing w:after="0" w:line="360" w:lineRule="auto"/>
        <w:jc w:val="both"/>
        <w:rPr>
          <w:rFonts w:ascii="Century Gothic" w:eastAsia="Times New Roman" w:hAnsi="Century Gothic" w:cs="Arial"/>
          <w:color w:val="000000"/>
          <w:sz w:val="24"/>
          <w:szCs w:val="24"/>
          <w:lang w:val="es-ES" w:eastAsia="es-ES"/>
        </w:rPr>
      </w:pPr>
    </w:p>
    <w:p w:rsidR="001147AE" w:rsidRPr="00B22ACB" w:rsidRDefault="004D3322" w:rsidP="001147AE">
      <w:pPr>
        <w:spacing w:line="360" w:lineRule="auto"/>
        <w:ind w:firstLine="708"/>
        <w:contextualSpacing/>
        <w:jc w:val="both"/>
        <w:rPr>
          <w:rFonts w:ascii="Arial" w:hAnsi="Arial" w:cs="Arial"/>
          <w:sz w:val="26"/>
          <w:szCs w:val="26"/>
        </w:rPr>
      </w:pPr>
      <w:r w:rsidRPr="004D3322">
        <w:rPr>
          <w:rFonts w:ascii="Arial" w:hAnsi="Arial" w:cs="Arial"/>
          <w:sz w:val="26"/>
          <w:szCs w:val="26"/>
          <w:lang w:eastAsia="es-MX"/>
        </w:rPr>
        <w:t>En tal virtud, derivado del hecho de que el acto que se impugna no es definitivo para efectos del juicio contencioso administrativo</w:t>
      </w:r>
      <w:r w:rsidR="001147AE" w:rsidRPr="00B22ACB">
        <w:rPr>
          <w:rFonts w:ascii="Arial" w:hAnsi="Arial" w:cs="Arial"/>
          <w:sz w:val="26"/>
          <w:szCs w:val="26"/>
          <w:lang w:eastAsia="es-MX"/>
        </w:rPr>
        <w:t>,</w:t>
      </w:r>
      <w:r w:rsidRPr="004D3322">
        <w:rPr>
          <w:rFonts w:ascii="Arial" w:hAnsi="Arial" w:cs="Arial"/>
          <w:sz w:val="26"/>
          <w:szCs w:val="26"/>
          <w:lang w:eastAsia="es-MX"/>
        </w:rPr>
        <w:t xml:space="preserve"> según lo establecido en el artículo 7° de la Ley Orgánica del Tribunal</w:t>
      </w:r>
      <w:r w:rsidR="00B22ACB" w:rsidRPr="00B22ACB">
        <w:rPr>
          <w:rFonts w:ascii="Arial" w:hAnsi="Arial" w:cs="Arial"/>
          <w:sz w:val="26"/>
          <w:szCs w:val="26"/>
          <w:lang w:eastAsia="es-MX"/>
        </w:rPr>
        <w:t xml:space="preserve"> Estatal de Justicia Administrativa</w:t>
      </w:r>
      <w:r w:rsidRPr="004D3322">
        <w:rPr>
          <w:rFonts w:ascii="Arial" w:hAnsi="Arial" w:cs="Arial"/>
          <w:sz w:val="26"/>
          <w:szCs w:val="26"/>
          <w:lang w:eastAsia="es-MX"/>
        </w:rPr>
        <w:t xml:space="preserve">, </w:t>
      </w:r>
      <w:r w:rsidRPr="004D3322">
        <w:rPr>
          <w:rFonts w:ascii="Arial" w:hAnsi="Arial" w:cs="Arial"/>
          <w:b/>
          <w:sz w:val="26"/>
          <w:szCs w:val="26"/>
          <w:lang w:eastAsia="es-MX"/>
        </w:rPr>
        <w:t>se actualiza un motivo manifiesto e indudable de improcedencia</w:t>
      </w:r>
      <w:r w:rsidRPr="004D3322">
        <w:rPr>
          <w:rFonts w:ascii="Arial" w:hAnsi="Arial" w:cs="Arial"/>
          <w:sz w:val="26"/>
          <w:szCs w:val="26"/>
          <w:lang w:eastAsia="es-MX"/>
        </w:rPr>
        <w:t>, por lo que con base en el artículo 228, fracción X</w:t>
      </w:r>
      <w:r w:rsidR="001147AE" w:rsidRPr="00B22ACB">
        <w:rPr>
          <w:rFonts w:ascii="Arial" w:hAnsi="Arial" w:cs="Arial"/>
          <w:sz w:val="26"/>
          <w:szCs w:val="26"/>
          <w:lang w:eastAsia="es-MX"/>
        </w:rPr>
        <w:t>, en relación con el 229 fracción VIII,</w:t>
      </w:r>
      <w:r w:rsidRPr="004D3322">
        <w:rPr>
          <w:rFonts w:ascii="Arial" w:hAnsi="Arial" w:cs="Arial"/>
          <w:sz w:val="26"/>
          <w:szCs w:val="26"/>
          <w:lang w:eastAsia="es-MX"/>
        </w:rPr>
        <w:t xml:space="preserve"> del Código Procesal Administrativo para el Estado </w:t>
      </w:r>
      <w:r w:rsidR="001147AE" w:rsidRPr="00B22ACB">
        <w:rPr>
          <w:rFonts w:ascii="Arial" w:hAnsi="Arial" w:cs="Arial"/>
          <w:sz w:val="26"/>
          <w:szCs w:val="26"/>
          <w:lang w:eastAsia="es-MX"/>
        </w:rPr>
        <w:t xml:space="preserve">de San Luis Potosí, </w:t>
      </w:r>
      <w:r w:rsidR="001147AE" w:rsidRPr="00B22ACB">
        <w:rPr>
          <w:rFonts w:ascii="Arial" w:hAnsi="Arial" w:cs="Arial"/>
          <w:sz w:val="26"/>
          <w:szCs w:val="26"/>
        </w:rPr>
        <w:t xml:space="preserve">lo procedente es decretar el </w:t>
      </w:r>
      <w:r w:rsidR="001147AE" w:rsidRPr="00B22ACB">
        <w:rPr>
          <w:rFonts w:ascii="Arial" w:hAnsi="Arial" w:cs="Arial"/>
          <w:b/>
          <w:sz w:val="26"/>
          <w:szCs w:val="26"/>
        </w:rPr>
        <w:t>SOBRESEIMIENTO</w:t>
      </w:r>
      <w:r w:rsidR="001147AE" w:rsidRPr="00B22ACB">
        <w:rPr>
          <w:rFonts w:ascii="Arial" w:hAnsi="Arial" w:cs="Arial"/>
          <w:sz w:val="26"/>
          <w:szCs w:val="26"/>
        </w:rPr>
        <w:t xml:space="preserve"> del juicio.</w:t>
      </w:r>
    </w:p>
    <w:p w:rsidR="001147AE" w:rsidRPr="00B22ACB" w:rsidRDefault="001147AE" w:rsidP="001147AE">
      <w:pPr>
        <w:spacing w:after="0" w:line="360" w:lineRule="auto"/>
        <w:ind w:firstLine="709"/>
        <w:jc w:val="both"/>
        <w:rPr>
          <w:rFonts w:ascii="Arial" w:eastAsia="Calibri" w:hAnsi="Arial" w:cs="Arial"/>
          <w:sz w:val="26"/>
          <w:szCs w:val="26"/>
          <w:lang w:val="es-ES"/>
        </w:rPr>
      </w:pPr>
    </w:p>
    <w:p w:rsidR="001147AE" w:rsidRPr="00B22ACB" w:rsidRDefault="001147AE" w:rsidP="001147AE">
      <w:pPr>
        <w:tabs>
          <w:tab w:val="left" w:pos="709"/>
          <w:tab w:val="left" w:pos="8389"/>
        </w:tabs>
        <w:spacing w:line="360" w:lineRule="auto"/>
        <w:jc w:val="both"/>
        <w:rPr>
          <w:rFonts w:ascii="Arial" w:eastAsia="Calibri" w:hAnsi="Arial" w:cs="Arial"/>
          <w:sz w:val="26"/>
          <w:szCs w:val="26"/>
        </w:rPr>
      </w:pPr>
      <w:r w:rsidRPr="00B22ACB">
        <w:rPr>
          <w:rFonts w:ascii="Arial" w:hAnsi="Arial" w:cs="Arial"/>
          <w:sz w:val="26"/>
          <w:szCs w:val="26"/>
        </w:rPr>
        <w:tab/>
      </w:r>
      <w:r w:rsidRPr="00B22ACB">
        <w:rPr>
          <w:rFonts w:ascii="Arial" w:eastAsia="Calibri" w:hAnsi="Arial" w:cs="Arial"/>
          <w:sz w:val="26"/>
          <w:szCs w:val="26"/>
        </w:rPr>
        <w:t xml:space="preserve">Por lo expuesto, fundado y con apoyo en </w:t>
      </w:r>
      <w:r w:rsidRPr="00B22ACB">
        <w:rPr>
          <w:rFonts w:ascii="Arial" w:eastAsia="Times New Roman" w:hAnsi="Arial" w:cs="Arial"/>
          <w:sz w:val="26"/>
          <w:szCs w:val="26"/>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w:t>
      </w:r>
      <w:r w:rsidRPr="00B22ACB">
        <w:rPr>
          <w:rFonts w:ascii="Arial" w:eastAsia="Calibri" w:hAnsi="Arial" w:cs="Arial"/>
          <w:sz w:val="26"/>
          <w:szCs w:val="26"/>
        </w:rPr>
        <w:t>1º, 2º, 228 fracción X</w:t>
      </w:r>
      <w:r w:rsidRPr="00B22ACB">
        <w:rPr>
          <w:rFonts w:ascii="Arial" w:eastAsia="Times New Roman" w:hAnsi="Arial" w:cs="Arial"/>
          <w:sz w:val="26"/>
          <w:szCs w:val="26"/>
          <w:lang w:eastAsia="es-ES"/>
        </w:rPr>
        <w:t xml:space="preserve">, 229 fracción VIII, 248 y 249, del Código Procesal Administrativo para el Estado de San Luis Potosí; </w:t>
      </w:r>
      <w:r w:rsidRPr="00B22ACB">
        <w:rPr>
          <w:rFonts w:ascii="Arial" w:eastAsia="Calibri" w:hAnsi="Arial" w:cs="Arial"/>
          <w:sz w:val="26"/>
          <w:szCs w:val="26"/>
        </w:rPr>
        <w:t>es de resolverse y se,</w:t>
      </w:r>
    </w:p>
    <w:p w:rsidR="001147AE" w:rsidRPr="00B22ACB" w:rsidRDefault="001147AE" w:rsidP="001147AE">
      <w:pPr>
        <w:spacing w:after="0" w:line="360" w:lineRule="auto"/>
        <w:jc w:val="center"/>
        <w:rPr>
          <w:rFonts w:ascii="Arial" w:eastAsia="Calibri" w:hAnsi="Arial" w:cs="Arial"/>
          <w:b/>
          <w:sz w:val="26"/>
          <w:szCs w:val="26"/>
        </w:rPr>
      </w:pPr>
      <w:r w:rsidRPr="00B22ACB">
        <w:rPr>
          <w:rFonts w:ascii="Arial" w:eastAsia="Calibri" w:hAnsi="Arial" w:cs="Arial"/>
          <w:b/>
          <w:sz w:val="26"/>
          <w:szCs w:val="26"/>
        </w:rPr>
        <w:t>R E S U E L V E</w:t>
      </w:r>
    </w:p>
    <w:p w:rsidR="001147AE" w:rsidRPr="00B22ACB" w:rsidRDefault="001147AE" w:rsidP="001147AE">
      <w:pPr>
        <w:spacing w:after="0" w:line="360" w:lineRule="auto"/>
        <w:ind w:firstLine="709"/>
        <w:jc w:val="both"/>
        <w:rPr>
          <w:rFonts w:ascii="Arial" w:eastAsia="Calibri" w:hAnsi="Arial" w:cs="Arial"/>
          <w:b/>
          <w:sz w:val="26"/>
          <w:szCs w:val="26"/>
        </w:rPr>
      </w:pPr>
    </w:p>
    <w:p w:rsidR="001147AE" w:rsidRPr="00B22ACB" w:rsidRDefault="001147AE" w:rsidP="001147AE">
      <w:pPr>
        <w:spacing w:after="0" w:line="360" w:lineRule="auto"/>
        <w:ind w:firstLine="709"/>
        <w:jc w:val="both"/>
        <w:rPr>
          <w:rFonts w:ascii="Arial" w:eastAsia="Calibri" w:hAnsi="Arial" w:cs="Arial"/>
          <w:sz w:val="26"/>
          <w:szCs w:val="26"/>
        </w:rPr>
      </w:pPr>
      <w:r w:rsidRPr="00B22ACB">
        <w:rPr>
          <w:rFonts w:ascii="Arial" w:eastAsia="Calibri" w:hAnsi="Arial" w:cs="Arial"/>
          <w:b/>
          <w:sz w:val="26"/>
          <w:szCs w:val="26"/>
        </w:rPr>
        <w:t>PRIMERO.-</w:t>
      </w:r>
      <w:r w:rsidRPr="00B22ACB">
        <w:rPr>
          <w:rFonts w:ascii="Arial" w:eastAsia="Calibri" w:hAnsi="Arial" w:cs="Arial"/>
          <w:sz w:val="26"/>
          <w:szCs w:val="26"/>
        </w:rPr>
        <w:t xml:space="preserve"> Esta </w:t>
      </w:r>
      <w:r w:rsidRPr="00B22ACB">
        <w:rPr>
          <w:rFonts w:ascii="Arial" w:eastAsia="Calibri" w:hAnsi="Arial" w:cs="Arial"/>
          <w:b/>
          <w:sz w:val="26"/>
          <w:szCs w:val="26"/>
        </w:rPr>
        <w:t>Tercera Sala Unitaria del Tribunal Estatal de Justicia Administrativa,</w:t>
      </w:r>
      <w:r w:rsidRPr="00B22ACB">
        <w:rPr>
          <w:rFonts w:ascii="Arial" w:eastAsia="Calibri" w:hAnsi="Arial" w:cs="Arial"/>
          <w:sz w:val="26"/>
          <w:szCs w:val="26"/>
        </w:rPr>
        <w:t xml:space="preserve"> resultó competente para conocer y resolver la presente controversia.</w:t>
      </w:r>
    </w:p>
    <w:p w:rsidR="001147AE" w:rsidRPr="00B22ACB" w:rsidRDefault="001147AE" w:rsidP="001147AE">
      <w:pPr>
        <w:spacing w:after="0" w:line="360" w:lineRule="auto"/>
        <w:ind w:firstLine="708"/>
        <w:jc w:val="both"/>
        <w:rPr>
          <w:rFonts w:ascii="Arial" w:eastAsia="Calibri" w:hAnsi="Arial" w:cs="Arial"/>
          <w:sz w:val="26"/>
          <w:szCs w:val="26"/>
        </w:rPr>
      </w:pPr>
    </w:p>
    <w:p w:rsidR="001147AE" w:rsidRPr="00B22ACB" w:rsidRDefault="001147AE" w:rsidP="001147AE">
      <w:pPr>
        <w:spacing w:after="0" w:line="360" w:lineRule="auto"/>
        <w:ind w:firstLine="709"/>
        <w:jc w:val="both"/>
        <w:rPr>
          <w:rFonts w:ascii="Arial" w:eastAsia="Calibri" w:hAnsi="Arial" w:cs="Arial"/>
          <w:sz w:val="26"/>
          <w:szCs w:val="26"/>
        </w:rPr>
      </w:pPr>
      <w:r w:rsidRPr="00B22ACB">
        <w:rPr>
          <w:rFonts w:ascii="Arial" w:eastAsia="Times New Roman" w:hAnsi="Arial" w:cs="Arial"/>
          <w:b/>
          <w:bCs/>
          <w:sz w:val="26"/>
          <w:szCs w:val="26"/>
          <w:lang w:eastAsia="es-ES"/>
        </w:rPr>
        <w:lastRenderedPageBreak/>
        <w:t>SEGUNDO</w:t>
      </w:r>
      <w:r w:rsidRPr="00B22ACB">
        <w:rPr>
          <w:rFonts w:ascii="Arial" w:eastAsia="Times New Roman" w:hAnsi="Arial" w:cs="Arial"/>
          <w:sz w:val="26"/>
          <w:szCs w:val="26"/>
          <w:lang w:eastAsia="es-ES"/>
        </w:rPr>
        <w:t xml:space="preserve">.- </w:t>
      </w:r>
      <w:r w:rsidRPr="00B22ACB">
        <w:rPr>
          <w:rFonts w:ascii="Arial" w:eastAsia="Calibri" w:hAnsi="Arial" w:cs="Arial"/>
          <w:sz w:val="26"/>
          <w:szCs w:val="26"/>
        </w:rPr>
        <w:t xml:space="preserve">Se decreta el </w:t>
      </w:r>
      <w:r w:rsidRPr="00B22ACB">
        <w:rPr>
          <w:rFonts w:ascii="Arial" w:eastAsia="Calibri" w:hAnsi="Arial" w:cs="Arial"/>
          <w:b/>
          <w:sz w:val="26"/>
          <w:szCs w:val="26"/>
        </w:rPr>
        <w:t xml:space="preserve">SOBRESEIMIENTO </w:t>
      </w:r>
      <w:r w:rsidRPr="00B22ACB">
        <w:rPr>
          <w:rFonts w:ascii="Arial" w:eastAsia="Calibri" w:hAnsi="Arial" w:cs="Arial"/>
          <w:sz w:val="26"/>
          <w:szCs w:val="26"/>
        </w:rPr>
        <w:t>del presente juicio contencioso administrativo, por las razones contenidas en el considerando cuarto de esta sentencia.</w:t>
      </w:r>
    </w:p>
    <w:p w:rsidR="001147AE" w:rsidRPr="00B22ACB" w:rsidRDefault="001147AE" w:rsidP="001147AE">
      <w:pPr>
        <w:spacing w:after="0" w:line="360" w:lineRule="auto"/>
        <w:ind w:firstLine="709"/>
        <w:jc w:val="both"/>
        <w:rPr>
          <w:rFonts w:ascii="Arial" w:eastAsia="Calibri" w:hAnsi="Arial" w:cs="Arial"/>
          <w:sz w:val="26"/>
          <w:szCs w:val="26"/>
        </w:rPr>
      </w:pPr>
    </w:p>
    <w:p w:rsidR="001147AE" w:rsidRPr="00B22ACB" w:rsidRDefault="001147AE" w:rsidP="001147AE">
      <w:pPr>
        <w:spacing w:after="0" w:line="360" w:lineRule="auto"/>
        <w:ind w:firstLine="709"/>
        <w:jc w:val="both"/>
        <w:rPr>
          <w:rFonts w:ascii="Arial" w:eastAsia="Calibri" w:hAnsi="Arial" w:cs="Arial"/>
          <w:sz w:val="26"/>
          <w:szCs w:val="26"/>
        </w:rPr>
      </w:pPr>
      <w:r w:rsidRPr="00B22ACB">
        <w:rPr>
          <w:rFonts w:ascii="Arial" w:eastAsia="Times New Roman" w:hAnsi="Arial" w:cs="Arial"/>
          <w:b/>
          <w:color w:val="000000"/>
          <w:sz w:val="26"/>
          <w:szCs w:val="26"/>
          <w:lang w:eastAsia="es-MX"/>
        </w:rPr>
        <w:t xml:space="preserve">TERCERO.- </w:t>
      </w:r>
      <w:r w:rsidRPr="00B22ACB">
        <w:rPr>
          <w:rFonts w:ascii="Arial" w:eastAsia="Calibri" w:hAnsi="Arial" w:cs="Arial"/>
          <w:sz w:val="26"/>
          <w:szCs w:val="26"/>
        </w:rPr>
        <w:t>Notifíquese personalmente a la parte actora; y por oficio a la autoridad demandada, con copia autorizada de esta resolución.</w:t>
      </w:r>
    </w:p>
    <w:p w:rsidR="001147AE" w:rsidRPr="00B22ACB" w:rsidRDefault="001147AE" w:rsidP="001147AE">
      <w:pPr>
        <w:spacing w:after="0" w:line="360" w:lineRule="auto"/>
        <w:ind w:firstLine="709"/>
        <w:jc w:val="both"/>
        <w:rPr>
          <w:rFonts w:ascii="Arial" w:eastAsia="Calibri" w:hAnsi="Arial" w:cs="Arial"/>
          <w:sz w:val="26"/>
          <w:szCs w:val="26"/>
        </w:rPr>
      </w:pPr>
    </w:p>
    <w:p w:rsidR="001147AE" w:rsidRPr="00B22ACB" w:rsidRDefault="001147AE" w:rsidP="001147AE">
      <w:pPr>
        <w:spacing w:line="360" w:lineRule="auto"/>
        <w:ind w:firstLine="709"/>
        <w:jc w:val="both"/>
        <w:rPr>
          <w:rFonts w:ascii="Arial" w:eastAsia="Calibri" w:hAnsi="Arial" w:cs="Arial"/>
          <w:sz w:val="26"/>
          <w:szCs w:val="26"/>
        </w:rPr>
      </w:pPr>
      <w:r w:rsidRPr="00B22ACB">
        <w:rPr>
          <w:rFonts w:ascii="Arial" w:eastAsia="Calibri" w:hAnsi="Arial" w:cs="Arial"/>
          <w:sz w:val="26"/>
          <w:szCs w:val="26"/>
        </w:rPr>
        <w:t xml:space="preserve">Así lo resolvió y firma, el Magistrado Titular de la Tercera Sala Unitaria del Tribunal Estatal de Justicia Administrativa de San Luis Potosí, </w:t>
      </w:r>
      <w:r w:rsidRPr="00B22ACB">
        <w:rPr>
          <w:rFonts w:ascii="Arial" w:eastAsia="Calibri" w:hAnsi="Arial" w:cs="Arial"/>
          <w:b/>
          <w:sz w:val="26"/>
          <w:szCs w:val="26"/>
        </w:rPr>
        <w:t>Licenciado Jorge Alejandro Vera Noyola,</w:t>
      </w:r>
      <w:r w:rsidRPr="00B22ACB">
        <w:rPr>
          <w:rFonts w:ascii="Arial" w:eastAsia="Calibri" w:hAnsi="Arial" w:cs="Arial"/>
          <w:sz w:val="26"/>
          <w:szCs w:val="26"/>
        </w:rPr>
        <w:t xml:space="preserve"> quien actúa con Secretario de Acuerdos, </w:t>
      </w:r>
      <w:r w:rsidRPr="00B22ACB">
        <w:rPr>
          <w:rFonts w:ascii="Arial" w:eastAsia="Calibri" w:hAnsi="Arial" w:cs="Arial"/>
          <w:b/>
          <w:sz w:val="26"/>
          <w:szCs w:val="26"/>
        </w:rPr>
        <w:t>Licenciado Ismael Méndez Hernández,</w:t>
      </w:r>
      <w:r w:rsidRPr="00B22ACB">
        <w:rPr>
          <w:rFonts w:ascii="Arial" w:eastAsia="Calibri" w:hAnsi="Arial" w:cs="Arial"/>
          <w:sz w:val="26"/>
          <w:szCs w:val="26"/>
        </w:rPr>
        <w:t xml:space="preserve"> que autoriza y da fe. </w:t>
      </w:r>
    </w:p>
    <w:p w:rsidR="009A4B62" w:rsidRPr="003738E0" w:rsidRDefault="009A4B62" w:rsidP="009A4B62">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1147AE" w:rsidRPr="004C3CBF" w:rsidRDefault="001147AE" w:rsidP="009A4B62">
      <w:pPr>
        <w:spacing w:line="360" w:lineRule="auto"/>
        <w:ind w:firstLine="709"/>
        <w:jc w:val="both"/>
        <w:rPr>
          <w:rFonts w:ascii="Arial Narrow" w:hAnsi="Arial Narrow"/>
          <w:sz w:val="28"/>
          <w:szCs w:val="28"/>
        </w:rPr>
      </w:pPr>
      <w:bookmarkStart w:id="0" w:name="_GoBack"/>
      <w:bookmarkEnd w:id="0"/>
    </w:p>
    <w:sectPr w:rsidR="001147AE" w:rsidRPr="004C3CBF" w:rsidSect="00B30615">
      <w:headerReference w:type="even" r:id="rId7"/>
      <w:headerReference w:type="default" r:id="rId8"/>
      <w:headerReference w:type="first" r:id="rId9"/>
      <w:pgSz w:w="12242" w:h="18722" w:code="14"/>
      <w:pgMar w:top="1134" w:right="1134" w:bottom="1134" w:left="2835"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6677" w:rsidRDefault="00206677">
      <w:pPr>
        <w:spacing w:after="0" w:line="240" w:lineRule="auto"/>
      </w:pPr>
      <w:r>
        <w:separator/>
      </w:r>
    </w:p>
  </w:endnote>
  <w:endnote w:type="continuationSeparator" w:id="0">
    <w:p w:rsidR="00206677" w:rsidRDefault="002066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6677" w:rsidRDefault="00206677">
      <w:pPr>
        <w:spacing w:after="0" w:line="240" w:lineRule="auto"/>
      </w:pPr>
      <w:r>
        <w:separator/>
      </w:r>
    </w:p>
  </w:footnote>
  <w:footnote w:type="continuationSeparator" w:id="0">
    <w:p w:rsidR="00206677" w:rsidRDefault="002066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55F" w:rsidRPr="007A07AF" w:rsidRDefault="00FB155F" w:rsidP="00366D36">
    <w:pPr>
      <w:pStyle w:val="Sinespaciado"/>
      <w:rPr>
        <w:rFonts w:ascii="Arial" w:hAnsi="Arial" w:cs="Arial"/>
      </w:rPr>
    </w:pPr>
  </w:p>
  <w:p w:rsidR="00FB155F" w:rsidRPr="00082BB2" w:rsidRDefault="00FB155F" w:rsidP="00366D36">
    <w:pPr>
      <w:pStyle w:val="Sinespaciado"/>
      <w:rPr>
        <w:rFonts w:ascii="Arial" w:hAnsi="Arial" w:cs="Arial"/>
      </w:rPr>
    </w:pPr>
    <w:r w:rsidRPr="00082BB2">
      <w:rPr>
        <w:rFonts w:ascii="Arial" w:hAnsi="Arial" w:cs="Arial"/>
      </w:rPr>
      <w:t xml:space="preserve">Página </w:t>
    </w:r>
    <w:r w:rsidRPr="00082BB2">
      <w:rPr>
        <w:rStyle w:val="Nmerodepgina"/>
        <w:rFonts w:ascii="Arial" w:hAnsi="Arial" w:cs="Arial"/>
      </w:rPr>
      <w:fldChar w:fldCharType="begin"/>
    </w:r>
    <w:r w:rsidRPr="00082BB2">
      <w:rPr>
        <w:rStyle w:val="Nmerodepgina"/>
        <w:rFonts w:ascii="Arial" w:hAnsi="Arial" w:cs="Arial"/>
      </w:rPr>
      <w:instrText xml:space="preserve"> PAGE </w:instrText>
    </w:r>
    <w:r w:rsidRPr="00082BB2">
      <w:rPr>
        <w:rStyle w:val="Nmerodepgina"/>
        <w:rFonts w:ascii="Arial" w:hAnsi="Arial" w:cs="Arial"/>
      </w:rPr>
      <w:fldChar w:fldCharType="separate"/>
    </w:r>
    <w:r w:rsidR="009A4B62">
      <w:rPr>
        <w:rStyle w:val="Nmerodepgina"/>
        <w:rFonts w:ascii="Arial" w:hAnsi="Arial" w:cs="Arial"/>
        <w:noProof/>
      </w:rPr>
      <w:t>10</w:t>
    </w:r>
    <w:r w:rsidRPr="00082BB2">
      <w:rPr>
        <w:rStyle w:val="Nmerodepgina"/>
        <w:rFonts w:ascii="Arial" w:hAnsi="Arial" w:cs="Arial"/>
      </w:rPr>
      <w:fldChar w:fldCharType="end"/>
    </w:r>
  </w:p>
  <w:p w:rsidR="00FB155F" w:rsidRPr="00082BB2" w:rsidRDefault="00FB155F" w:rsidP="00366D36">
    <w:pPr>
      <w:pStyle w:val="Sinespaciado"/>
      <w:rPr>
        <w:rFonts w:ascii="Arial" w:hAnsi="Arial" w:cs="Arial"/>
      </w:rPr>
    </w:pPr>
    <w:proofErr w:type="spellStart"/>
    <w:r w:rsidRPr="00082BB2">
      <w:rPr>
        <w:rFonts w:ascii="Arial" w:hAnsi="Arial" w:cs="Arial"/>
      </w:rPr>
      <w:t>Exp</w:t>
    </w:r>
    <w:proofErr w:type="spellEnd"/>
    <w:r w:rsidRPr="00082BB2">
      <w:rPr>
        <w:rFonts w:ascii="Arial" w:hAnsi="Arial" w:cs="Arial"/>
      </w:rPr>
      <w:t xml:space="preserve">. </w:t>
    </w:r>
    <w:r>
      <w:rPr>
        <w:rFonts w:ascii="Arial" w:hAnsi="Arial" w:cs="Arial"/>
      </w:rPr>
      <w:t>1275</w:t>
    </w:r>
    <w:r w:rsidRPr="00082BB2">
      <w:rPr>
        <w:rFonts w:ascii="Arial" w:hAnsi="Arial" w:cs="Arial"/>
      </w:rPr>
      <w:t>/202</w:t>
    </w:r>
    <w:r>
      <w:rPr>
        <w:rFonts w:ascii="Arial" w:hAnsi="Arial" w:cs="Arial"/>
      </w:rPr>
      <w:t>5</w:t>
    </w:r>
    <w:r w:rsidRPr="00082BB2">
      <w:rPr>
        <w:rFonts w:ascii="Arial" w:hAnsi="Arial" w:cs="Arial"/>
        <w:color w:val="000000"/>
      </w:rPr>
      <w:t>-3</w:t>
    </w:r>
  </w:p>
  <w:p w:rsidR="00FB155F" w:rsidRPr="00E70E28" w:rsidRDefault="00FB155F" w:rsidP="00366D36">
    <w:pPr>
      <w:pStyle w:val="Encabezado"/>
      <w:rPr>
        <w:rFonts w:ascii="Arial" w:hAnsi="Arial" w:cs="Arial"/>
        <w: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FB155F" w:rsidRPr="007A07AF" w:rsidRDefault="00FB155F" w:rsidP="00366D36">
    <w:pPr>
      <w:pStyle w:val="Encabezado"/>
      <w:ind w:right="360"/>
      <w:rPr>
        <w:rStyle w:val="Nmerodepgina"/>
        <w:rFonts w:ascii="Arial" w:hAnsi="Arial" w:cs="Arial"/>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9A4B62">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FB155F" w:rsidRPr="00082BB2" w:rsidRDefault="00FB155F" w:rsidP="00366D36">
    <w:pPr>
      <w:pStyle w:val="Sinespaciado"/>
      <w:jc w:val="right"/>
      <w:rPr>
        <w:rFonts w:ascii="Arial" w:hAnsi="Arial" w:cs="Arial"/>
      </w:rPr>
    </w:pPr>
    <w:r>
      <w:rPr>
        <w:rFonts w:ascii="Arial" w:hAnsi="Arial" w:cs="Arial"/>
        <w:noProof/>
        <w:lang w:eastAsia="es-MX"/>
      </w:rPr>
      <mc:AlternateContent>
        <mc:Choice Requires="wps">
          <w:drawing>
            <wp:anchor distT="0" distB="0" distL="114300" distR="114300" simplePos="0" relativeHeight="251660288" behindDoc="0" locked="0" layoutInCell="1" allowOverlap="1" wp14:anchorId="5DB03C42" wp14:editId="4D048A0A">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155F" w:rsidRDefault="00FB155F"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C7AD09B" wp14:editId="6EA1A605">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FB155F" w:rsidP="00366D36">
                          <w:pPr>
                            <w:pStyle w:val="Sinespaciado"/>
                            <w:jc w:val="center"/>
                            <w:rPr>
                              <w:rFonts w:ascii="Microsoft Sans Serif" w:eastAsia="SimHei" w:hAnsi="Microsoft Sans Serif" w:cs="Microsoft Sans Serif"/>
                              <w:b/>
                              <w:sz w:val="14"/>
                              <w:szCs w:val="14"/>
                            </w:rPr>
                          </w:pPr>
                        </w:p>
                        <w:p w:rsidR="00FB155F" w:rsidRPr="00B23B9D" w:rsidRDefault="00FB155F"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FB155F" w:rsidRDefault="00FB155F"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C7AD09B" wp14:editId="6EA1A605">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FB155F" w:rsidP="00366D36">
                    <w:pPr>
                      <w:pStyle w:val="Sinespaciado"/>
                      <w:jc w:val="center"/>
                      <w:rPr>
                        <w:rFonts w:ascii="Microsoft Sans Serif" w:eastAsia="SimHei" w:hAnsi="Microsoft Sans Serif" w:cs="Microsoft Sans Serif"/>
                        <w:b/>
                        <w:sz w:val="14"/>
                        <w:szCs w:val="14"/>
                      </w:rPr>
                    </w:pPr>
                  </w:p>
                  <w:p w:rsidR="00FB155F" w:rsidRPr="00B23B9D" w:rsidRDefault="00FB155F"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082BB2">
      <w:rPr>
        <w:rFonts w:ascii="Arial" w:hAnsi="Arial" w:cs="Arial"/>
      </w:rPr>
      <w:t xml:space="preserve">Página </w:t>
    </w:r>
    <w:r w:rsidRPr="00082BB2">
      <w:rPr>
        <w:rStyle w:val="Nmerodepgina"/>
        <w:rFonts w:ascii="Arial" w:hAnsi="Arial" w:cs="Arial"/>
      </w:rPr>
      <w:fldChar w:fldCharType="begin"/>
    </w:r>
    <w:r w:rsidRPr="00082BB2">
      <w:rPr>
        <w:rStyle w:val="Nmerodepgina"/>
        <w:rFonts w:ascii="Arial" w:hAnsi="Arial" w:cs="Arial"/>
      </w:rPr>
      <w:instrText xml:space="preserve"> PAGE </w:instrText>
    </w:r>
    <w:r w:rsidRPr="00082BB2">
      <w:rPr>
        <w:rStyle w:val="Nmerodepgina"/>
        <w:rFonts w:ascii="Arial" w:hAnsi="Arial" w:cs="Arial"/>
      </w:rPr>
      <w:fldChar w:fldCharType="separate"/>
    </w:r>
    <w:r w:rsidR="009A4B62">
      <w:rPr>
        <w:rStyle w:val="Nmerodepgina"/>
        <w:rFonts w:ascii="Arial" w:hAnsi="Arial" w:cs="Arial"/>
        <w:noProof/>
      </w:rPr>
      <w:t>9</w:t>
    </w:r>
    <w:r w:rsidRPr="00082BB2">
      <w:rPr>
        <w:rStyle w:val="Nmerodepgina"/>
        <w:rFonts w:ascii="Arial" w:hAnsi="Arial" w:cs="Arial"/>
      </w:rPr>
      <w:fldChar w:fldCharType="end"/>
    </w:r>
  </w:p>
  <w:p w:rsidR="00FB155F" w:rsidRPr="00082BB2" w:rsidRDefault="00FB155F" w:rsidP="00366D36">
    <w:pPr>
      <w:pStyle w:val="Sinespaciado"/>
      <w:jc w:val="right"/>
      <w:rPr>
        <w:rFonts w:ascii="Arial" w:hAnsi="Arial" w:cs="Arial"/>
      </w:rPr>
    </w:pPr>
    <w:proofErr w:type="spellStart"/>
    <w:r w:rsidRPr="00082BB2">
      <w:rPr>
        <w:rFonts w:ascii="Arial" w:hAnsi="Arial" w:cs="Arial"/>
      </w:rPr>
      <w:t>Exp</w:t>
    </w:r>
    <w:proofErr w:type="spellEnd"/>
    <w:r w:rsidRPr="00082BB2">
      <w:rPr>
        <w:rFonts w:ascii="Arial" w:hAnsi="Arial" w:cs="Arial"/>
      </w:rPr>
      <w:t xml:space="preserve">. </w:t>
    </w:r>
    <w:r>
      <w:rPr>
        <w:rFonts w:ascii="Arial" w:hAnsi="Arial" w:cs="Arial"/>
      </w:rPr>
      <w:t>1275</w:t>
    </w:r>
    <w:r w:rsidRPr="00082BB2">
      <w:rPr>
        <w:rFonts w:ascii="Arial" w:hAnsi="Arial" w:cs="Arial"/>
      </w:rPr>
      <w:t>/202</w:t>
    </w:r>
    <w:r>
      <w:rPr>
        <w:rFonts w:ascii="Arial" w:hAnsi="Arial" w:cs="Arial"/>
      </w:rPr>
      <w:t>5</w:t>
    </w:r>
    <w:r w:rsidRPr="00082BB2">
      <w:rPr>
        <w:rFonts w:ascii="Arial" w:hAnsi="Arial" w:cs="Arial"/>
        <w:color w:val="000000"/>
      </w:rPr>
      <w:t>-3</w:t>
    </w:r>
  </w:p>
  <w:p w:rsidR="00FB155F" w:rsidRPr="007A07AF" w:rsidRDefault="00FB155F" w:rsidP="00366D36">
    <w:pPr>
      <w:pStyle w:val="Encabezado"/>
      <w:jc w:val="right"/>
      <w:rPr>
        <w:rFonts w:ascii="Arial" w:hAnsi="Arial" w:cs="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55F" w:rsidRPr="004A456E" w:rsidRDefault="00FB155F" w:rsidP="00366D36">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42308836" wp14:editId="5AE64CA4">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155F" w:rsidRDefault="00FB155F"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B90416C" wp14:editId="182AB00B">
                                <wp:extent cx="1029970" cy="102997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9970" cy="1029970"/>
                                        </a:xfrm>
                                        <a:prstGeom prst="rect">
                                          <a:avLst/>
                                        </a:prstGeom>
                                        <a:solidFill>
                                          <a:srgbClr val="FFFFFF">
                                            <a:alpha val="0"/>
                                          </a:srgbClr>
                                        </a:solidFill>
                                        <a:ln>
                                          <a:noFill/>
                                        </a:ln>
                                      </pic:spPr>
                                    </pic:pic>
                                  </a:graphicData>
                                </a:graphic>
                              </wp:inline>
                            </w:drawing>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FB155F" w:rsidP="00366D36">
                          <w:pPr>
                            <w:pStyle w:val="Sinespaciado"/>
                            <w:jc w:val="center"/>
                            <w:rPr>
                              <w:rFonts w:ascii="Microsoft Sans Serif" w:eastAsia="SimHei" w:hAnsi="Microsoft Sans Serif" w:cs="Microsoft Sans Serif"/>
                              <w:b/>
                              <w:sz w:val="14"/>
                              <w:szCs w:val="14"/>
                            </w:rPr>
                          </w:pPr>
                        </w:p>
                        <w:p w:rsidR="00FB155F" w:rsidRPr="00B23B9D" w:rsidRDefault="00FB155F"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FB155F" w:rsidRDefault="00FB155F"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B90416C" wp14:editId="182AB00B">
                          <wp:extent cx="1029970" cy="102997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9970" cy="1029970"/>
                                  </a:xfrm>
                                  <a:prstGeom prst="rect">
                                    <a:avLst/>
                                  </a:prstGeom>
                                  <a:solidFill>
                                    <a:srgbClr val="FFFFFF">
                                      <a:alpha val="0"/>
                                    </a:srgbClr>
                                  </a:solidFill>
                                  <a:ln>
                                    <a:noFill/>
                                  </a:ln>
                                </pic:spPr>
                              </pic:pic>
                            </a:graphicData>
                          </a:graphic>
                        </wp:inline>
                      </w:drawing>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FB155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FB155F" w:rsidP="00366D36">
                    <w:pPr>
                      <w:pStyle w:val="Sinespaciado"/>
                      <w:jc w:val="center"/>
                      <w:rPr>
                        <w:rFonts w:ascii="Microsoft Sans Serif" w:eastAsia="SimHei" w:hAnsi="Microsoft Sans Serif" w:cs="Microsoft Sans Serif"/>
                        <w:b/>
                        <w:sz w:val="14"/>
                        <w:szCs w:val="14"/>
                      </w:rPr>
                    </w:pPr>
                  </w:p>
                  <w:p w:rsidR="00FB155F" w:rsidRPr="00B23B9D" w:rsidRDefault="00FB155F"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794"/>
    <w:rsid w:val="001147AE"/>
    <w:rsid w:val="001622FE"/>
    <w:rsid w:val="00206677"/>
    <w:rsid w:val="00366D36"/>
    <w:rsid w:val="004D3322"/>
    <w:rsid w:val="005952EA"/>
    <w:rsid w:val="0059746A"/>
    <w:rsid w:val="005A3794"/>
    <w:rsid w:val="00753B41"/>
    <w:rsid w:val="008D704E"/>
    <w:rsid w:val="009A4B62"/>
    <w:rsid w:val="009B27D3"/>
    <w:rsid w:val="00A02A4B"/>
    <w:rsid w:val="00A24186"/>
    <w:rsid w:val="00AB2858"/>
    <w:rsid w:val="00B22ACB"/>
    <w:rsid w:val="00B30615"/>
    <w:rsid w:val="00BD0ECC"/>
    <w:rsid w:val="00C00419"/>
    <w:rsid w:val="00CB3A04"/>
    <w:rsid w:val="00E80C05"/>
    <w:rsid w:val="00EB1B08"/>
    <w:rsid w:val="00F2053A"/>
    <w:rsid w:val="00FB15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79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5A379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5A3794"/>
  </w:style>
  <w:style w:type="character" w:styleId="Nmerodepgina">
    <w:name w:val="page number"/>
    <w:basedOn w:val="Fuentedeprrafopredeter"/>
    <w:rsid w:val="005A3794"/>
  </w:style>
  <w:style w:type="paragraph" w:styleId="Sinespaciado">
    <w:name w:val="No Spacing"/>
    <w:link w:val="SinespaciadoCar"/>
    <w:uiPriority w:val="1"/>
    <w:qFormat/>
    <w:rsid w:val="005A3794"/>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5A3794"/>
    <w:rPr>
      <w:rFonts w:ascii="Calibri" w:eastAsia="Calibri" w:hAnsi="Calibri" w:cs="Times New Roman"/>
    </w:rPr>
  </w:style>
  <w:style w:type="paragraph" w:styleId="Textodeglobo">
    <w:name w:val="Balloon Text"/>
    <w:basedOn w:val="Normal"/>
    <w:link w:val="TextodegloboCar"/>
    <w:uiPriority w:val="99"/>
    <w:semiHidden/>
    <w:unhideWhenUsed/>
    <w:rsid w:val="005A379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A3794"/>
    <w:rPr>
      <w:rFonts w:ascii="Tahoma" w:hAnsi="Tahoma" w:cs="Tahoma"/>
      <w:sz w:val="16"/>
      <w:szCs w:val="16"/>
    </w:rPr>
  </w:style>
  <w:style w:type="paragraph" w:styleId="Piedepgina">
    <w:name w:val="footer"/>
    <w:basedOn w:val="Normal"/>
    <w:link w:val="PiedepginaCar"/>
    <w:uiPriority w:val="99"/>
    <w:unhideWhenUsed/>
    <w:rsid w:val="00C0041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0419"/>
  </w:style>
  <w:style w:type="paragraph" w:customStyle="1" w:styleId="Style1">
    <w:name w:val="Style 1"/>
    <w:basedOn w:val="Normal"/>
    <w:uiPriority w:val="99"/>
    <w:rsid w:val="001147AE"/>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79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5A379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5A3794"/>
  </w:style>
  <w:style w:type="character" w:styleId="Nmerodepgina">
    <w:name w:val="page number"/>
    <w:basedOn w:val="Fuentedeprrafopredeter"/>
    <w:rsid w:val="005A3794"/>
  </w:style>
  <w:style w:type="paragraph" w:styleId="Sinespaciado">
    <w:name w:val="No Spacing"/>
    <w:link w:val="SinespaciadoCar"/>
    <w:uiPriority w:val="1"/>
    <w:qFormat/>
    <w:rsid w:val="005A3794"/>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5A3794"/>
    <w:rPr>
      <w:rFonts w:ascii="Calibri" w:eastAsia="Calibri" w:hAnsi="Calibri" w:cs="Times New Roman"/>
    </w:rPr>
  </w:style>
  <w:style w:type="paragraph" w:styleId="Textodeglobo">
    <w:name w:val="Balloon Text"/>
    <w:basedOn w:val="Normal"/>
    <w:link w:val="TextodegloboCar"/>
    <w:uiPriority w:val="99"/>
    <w:semiHidden/>
    <w:unhideWhenUsed/>
    <w:rsid w:val="005A379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A3794"/>
    <w:rPr>
      <w:rFonts w:ascii="Tahoma" w:hAnsi="Tahoma" w:cs="Tahoma"/>
      <w:sz w:val="16"/>
      <w:szCs w:val="16"/>
    </w:rPr>
  </w:style>
  <w:style w:type="paragraph" w:styleId="Piedepgina">
    <w:name w:val="footer"/>
    <w:basedOn w:val="Normal"/>
    <w:link w:val="PiedepginaCar"/>
    <w:uiPriority w:val="99"/>
    <w:unhideWhenUsed/>
    <w:rsid w:val="00C0041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0419"/>
  </w:style>
  <w:style w:type="paragraph" w:customStyle="1" w:styleId="Style1">
    <w:name w:val="Style 1"/>
    <w:basedOn w:val="Normal"/>
    <w:uiPriority w:val="99"/>
    <w:rsid w:val="001147AE"/>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10</Pages>
  <Words>3226</Words>
  <Characters>17745</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20930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16</cp:revision>
  <dcterms:created xsi:type="dcterms:W3CDTF">2026-02-26T16:12:00Z</dcterms:created>
  <dcterms:modified xsi:type="dcterms:W3CDTF">2026-04-10T18:54:00Z</dcterms:modified>
</cp:coreProperties>
</file>