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C25A0E">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C502DF">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D63EFF">
        <w:rPr>
          <w:rFonts w:ascii="Arial" w:hAnsi="Arial" w:cs="Arial"/>
          <w:b/>
          <w:sz w:val="24"/>
          <w:szCs w:val="24"/>
        </w:rPr>
        <w:t>febrero</w:t>
      </w:r>
      <w:r w:rsidR="00C502DF">
        <w:rPr>
          <w:rFonts w:ascii="Arial" w:hAnsi="Arial" w:cs="Arial"/>
          <w:b/>
          <w:sz w:val="24"/>
          <w:szCs w:val="24"/>
        </w:rPr>
        <w:t xml:space="preserve"> </w:t>
      </w:r>
      <w:r w:rsidR="007F24DE" w:rsidRPr="00115CE3">
        <w:rPr>
          <w:rFonts w:ascii="Arial" w:hAnsi="Arial" w:cs="Arial"/>
          <w:b/>
          <w:sz w:val="24"/>
          <w:szCs w:val="24"/>
        </w:rPr>
        <w:t>202</w:t>
      </w:r>
      <w:r w:rsidR="000D70C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D63EFF">
        <w:rPr>
          <w:rFonts w:ascii="Arial" w:hAnsi="Arial" w:cs="Arial"/>
          <w:b/>
          <w:sz w:val="24"/>
          <w:szCs w:val="24"/>
        </w:rPr>
        <w:t>segunda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0D70C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w:t>
      </w:r>
      <w:r w:rsidR="00C502DF">
        <w:rPr>
          <w:rFonts w:ascii="Arial" w:hAnsi="Arial" w:cs="Arial"/>
          <w:sz w:val="24"/>
          <w:szCs w:val="24"/>
        </w:rPr>
        <w:t>M</w:t>
      </w:r>
      <w:r w:rsidR="009819AE" w:rsidRPr="00115CE3">
        <w:rPr>
          <w:rFonts w:ascii="Arial" w:hAnsi="Arial" w:cs="Arial"/>
          <w:sz w:val="24"/>
          <w:szCs w:val="24"/>
        </w:rPr>
        <w:t>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C25A0E">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C25A0E">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D4742A" w:rsidRPr="00115CE3">
        <w:rPr>
          <w:rFonts w:ascii="Arial" w:hAnsi="Arial" w:cs="Arial"/>
          <w:sz w:val="24"/>
          <w:szCs w:val="24"/>
        </w:rPr>
        <w:t>,</w:t>
      </w:r>
      <w:r w:rsidRPr="00115CE3">
        <w:rPr>
          <w:rFonts w:ascii="Arial" w:hAnsi="Arial" w:cs="Arial"/>
          <w:sz w:val="24"/>
          <w:szCs w:val="24"/>
        </w:rPr>
        <w:t xml:space="preserve"> mediante oficio </w:t>
      </w:r>
      <w:r w:rsidR="00D5202E">
        <w:rPr>
          <w:rFonts w:ascii="Arial" w:hAnsi="Arial" w:cs="Arial"/>
          <w:b/>
          <w:sz w:val="24"/>
          <w:szCs w:val="24"/>
        </w:rPr>
        <w:t>V/</w:t>
      </w:r>
      <w:r w:rsidR="00D63EFF">
        <w:rPr>
          <w:rFonts w:ascii="Arial" w:hAnsi="Arial" w:cs="Arial"/>
          <w:b/>
          <w:sz w:val="24"/>
          <w:szCs w:val="24"/>
        </w:rPr>
        <w:t>0060</w:t>
      </w:r>
      <w:r w:rsidR="00C63668">
        <w:rPr>
          <w:rFonts w:ascii="Arial" w:hAnsi="Arial" w:cs="Arial"/>
          <w:b/>
          <w:sz w:val="24"/>
          <w:szCs w:val="24"/>
        </w:rPr>
        <w:t>/</w:t>
      </w:r>
      <w:r w:rsidR="00C03933" w:rsidRPr="00115CE3">
        <w:rPr>
          <w:rFonts w:ascii="Arial" w:hAnsi="Arial" w:cs="Arial"/>
          <w:b/>
          <w:sz w:val="24"/>
          <w:szCs w:val="24"/>
        </w:rPr>
        <w:t>202</w:t>
      </w:r>
      <w:r w:rsidR="00D63EFF">
        <w:rPr>
          <w:rFonts w:ascii="Arial" w:hAnsi="Arial" w:cs="Arial"/>
          <w:b/>
          <w:sz w:val="24"/>
          <w:szCs w:val="24"/>
        </w:rPr>
        <w:t>6</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D5202E">
        <w:rPr>
          <w:rFonts w:ascii="Arial" w:hAnsi="Arial" w:cs="Arial"/>
          <w:b/>
          <w:sz w:val="24"/>
          <w:szCs w:val="24"/>
        </w:rPr>
        <w:t>V/AR/</w:t>
      </w:r>
      <w:r w:rsidR="00D63EFF">
        <w:rPr>
          <w:rFonts w:ascii="Arial" w:hAnsi="Arial" w:cs="Arial"/>
          <w:b/>
          <w:sz w:val="24"/>
          <w:szCs w:val="24"/>
        </w:rPr>
        <w:t>01</w:t>
      </w:r>
      <w:r w:rsidR="00D5202E">
        <w:rPr>
          <w:rFonts w:ascii="Arial" w:hAnsi="Arial" w:cs="Arial"/>
          <w:b/>
          <w:sz w:val="24"/>
          <w:szCs w:val="24"/>
        </w:rPr>
        <w:t>/202</w:t>
      </w:r>
      <w:r w:rsidR="00D63EFF">
        <w:rPr>
          <w:rFonts w:ascii="Arial" w:hAnsi="Arial" w:cs="Arial"/>
          <w:b/>
          <w:sz w:val="24"/>
          <w:szCs w:val="24"/>
        </w:rPr>
        <w:t>6</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D63EFF">
        <w:rPr>
          <w:rFonts w:ascii="Arial" w:hAnsi="Arial" w:cs="Arial"/>
          <w:sz w:val="24"/>
          <w:szCs w:val="24"/>
        </w:rPr>
        <w:t>00</w:t>
      </w:r>
      <w:r w:rsidR="00D63EFF" w:rsidRPr="00D63EFF">
        <w:rPr>
          <w:rFonts w:ascii="Arial" w:hAnsi="Arial" w:cs="Arial"/>
          <w:b/>
          <w:sz w:val="24"/>
          <w:szCs w:val="24"/>
        </w:rPr>
        <w:t>3</w:t>
      </w:r>
      <w:r w:rsidR="0053156B" w:rsidRPr="00115CE3">
        <w:rPr>
          <w:rFonts w:ascii="Arial" w:hAnsi="Arial" w:cs="Arial"/>
          <w:sz w:val="24"/>
          <w:szCs w:val="24"/>
        </w:rPr>
        <w:t>-24046982</w:t>
      </w:r>
      <w:r w:rsidR="00D63EFF">
        <w:rPr>
          <w:rFonts w:ascii="Arial" w:hAnsi="Arial" w:cs="Arial"/>
          <w:sz w:val="24"/>
          <w:szCs w:val="24"/>
        </w:rPr>
        <w:t>6</w:t>
      </w:r>
      <w:r w:rsidR="0053156B" w:rsidRPr="00115CE3">
        <w:rPr>
          <w:rFonts w:ascii="Arial" w:hAnsi="Arial" w:cs="Arial"/>
          <w:sz w:val="24"/>
          <w:szCs w:val="24"/>
        </w:rPr>
        <w:t>000</w:t>
      </w:r>
      <w:r w:rsidR="00D63EFF">
        <w:rPr>
          <w:rFonts w:ascii="Arial" w:hAnsi="Arial" w:cs="Arial"/>
          <w:sz w:val="24"/>
          <w:szCs w:val="24"/>
        </w:rPr>
        <w:t>00</w:t>
      </w:r>
      <w:r w:rsidR="00D63EFF" w:rsidRPr="00D63EFF">
        <w:rPr>
          <w:rFonts w:ascii="Arial" w:hAnsi="Arial" w:cs="Arial"/>
          <w:b/>
          <w:sz w:val="24"/>
          <w:szCs w:val="24"/>
        </w:rPr>
        <w:t>3</w:t>
      </w:r>
      <w:r w:rsidR="0053156B" w:rsidRPr="00115CE3">
        <w:rPr>
          <w:rFonts w:ascii="Arial" w:hAnsi="Arial" w:cs="Arial"/>
          <w:sz w:val="24"/>
          <w:szCs w:val="24"/>
        </w:rPr>
        <w:t xml:space="preserve">-2025 realizada por </w:t>
      </w:r>
      <w:r w:rsidR="00D63EFF">
        <w:rPr>
          <w:rFonts w:ascii="Arial" w:hAnsi="Arial" w:cs="Arial"/>
          <w:sz w:val="24"/>
          <w:szCs w:val="24"/>
        </w:rPr>
        <w:t xml:space="preserve">la </w:t>
      </w:r>
      <w:r w:rsidR="00C502DF">
        <w:rPr>
          <w:rFonts w:ascii="Arial" w:hAnsi="Arial" w:cs="Arial"/>
          <w:sz w:val="24"/>
          <w:szCs w:val="24"/>
        </w:rPr>
        <w:t>u</w:t>
      </w:r>
      <w:r w:rsidR="005F0249">
        <w:rPr>
          <w:rFonts w:ascii="Arial" w:hAnsi="Arial" w:cs="Arial"/>
          <w:sz w:val="24"/>
          <w:szCs w:val="24"/>
        </w:rPr>
        <w:t>suari</w:t>
      </w:r>
      <w:r w:rsidR="00D63EFF">
        <w:rPr>
          <w:rFonts w:ascii="Arial" w:hAnsi="Arial" w:cs="Arial"/>
          <w:sz w:val="24"/>
          <w:szCs w:val="24"/>
        </w:rPr>
        <w:t xml:space="preserve">a </w:t>
      </w:r>
      <w:r w:rsidR="00D63EFF">
        <w:rPr>
          <w:rFonts w:ascii="Arial" w:hAnsi="Arial" w:cs="Arial"/>
          <w:b/>
          <w:sz w:val="24"/>
          <w:szCs w:val="24"/>
        </w:rPr>
        <w:t>Alejandra S Hernández</w:t>
      </w:r>
      <w:r w:rsidR="000C23C7">
        <w:rPr>
          <w:rFonts w:ascii="Arial" w:hAnsi="Arial" w:cs="Arial"/>
          <w:sz w:val="24"/>
          <w:szCs w:val="24"/>
        </w:rPr>
        <w:t>, quien manifiesta su deseo de acceder a la siguiente información:</w:t>
      </w:r>
    </w:p>
    <w:p w:rsidR="00D63EFF" w:rsidRPr="00D63EFF" w:rsidRDefault="00D63EFF" w:rsidP="00D63EFF">
      <w:pPr>
        <w:spacing w:after="0" w:line="240" w:lineRule="auto"/>
        <w:jc w:val="both"/>
        <w:rPr>
          <w:rFonts w:ascii="Arial" w:hAnsi="Arial" w:cs="Arial"/>
          <w:sz w:val="20"/>
          <w:szCs w:val="20"/>
        </w:rPr>
      </w:pPr>
      <w:r w:rsidRPr="00D63EFF">
        <w:rPr>
          <w:rFonts w:ascii="Arial" w:hAnsi="Arial" w:cs="Arial"/>
          <w:sz w:val="20"/>
          <w:szCs w:val="20"/>
        </w:rPr>
        <w:t>Con fundamento en los artículos 6º y 7º de la Constitución Política de los Estados Unidos Mexicanos, así como la Ley General de Transparencia y Acceso a la Información Pública y la Ley Federal de Transparencia y Acceso a la Información Pública Gubernamental, solicito la siguiente información:</w:t>
      </w:r>
    </w:p>
    <w:p w:rsidR="00D63EFF" w:rsidRPr="00D63EFF" w:rsidRDefault="00D63EFF" w:rsidP="00D63EFF">
      <w:pPr>
        <w:spacing w:after="0" w:line="240" w:lineRule="auto"/>
        <w:jc w:val="both"/>
        <w:rPr>
          <w:rFonts w:ascii="Arial" w:hAnsi="Arial" w:cs="Arial"/>
          <w:sz w:val="20"/>
          <w:szCs w:val="20"/>
        </w:rPr>
      </w:pPr>
    </w:p>
    <w:p w:rsidR="00D63EFF" w:rsidRPr="00D63EFF" w:rsidRDefault="00D63EFF" w:rsidP="00D63EFF">
      <w:pPr>
        <w:spacing w:after="0" w:line="240" w:lineRule="auto"/>
        <w:jc w:val="both"/>
        <w:rPr>
          <w:rFonts w:ascii="Arial" w:hAnsi="Arial" w:cs="Arial"/>
          <w:sz w:val="20"/>
          <w:szCs w:val="20"/>
        </w:rPr>
      </w:pPr>
      <w:r w:rsidRPr="00D63EFF">
        <w:rPr>
          <w:rFonts w:ascii="Arial" w:hAnsi="Arial" w:cs="Arial"/>
          <w:sz w:val="20"/>
          <w:szCs w:val="20"/>
        </w:rPr>
        <w:t>1.- Solicito conocer cuántas armas de fuego han sido aseguradas por esta institución en los años 2022, 2023, 2024 y 2025 (hasta el mes más reciente posible, favor de indicar el corte a 2025).</w:t>
      </w:r>
    </w:p>
    <w:p w:rsidR="00D63EFF" w:rsidRPr="00D63EFF" w:rsidRDefault="00D63EFF" w:rsidP="00D63EFF">
      <w:pPr>
        <w:spacing w:after="0" w:line="240" w:lineRule="auto"/>
        <w:jc w:val="both"/>
        <w:rPr>
          <w:rFonts w:ascii="Arial" w:hAnsi="Arial" w:cs="Arial"/>
          <w:sz w:val="20"/>
          <w:szCs w:val="20"/>
        </w:rPr>
      </w:pPr>
    </w:p>
    <w:p w:rsidR="00D63EFF" w:rsidRPr="00D63EFF" w:rsidRDefault="00D63EFF" w:rsidP="00D63EFF">
      <w:pPr>
        <w:spacing w:after="0" w:line="240" w:lineRule="auto"/>
        <w:jc w:val="both"/>
        <w:rPr>
          <w:rFonts w:ascii="Arial" w:hAnsi="Arial" w:cs="Arial"/>
          <w:sz w:val="20"/>
          <w:szCs w:val="20"/>
        </w:rPr>
      </w:pPr>
      <w:r w:rsidRPr="00D63EFF">
        <w:rPr>
          <w:rFonts w:ascii="Arial" w:hAnsi="Arial" w:cs="Arial"/>
          <w:sz w:val="20"/>
          <w:szCs w:val="20"/>
        </w:rPr>
        <w:t>2.- De ser posible, además de la estadística por año, indicar datos como: tipo de arma (corta o larga), municipio de aseguramiento, fecha; además de marca, modelo, calibre, número de serie, país de fabricación, país donde el arma fue adquirida originalmente, y si el arma fue utilizada fue utilizada en la comisión de un delito.</w:t>
      </w:r>
    </w:p>
    <w:p w:rsidR="00D63EFF" w:rsidRPr="00D63EFF" w:rsidRDefault="00D63EFF" w:rsidP="00D63EFF">
      <w:pPr>
        <w:spacing w:after="0" w:line="240" w:lineRule="auto"/>
        <w:jc w:val="both"/>
        <w:rPr>
          <w:rFonts w:ascii="Arial" w:hAnsi="Arial" w:cs="Arial"/>
          <w:sz w:val="20"/>
          <w:szCs w:val="20"/>
        </w:rPr>
      </w:pPr>
    </w:p>
    <w:p w:rsidR="00D63EFF" w:rsidRPr="00D63EFF" w:rsidRDefault="00D63EFF" w:rsidP="00D63EFF">
      <w:pPr>
        <w:spacing w:after="0" w:line="240" w:lineRule="auto"/>
        <w:jc w:val="both"/>
        <w:rPr>
          <w:rFonts w:ascii="Arial" w:hAnsi="Arial" w:cs="Arial"/>
          <w:sz w:val="20"/>
          <w:szCs w:val="20"/>
        </w:rPr>
      </w:pPr>
      <w:r w:rsidRPr="00D63EFF">
        <w:rPr>
          <w:rFonts w:ascii="Arial" w:hAnsi="Arial" w:cs="Arial"/>
          <w:sz w:val="20"/>
          <w:szCs w:val="20"/>
        </w:rPr>
        <w:t xml:space="preserve">De preferencia solicito que la información se entregue en formato de datos abiertos como </w:t>
      </w:r>
      <w:proofErr w:type="spellStart"/>
      <w:r w:rsidRPr="00D63EFF">
        <w:rPr>
          <w:rFonts w:ascii="Arial" w:hAnsi="Arial" w:cs="Arial"/>
          <w:sz w:val="20"/>
          <w:szCs w:val="20"/>
        </w:rPr>
        <w:t>excel</w:t>
      </w:r>
      <w:proofErr w:type="spellEnd"/>
      <w:r w:rsidRPr="00D63EFF">
        <w:rPr>
          <w:rFonts w:ascii="Arial" w:hAnsi="Arial" w:cs="Arial"/>
          <w:sz w:val="20"/>
          <w:szCs w:val="20"/>
        </w:rPr>
        <w:t xml:space="preserve"> o </w:t>
      </w:r>
      <w:proofErr w:type="spellStart"/>
      <w:r w:rsidRPr="00D63EFF">
        <w:rPr>
          <w:rFonts w:ascii="Arial" w:hAnsi="Arial" w:cs="Arial"/>
          <w:sz w:val="20"/>
          <w:szCs w:val="20"/>
        </w:rPr>
        <w:t>csv</w:t>
      </w:r>
      <w:proofErr w:type="spellEnd"/>
      <w:r w:rsidRPr="00D63EFF">
        <w:rPr>
          <w:rFonts w:ascii="Arial" w:hAnsi="Arial" w:cs="Arial"/>
          <w:sz w:val="20"/>
          <w:szCs w:val="20"/>
        </w:rPr>
        <w:t>, de manera electrónica.</w:t>
      </w:r>
    </w:p>
    <w:p w:rsidR="00D63EFF" w:rsidRPr="00D63EFF" w:rsidRDefault="00D63EFF" w:rsidP="00D63EFF">
      <w:pPr>
        <w:spacing w:after="0" w:line="240" w:lineRule="auto"/>
        <w:jc w:val="both"/>
        <w:rPr>
          <w:rFonts w:ascii="Arial" w:hAnsi="Arial" w:cs="Arial"/>
          <w:sz w:val="20"/>
          <w:szCs w:val="20"/>
        </w:rPr>
      </w:pPr>
    </w:p>
    <w:p w:rsidR="000D70CF" w:rsidRDefault="00D63EFF" w:rsidP="00D63EFF">
      <w:pPr>
        <w:spacing w:after="0" w:line="240" w:lineRule="auto"/>
        <w:jc w:val="both"/>
        <w:rPr>
          <w:rFonts w:ascii="Arial" w:hAnsi="Arial" w:cs="Arial"/>
          <w:sz w:val="20"/>
          <w:szCs w:val="20"/>
        </w:rPr>
      </w:pPr>
      <w:r w:rsidRPr="00D63EFF">
        <w:rPr>
          <w:rFonts w:ascii="Arial" w:hAnsi="Arial" w:cs="Arial"/>
          <w:sz w:val="20"/>
          <w:szCs w:val="20"/>
        </w:rPr>
        <w:t>Cabe señalar que solo se están pidiendo datos estadísticos desagregados por año.</w:t>
      </w:r>
      <w:r w:rsidR="000D70CF">
        <w:rPr>
          <w:rFonts w:ascii="Arial" w:hAnsi="Arial" w:cs="Arial"/>
          <w:sz w:val="20"/>
          <w:szCs w:val="20"/>
        </w:rPr>
        <w:t xml:space="preserve"> [SIC]</w:t>
      </w:r>
    </w:p>
    <w:p w:rsidR="000D70CF" w:rsidRDefault="000D70CF" w:rsidP="00C25A0E">
      <w:pPr>
        <w:spacing w:after="0" w:line="240" w:lineRule="auto"/>
        <w:jc w:val="both"/>
        <w:rPr>
          <w:rFonts w:ascii="Arial" w:hAnsi="Arial" w:cs="Arial"/>
          <w:sz w:val="20"/>
          <w:szCs w:val="20"/>
        </w:rPr>
      </w:pPr>
    </w:p>
    <w:p w:rsidR="00BF3665" w:rsidRDefault="009819AE" w:rsidP="00C25A0E">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63EFF">
        <w:rPr>
          <w:rFonts w:ascii="Arial" w:hAnsi="Arial" w:cs="Arial"/>
          <w:sz w:val="24"/>
          <w:szCs w:val="24"/>
        </w:rPr>
        <w:t xml:space="preserve">one XI, y </w:t>
      </w:r>
      <w:r w:rsidR="005160BF" w:rsidRPr="00115CE3">
        <w:rPr>
          <w:rFonts w:ascii="Arial" w:hAnsi="Arial" w:cs="Arial"/>
          <w:sz w:val="24"/>
          <w:szCs w:val="24"/>
        </w:rPr>
        <w:t>XII</w:t>
      </w:r>
      <w:r w:rsidRPr="00115CE3">
        <w:rPr>
          <w:rFonts w:ascii="Arial" w:hAnsi="Arial" w:cs="Arial"/>
          <w:sz w:val="24"/>
          <w:szCs w:val="24"/>
        </w:rPr>
        <w:t xml:space="preserve"> de la LTAIPSLP.</w:t>
      </w: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D5202E">
        <w:rPr>
          <w:rFonts w:ascii="Arial" w:hAnsi="Arial" w:cs="Arial"/>
          <w:sz w:val="24"/>
          <w:szCs w:val="24"/>
        </w:rPr>
        <w:t xml:space="preserve">El Vicefiscal </w:t>
      </w:r>
      <w:r w:rsidR="00F36F63">
        <w:rPr>
          <w:rFonts w:ascii="Arial" w:hAnsi="Arial" w:cs="Arial"/>
          <w:sz w:val="24"/>
          <w:szCs w:val="24"/>
        </w:rPr>
        <w:t>Carlos Alejandro Ponce Rodríguez</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D5202E">
        <w:rPr>
          <w:rFonts w:ascii="Arial" w:hAnsi="Arial" w:cs="Arial"/>
          <w:b/>
          <w:sz w:val="24"/>
          <w:szCs w:val="24"/>
        </w:rPr>
        <w:t>V/AR/</w:t>
      </w:r>
      <w:r w:rsidR="00D63EFF">
        <w:rPr>
          <w:rFonts w:ascii="Arial" w:hAnsi="Arial" w:cs="Arial"/>
          <w:b/>
          <w:sz w:val="24"/>
          <w:szCs w:val="24"/>
        </w:rPr>
        <w:t>01</w:t>
      </w:r>
      <w:r w:rsidR="00D5202E">
        <w:rPr>
          <w:rFonts w:ascii="Arial" w:hAnsi="Arial" w:cs="Arial"/>
          <w:b/>
          <w:sz w:val="24"/>
          <w:szCs w:val="24"/>
        </w:rPr>
        <w:t>/202</w:t>
      </w:r>
      <w:r w:rsidR="00D63EFF">
        <w:rPr>
          <w:rFonts w:ascii="Arial" w:hAnsi="Arial" w:cs="Arial"/>
          <w:b/>
          <w:sz w:val="24"/>
          <w:szCs w:val="24"/>
        </w:rPr>
        <w:t>6</w:t>
      </w:r>
      <w:r w:rsidR="00682B93" w:rsidRPr="00115CE3">
        <w:rPr>
          <w:rFonts w:ascii="Arial" w:hAnsi="Arial" w:cs="Arial"/>
          <w:b/>
          <w:sz w:val="24"/>
          <w:szCs w:val="24"/>
        </w:rPr>
        <w:t xml:space="preserve">. </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C25A0E">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D5202E">
        <w:rPr>
          <w:rFonts w:ascii="Arial" w:hAnsi="Arial" w:cs="Arial"/>
          <w:b/>
          <w:sz w:val="24"/>
          <w:szCs w:val="24"/>
        </w:rPr>
        <w:t>V/AR/</w:t>
      </w:r>
      <w:r w:rsidR="00D63EFF">
        <w:rPr>
          <w:rFonts w:ascii="Arial" w:hAnsi="Arial" w:cs="Arial"/>
          <w:b/>
          <w:sz w:val="24"/>
          <w:szCs w:val="24"/>
        </w:rPr>
        <w:t>01</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b/>
          <w:sz w:val="24"/>
          <w:szCs w:val="24"/>
        </w:rPr>
        <w:t>,</w:t>
      </w:r>
      <w:r w:rsidRPr="00115CE3">
        <w:rPr>
          <w:rFonts w:ascii="Arial" w:hAnsi="Arial" w:cs="Arial"/>
          <w:sz w:val="24"/>
          <w:szCs w:val="24"/>
        </w:rPr>
        <w:t xml:space="preserve"> por lo que </w:t>
      </w:r>
      <w:r w:rsidRPr="00115CE3">
        <w:rPr>
          <w:rFonts w:ascii="Arial" w:hAnsi="Arial" w:cs="Arial"/>
          <w:sz w:val="24"/>
          <w:szCs w:val="24"/>
        </w:rPr>
        <w:lastRenderedPageBreak/>
        <w:t xml:space="preserve">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C25A0E">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C25A0E">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D63EFF">
        <w:rPr>
          <w:rFonts w:ascii="Arial" w:hAnsi="Arial" w:cs="Arial"/>
          <w:b/>
          <w:sz w:val="24"/>
          <w:szCs w:val="24"/>
        </w:rPr>
        <w:t>01</w:t>
      </w:r>
      <w:r w:rsidR="00D5202E">
        <w:rPr>
          <w:rFonts w:ascii="Arial" w:hAnsi="Arial" w:cs="Arial"/>
          <w:b/>
          <w:sz w:val="24"/>
          <w:szCs w:val="24"/>
        </w:rPr>
        <w:t>/202</w:t>
      </w:r>
      <w:r w:rsidR="00D63EFF">
        <w:rPr>
          <w:rFonts w:ascii="Arial" w:hAnsi="Arial" w:cs="Arial"/>
          <w:b/>
          <w:sz w:val="24"/>
          <w:szCs w:val="24"/>
        </w:rPr>
        <w:t>6</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C25A0E">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C25A0E">
      <w:pPr>
        <w:spacing w:after="0" w:line="240" w:lineRule="auto"/>
        <w:jc w:val="both"/>
        <w:rPr>
          <w:rFonts w:ascii="Arial" w:hAnsi="Arial" w:cs="Arial"/>
          <w:sz w:val="24"/>
          <w:szCs w:val="24"/>
        </w:rPr>
      </w:pPr>
    </w:p>
    <w:p w:rsidR="00E17D56" w:rsidRDefault="00842F00" w:rsidP="00C25A0E">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946C13" w:rsidRDefault="00946C13" w:rsidP="00C25A0E">
      <w:pPr>
        <w:spacing w:line="240" w:lineRule="auto"/>
        <w:jc w:val="both"/>
        <w:rPr>
          <w:rFonts w:ascii="Arial" w:hAnsi="Arial" w:cs="Arial"/>
          <w:b/>
          <w:sz w:val="24"/>
          <w:szCs w:val="24"/>
        </w:rPr>
      </w:pPr>
    </w:p>
    <w:p w:rsidR="00BF3665" w:rsidRDefault="009819AE" w:rsidP="00C25A0E">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Pr="00115CE3" w:rsidRDefault="009819AE" w:rsidP="00C25A0E">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C946CC" w:rsidRDefault="00C946CC" w:rsidP="00C25A0E">
      <w:pPr>
        <w:autoSpaceDE w:val="0"/>
        <w:autoSpaceDN w:val="0"/>
        <w:adjustRightInd w:val="0"/>
        <w:spacing w:line="240" w:lineRule="auto"/>
        <w:jc w:val="both"/>
        <w:rPr>
          <w:rFonts w:ascii="Arial" w:hAnsi="Arial" w:cs="Arial"/>
          <w:sz w:val="24"/>
          <w:szCs w:val="24"/>
          <w:u w:val="single"/>
        </w:rPr>
      </w:pPr>
    </w:p>
    <w:p w:rsidR="00D63EFF" w:rsidRPr="00D63EFF" w:rsidRDefault="007336C3" w:rsidP="00D63EFF">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D63EFF">
        <w:rPr>
          <w:rFonts w:ascii="Arial" w:hAnsi="Arial" w:cs="Arial"/>
          <w:sz w:val="24"/>
          <w:szCs w:val="24"/>
        </w:rPr>
        <w:t>S</w:t>
      </w:r>
      <w:r w:rsidR="00D63EFF" w:rsidRPr="00D63EFF">
        <w:rPr>
          <w:rFonts w:ascii="Arial" w:hAnsi="Arial" w:cs="Arial"/>
          <w:sz w:val="24"/>
          <w:szCs w:val="24"/>
        </w:rPr>
        <w:t>e considera viable la reserva parcial del tipo de armas de fuego (corta o larga) que fueron aseguradas por esta Institución incluyendo: municipio de aseguramiento, fecha; además de marca, modelo, calibre, número de serie y país de fabricación, lo anterior dentro del periodo comprendido del 01 de enero de 2022 al 30 de septiembre del año 2025, en concordancia a el artículo 129 fracciones XI y XII, de la Ley de Transparencia y Acción a la Información Pública del Estado, Trigésimo primero</w:t>
      </w:r>
      <w:r w:rsidR="00D63EFF">
        <w:rPr>
          <w:rFonts w:ascii="Arial" w:hAnsi="Arial" w:cs="Arial"/>
          <w:sz w:val="24"/>
          <w:szCs w:val="24"/>
        </w:rPr>
        <w:t xml:space="preserve"> y Trigésimo segundo, </w:t>
      </w:r>
      <w:r w:rsidR="00D63EFF" w:rsidRPr="00D63EFF">
        <w:rPr>
          <w:rFonts w:ascii="Arial" w:hAnsi="Arial" w:cs="Arial"/>
          <w:sz w:val="24"/>
          <w:szCs w:val="24"/>
        </w:rPr>
        <w:t xml:space="preserve">de los Lineamientos Generales en Materia de Clasificación y Desclasificación de la Información, así como para la Elaboración de Versiones Públicas. </w:t>
      </w:r>
    </w:p>
    <w:p w:rsidR="00D63EFF" w:rsidRPr="00D63EFF" w:rsidRDefault="00D63EFF" w:rsidP="00D63EFF">
      <w:pPr>
        <w:autoSpaceDE w:val="0"/>
        <w:autoSpaceDN w:val="0"/>
        <w:adjustRightInd w:val="0"/>
        <w:spacing w:line="240" w:lineRule="auto"/>
        <w:jc w:val="both"/>
        <w:rPr>
          <w:rFonts w:ascii="Arial" w:hAnsi="Arial" w:cs="Arial"/>
          <w:sz w:val="24"/>
          <w:szCs w:val="24"/>
        </w:rPr>
      </w:pPr>
      <w:r w:rsidRPr="00D63EFF">
        <w:rPr>
          <w:rFonts w:ascii="Arial" w:hAnsi="Arial" w:cs="Arial"/>
          <w:sz w:val="24"/>
          <w:szCs w:val="24"/>
        </w:rPr>
        <w:t xml:space="preserve">Cabe señalar, que la fecha en que esta Fiscalía General del Estado llevo a cabo el aseguramiento de armas y número de serie de las armas, no es un dato estadístico, entendiéndose que la misma es una concentración de información denominada base de datos la cual se compone de un conjunto de datos estructurados y relacionados entre sí, en la cual se encuentra vertida información contenida en las carpetas de investigación. </w:t>
      </w:r>
    </w:p>
    <w:p w:rsidR="00D63EFF" w:rsidRPr="00D63EFF" w:rsidRDefault="00D63EFF" w:rsidP="00D63EFF">
      <w:pPr>
        <w:autoSpaceDE w:val="0"/>
        <w:autoSpaceDN w:val="0"/>
        <w:adjustRightInd w:val="0"/>
        <w:spacing w:line="240" w:lineRule="auto"/>
        <w:jc w:val="both"/>
        <w:rPr>
          <w:rFonts w:ascii="Arial" w:hAnsi="Arial" w:cs="Arial"/>
          <w:sz w:val="24"/>
          <w:szCs w:val="24"/>
        </w:rPr>
      </w:pPr>
      <w:r w:rsidRPr="00D63EFF">
        <w:rPr>
          <w:rFonts w:ascii="Arial" w:hAnsi="Arial" w:cs="Arial"/>
          <w:sz w:val="24"/>
          <w:szCs w:val="24"/>
        </w:rPr>
        <w:lastRenderedPageBreak/>
        <w:t xml:space="preserve">No obstante, es de considerarse como orientativo el Criterio Histórico SO/011/2009, emitido por el entonces Instituto Federal de Acceso a la Información y Protección de Datos, de rubro: “La información estadística es de naturaleza pública, independientemente de la materia con la que se encuentre vinculada.” A fin de que los datos cuantitativos se consideren públicos.  </w:t>
      </w:r>
    </w:p>
    <w:p w:rsidR="00D63EFF" w:rsidRPr="00D63EFF" w:rsidRDefault="00D63EFF" w:rsidP="00D63EFF">
      <w:pPr>
        <w:autoSpaceDE w:val="0"/>
        <w:autoSpaceDN w:val="0"/>
        <w:adjustRightInd w:val="0"/>
        <w:spacing w:line="240" w:lineRule="auto"/>
        <w:jc w:val="both"/>
        <w:rPr>
          <w:rFonts w:ascii="Arial" w:hAnsi="Arial" w:cs="Arial"/>
          <w:sz w:val="24"/>
          <w:szCs w:val="24"/>
        </w:rPr>
      </w:pPr>
      <w:r w:rsidRPr="00D63EFF">
        <w:rPr>
          <w:rFonts w:ascii="Arial" w:hAnsi="Arial" w:cs="Arial"/>
          <w:sz w:val="24"/>
          <w:szCs w:val="24"/>
        </w:rPr>
        <w:t xml:space="preserve">Ahora bien, considerando que la información estadística es el producto de un conjunto de resultados cuantitativos obtenidos de un proceso sistemático de captación de datos primarios obtenidos sobre hechos que consistan en documentos que las dependencias y entidades poseen, derivado del ejercicio de sus atribuciones, y que el artículo 7, fracción XVII de la Ley Federal de Transparencia y Acceso a la Información  Pública Gubernamental establece que los sujetos obligados deberán poner a disposición del público, entre otra, la relativa a la que, con base a la información estadística, responda a las preguntas hechas con más frecuencia por el público, es posible afirmar  que la información estadística es de naturaleza pública. Lo anterior se debe también a que, por definición, los datos estadísticos no se encuentran individualizados o personalizados a casos o situaciones específicas que pudieran llegar a justificar su clasificación” [sic]. </w:t>
      </w:r>
    </w:p>
    <w:p w:rsidR="00D63EFF" w:rsidRPr="00D63EFF" w:rsidRDefault="00D63EFF" w:rsidP="00D63EFF">
      <w:pPr>
        <w:autoSpaceDE w:val="0"/>
        <w:autoSpaceDN w:val="0"/>
        <w:adjustRightInd w:val="0"/>
        <w:spacing w:line="240" w:lineRule="auto"/>
        <w:jc w:val="both"/>
        <w:rPr>
          <w:rFonts w:ascii="Arial" w:hAnsi="Arial" w:cs="Arial"/>
          <w:sz w:val="24"/>
          <w:szCs w:val="24"/>
        </w:rPr>
      </w:pPr>
      <w:r w:rsidRPr="00D63EFF">
        <w:rPr>
          <w:rFonts w:ascii="Arial" w:hAnsi="Arial" w:cs="Arial"/>
          <w:sz w:val="24"/>
          <w:szCs w:val="24"/>
        </w:rPr>
        <w:t xml:space="preserve">Aunado a lo anterior, por lo que respecta a la revelación de la información contenida dentro de la solicitud en tema, particularmente la relación que guardan entre sí, la fecha y municipio de aseguramiento respecto de las particularidades de las armas referidas, se prevé que su difusión permitiría asociar datos con una persona específica haciéndola identificable, logrando afectar su privacidad y dignidad, entre ello podría obstruir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 </w:t>
      </w:r>
    </w:p>
    <w:p w:rsidR="00D63EFF" w:rsidRPr="00D63EFF" w:rsidRDefault="00D63EFF" w:rsidP="00D63EFF">
      <w:pPr>
        <w:autoSpaceDE w:val="0"/>
        <w:autoSpaceDN w:val="0"/>
        <w:adjustRightInd w:val="0"/>
        <w:spacing w:line="240" w:lineRule="auto"/>
        <w:jc w:val="both"/>
        <w:rPr>
          <w:rFonts w:ascii="Arial" w:hAnsi="Arial" w:cs="Arial"/>
          <w:sz w:val="24"/>
          <w:szCs w:val="24"/>
        </w:rPr>
      </w:pPr>
      <w:r w:rsidRPr="00D63EFF">
        <w:rPr>
          <w:rFonts w:ascii="Arial" w:hAnsi="Arial" w:cs="Arial"/>
          <w:sz w:val="24"/>
          <w:szCs w:val="24"/>
        </w:rPr>
        <w:t xml:space="preserve">Es por ello que la Vicefiscalía de la Fiscalía General del Estado de San Luis Potosí, es la responsable de adoptar medidas para restringir el acceso a la información garantizando la seguridad de la misma, lo anterior conforme a lo estipulado en el artículo 82 de la Ley de Transparencia y Acceso a la Información Pública.  </w:t>
      </w:r>
    </w:p>
    <w:p w:rsidR="00C502DF" w:rsidRDefault="00D63EFF" w:rsidP="00D63EFF">
      <w:pPr>
        <w:autoSpaceDE w:val="0"/>
        <w:autoSpaceDN w:val="0"/>
        <w:adjustRightInd w:val="0"/>
        <w:spacing w:line="240" w:lineRule="auto"/>
        <w:jc w:val="both"/>
        <w:rPr>
          <w:rFonts w:ascii="Arial" w:hAnsi="Arial" w:cs="Arial"/>
          <w:sz w:val="24"/>
          <w:szCs w:val="24"/>
        </w:rPr>
      </w:pPr>
      <w:r w:rsidRPr="00D63EFF">
        <w:rPr>
          <w:rFonts w:ascii="Arial" w:hAnsi="Arial" w:cs="Arial"/>
          <w:sz w:val="24"/>
          <w:szCs w:val="24"/>
        </w:rPr>
        <w:t xml:space="preserve">Por lo tanto, con fundamento en lo dispuesto por el artículo 129, fracciones XI y XII de la Ley de Transparencia y Acceso a la Información Pública del Estado de San Luis Potosí, que resulta procedente la reserva parcial de la información solicitada, consistente en el tipo de arma de </w:t>
      </w:r>
      <w:r w:rsidRPr="00D63EFF">
        <w:rPr>
          <w:rFonts w:ascii="Arial" w:hAnsi="Arial" w:cs="Arial"/>
          <w:sz w:val="24"/>
          <w:szCs w:val="24"/>
        </w:rPr>
        <w:lastRenderedPageBreak/>
        <w:t>fuego (corta o larga), que fueron aseguradas por esta institución incluyendo: municipio de aseguramiento, fecha; además de marca, modelo, calibre, número de serie y país de fabricación, lo anterior dentro del periodo comprendido del 01 de enero de 2022 al 30 de septiembre del año 2025.</w:t>
      </w:r>
    </w:p>
    <w:p w:rsidR="00F97B38" w:rsidRDefault="00045C57" w:rsidP="00C25A0E">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63EFF">
        <w:rPr>
          <w:rFonts w:ascii="Arial" w:hAnsi="Arial" w:cs="Arial"/>
          <w:sz w:val="24"/>
          <w:szCs w:val="24"/>
        </w:rPr>
        <w:t>one XI, y</w:t>
      </w:r>
      <w:r w:rsidR="00D53B1B">
        <w:rPr>
          <w:rFonts w:ascii="Arial" w:hAnsi="Arial" w:cs="Arial"/>
          <w:sz w:val="24"/>
          <w:szCs w:val="24"/>
        </w:rPr>
        <w:t xml:space="preserve"> </w:t>
      </w:r>
      <w:r w:rsidR="00F36F63">
        <w:rPr>
          <w:rFonts w:ascii="Arial" w:hAnsi="Arial" w:cs="Arial"/>
          <w:sz w:val="24"/>
          <w:szCs w:val="24"/>
        </w:rPr>
        <w:t>XII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w:t>
      </w:r>
      <w:r w:rsidR="00D63EFF">
        <w:rPr>
          <w:rFonts w:ascii="Arial" w:hAnsi="Arial" w:cs="Arial"/>
          <w:sz w:val="24"/>
          <w:szCs w:val="24"/>
        </w:rPr>
        <w:t>Trigésimo primero y Trigésimo</w:t>
      </w:r>
      <w:r w:rsidR="00551990" w:rsidRPr="00115CE3">
        <w:rPr>
          <w:rFonts w:ascii="Arial" w:hAnsi="Arial" w:cs="Arial"/>
          <w:sz w:val="24"/>
          <w:szCs w:val="24"/>
        </w:rPr>
        <w:t xml:space="preserve"> segundo, de los </w:t>
      </w:r>
      <w:r w:rsidR="00C502D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las investigaciones de hechos que la ley señala como delitos y se tramitan ante el Ministerio Público, y aquellas que por disposición expresa de una ley le den tal carácter. </w:t>
      </w:r>
    </w:p>
    <w:p w:rsidR="00F97B38" w:rsidRDefault="0055199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Concatenado a lo anterior, los </w:t>
      </w:r>
      <w:r w:rsidR="00F97B38" w:rsidRPr="00E26106">
        <w:rPr>
          <w:rFonts w:ascii="Arial" w:hAnsi="Arial" w:cs="Arial"/>
          <w:sz w:val="24"/>
          <w:szCs w:val="24"/>
        </w:rPr>
        <w:t>artículo</w:t>
      </w:r>
      <w:r>
        <w:rPr>
          <w:rFonts w:ascii="Arial" w:hAnsi="Arial" w:cs="Arial"/>
          <w:sz w:val="24"/>
          <w:szCs w:val="24"/>
        </w:rPr>
        <w:t>s</w:t>
      </w:r>
      <w:r w:rsidR="00F97B38" w:rsidRPr="00E26106">
        <w:rPr>
          <w:rFonts w:ascii="Arial" w:hAnsi="Arial" w:cs="Arial"/>
          <w:sz w:val="24"/>
          <w:szCs w:val="24"/>
        </w:rPr>
        <w:t xml:space="preserve"> 105</w:t>
      </w:r>
      <w:r>
        <w:rPr>
          <w:rFonts w:ascii="Arial" w:hAnsi="Arial" w:cs="Arial"/>
          <w:sz w:val="24"/>
          <w:szCs w:val="24"/>
        </w:rPr>
        <w:t>, y 218</w:t>
      </w:r>
      <w:r w:rsidR="00F97B38" w:rsidRPr="00E26106">
        <w:rPr>
          <w:rFonts w:ascii="Arial" w:hAnsi="Arial" w:cs="Arial"/>
          <w:sz w:val="24"/>
          <w:szCs w:val="24"/>
        </w:rPr>
        <w:t xml:space="preserve"> del Código Nacional de Procedimientos Penales, </w:t>
      </w:r>
      <w:r>
        <w:rPr>
          <w:rFonts w:ascii="Arial" w:hAnsi="Arial" w:cs="Arial"/>
          <w:sz w:val="24"/>
          <w:szCs w:val="24"/>
        </w:rPr>
        <w:t xml:space="preserve">señalan las partes del proceso, las cuales son las únicas que tienen derecho de acceder a </w:t>
      </w:r>
      <w:r w:rsidR="00F97B38" w:rsidRPr="00E26106">
        <w:rPr>
          <w:rFonts w:ascii="Arial" w:hAnsi="Arial" w:cs="Arial"/>
          <w:sz w:val="24"/>
          <w:szCs w:val="24"/>
        </w:rPr>
        <w:t xml:space="preserve">los registros de la investigación, así como todos los documentos, independientemente de su contenido o naturaleza, los objetos, los registros de voz e imágenes o cosas que le estén relacionados, </w:t>
      </w:r>
      <w:r>
        <w:rPr>
          <w:rFonts w:ascii="Arial" w:hAnsi="Arial" w:cs="Arial"/>
          <w:sz w:val="24"/>
          <w:szCs w:val="24"/>
        </w:rPr>
        <w:t xml:space="preserve">y para quienes no sean partes, esta información es </w:t>
      </w:r>
      <w:r w:rsidRPr="00E26106">
        <w:rPr>
          <w:rFonts w:ascii="Arial" w:hAnsi="Arial" w:cs="Arial"/>
          <w:sz w:val="24"/>
          <w:szCs w:val="24"/>
        </w:rPr>
        <w:t>estrictamente</w:t>
      </w:r>
      <w:r w:rsidR="00F97B38" w:rsidRPr="00E26106">
        <w:rPr>
          <w:rFonts w:ascii="Arial" w:hAnsi="Arial" w:cs="Arial"/>
          <w:sz w:val="24"/>
          <w:szCs w:val="24"/>
        </w:rPr>
        <w:t xml:space="preserve"> reservad</w:t>
      </w:r>
      <w:r>
        <w:rPr>
          <w:rFonts w:ascii="Arial" w:hAnsi="Arial" w:cs="Arial"/>
          <w:sz w:val="24"/>
          <w:szCs w:val="24"/>
        </w:rPr>
        <w:t>a</w:t>
      </w:r>
      <w:r w:rsidR="00F97B38" w:rsidRPr="00E26106">
        <w:rPr>
          <w:rFonts w:ascii="Arial" w:hAnsi="Arial" w:cs="Arial"/>
          <w:sz w:val="24"/>
          <w:szCs w:val="24"/>
        </w:rPr>
        <w:t>.</w:t>
      </w:r>
    </w:p>
    <w:p w:rsidR="00BF3665" w:rsidRPr="00115CE3" w:rsidRDefault="007336C3" w:rsidP="00C25A0E">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D53B1B">
        <w:rPr>
          <w:rFonts w:ascii="Arial" w:hAnsi="Arial" w:cs="Arial"/>
          <w:sz w:val="24"/>
          <w:szCs w:val="24"/>
        </w:rPr>
        <w:t xml:space="preserve">El Vicefiscal </w:t>
      </w:r>
      <w:r w:rsidR="00A30971" w:rsidRPr="00A30971">
        <w:rPr>
          <w:rFonts w:ascii="Arial" w:hAnsi="Arial" w:cs="Arial"/>
          <w:sz w:val="24"/>
          <w:szCs w:val="24"/>
        </w:rPr>
        <w:t>Carlos Alejandro Ponce Rodríguez</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w:t>
      </w:r>
      <w:r w:rsidR="00C502DF">
        <w:rPr>
          <w:rFonts w:ascii="Arial" w:hAnsi="Arial" w:cs="Arial"/>
          <w:sz w:val="24"/>
          <w:szCs w:val="24"/>
        </w:rPr>
        <w:t>M</w:t>
      </w:r>
      <w:r w:rsidR="009819AE" w:rsidRPr="00115CE3">
        <w:rPr>
          <w:rFonts w:ascii="Arial" w:hAnsi="Arial" w:cs="Arial"/>
          <w:sz w:val="24"/>
          <w:szCs w:val="24"/>
        </w:rPr>
        <w:t>CDIEVP, los que a la letra establecen;</w:t>
      </w: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C25A0E">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C25A0E">
      <w:pPr>
        <w:spacing w:after="0" w:line="240" w:lineRule="auto"/>
        <w:ind w:right="-93"/>
        <w:jc w:val="both"/>
        <w:rPr>
          <w:rFonts w:ascii="Arial" w:hAnsi="Arial" w:cs="Arial"/>
          <w:b/>
          <w:i/>
          <w:sz w:val="24"/>
          <w:szCs w:val="24"/>
        </w:rPr>
      </w:pPr>
    </w:p>
    <w:p w:rsidR="00BF3665" w:rsidRPr="007E043D" w:rsidRDefault="009819AE" w:rsidP="00C25A0E">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lastRenderedPageBreak/>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C25A0E">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C25A0E">
      <w:pPr>
        <w:spacing w:after="0" w:line="240" w:lineRule="auto"/>
        <w:jc w:val="both"/>
        <w:rPr>
          <w:rFonts w:ascii="Arial" w:eastAsia="Times New Roman" w:hAnsi="Arial" w:cs="Arial"/>
          <w:sz w:val="24"/>
          <w:szCs w:val="24"/>
          <w:lang w:val="es-ES"/>
        </w:rPr>
      </w:pPr>
    </w:p>
    <w:p w:rsidR="000C4F3A" w:rsidRDefault="007336C3" w:rsidP="00C25A0E">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 por </w:t>
      </w:r>
      <w:r w:rsidR="00D5202E" w:rsidRPr="000C23C7">
        <w:rPr>
          <w:rFonts w:ascii="Arial" w:hAnsi="Arial" w:cs="Arial"/>
          <w:sz w:val="24"/>
          <w:szCs w:val="24"/>
          <w:lang w:val="es-ES"/>
        </w:rPr>
        <w:t>e</w:t>
      </w:r>
      <w:r w:rsidR="00D5202E" w:rsidRPr="000C23C7">
        <w:rPr>
          <w:rFonts w:ascii="Arial" w:hAnsi="Arial" w:cs="Arial"/>
          <w:sz w:val="24"/>
          <w:szCs w:val="24"/>
        </w:rPr>
        <w:t xml:space="preserve">l Vicefiscal </w:t>
      </w:r>
      <w:r w:rsidR="00720254">
        <w:rPr>
          <w:rFonts w:ascii="Arial" w:hAnsi="Arial" w:cs="Arial"/>
          <w:sz w:val="24"/>
          <w:szCs w:val="24"/>
        </w:rPr>
        <w:t xml:space="preserve">Carlos Alejandro Ponce Rodríguez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C25A0E">
      <w:pPr>
        <w:spacing w:line="240" w:lineRule="auto"/>
        <w:ind w:right="-93"/>
        <w:jc w:val="both"/>
        <w:rPr>
          <w:rFonts w:ascii="Arial" w:hAnsi="Arial" w:cs="Arial"/>
          <w:sz w:val="24"/>
          <w:szCs w:val="24"/>
        </w:rPr>
      </w:pPr>
      <w:r w:rsidRPr="003F7702">
        <w:rPr>
          <w:rFonts w:ascii="Arial" w:hAnsi="Arial" w:cs="Arial"/>
          <w:i/>
          <w:sz w:val="24"/>
          <w:szCs w:val="24"/>
        </w:rPr>
        <w:lastRenderedPageBreak/>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C25A0E">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C25A0E">
      <w:pPr>
        <w:spacing w:after="0" w:line="240" w:lineRule="auto"/>
        <w:ind w:right="-93"/>
        <w:jc w:val="both"/>
        <w:rPr>
          <w:rFonts w:ascii="Arial" w:hAnsi="Arial" w:cs="Arial"/>
          <w:sz w:val="24"/>
          <w:szCs w:val="24"/>
        </w:rPr>
      </w:pPr>
    </w:p>
    <w:p w:rsidR="00C42F42" w:rsidRPr="00C42F42" w:rsidRDefault="00C42F42"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C25A0E">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C25A0E">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720254" w:rsidRDefault="00D53B1B" w:rsidP="00C25A0E">
      <w:pPr>
        <w:pStyle w:val="Textoindependiente"/>
        <w:jc w:val="both"/>
        <w:rPr>
          <w:rFonts w:ascii="Arial" w:hAnsi="Arial" w:cs="Arial"/>
          <w:bCs/>
          <w:color w:val="000000" w:themeColor="text1"/>
        </w:rPr>
      </w:pPr>
      <w:r w:rsidRPr="00B17475">
        <w:rPr>
          <w:rFonts w:ascii="Arial" w:hAnsi="Arial" w:cs="Arial"/>
          <w:color w:val="000000" w:themeColor="text1"/>
        </w:rPr>
        <w:t xml:space="preserve">La Vicefiscalía procede a acordar la </w:t>
      </w:r>
      <w:r w:rsidRPr="00B17475">
        <w:rPr>
          <w:rFonts w:ascii="Arial" w:hAnsi="Arial" w:cs="Arial"/>
          <w:b/>
          <w:bCs/>
          <w:color w:val="000000" w:themeColor="text1"/>
        </w:rPr>
        <w:t>reserva parcial</w:t>
      </w:r>
      <w:r w:rsidRPr="00B17475">
        <w:rPr>
          <w:rFonts w:ascii="Arial" w:hAnsi="Arial" w:cs="Arial"/>
          <w:color w:val="000000" w:themeColor="text1"/>
        </w:rPr>
        <w:t xml:space="preserve"> de la información </w:t>
      </w:r>
      <w:r w:rsidR="00720254" w:rsidRPr="00720254">
        <w:rPr>
          <w:rFonts w:ascii="Arial" w:hAnsi="Arial" w:cs="Arial"/>
          <w:bCs/>
          <w:color w:val="000000" w:themeColor="text1"/>
        </w:rPr>
        <w:t>contenida dentro de la solicitud de información con número de folio UT-SI-P-</w:t>
      </w:r>
      <w:r w:rsidR="000501A3">
        <w:rPr>
          <w:rFonts w:ascii="Arial" w:hAnsi="Arial" w:cs="Arial"/>
          <w:bCs/>
          <w:color w:val="000000" w:themeColor="text1"/>
        </w:rPr>
        <w:t>003</w:t>
      </w:r>
      <w:r w:rsidR="00720254" w:rsidRPr="00720254">
        <w:rPr>
          <w:rFonts w:ascii="Arial" w:hAnsi="Arial" w:cs="Arial"/>
          <w:bCs/>
          <w:color w:val="000000" w:themeColor="text1"/>
        </w:rPr>
        <w:t>-2404698250000</w:t>
      </w:r>
      <w:r w:rsidR="000501A3">
        <w:rPr>
          <w:rFonts w:ascii="Arial" w:hAnsi="Arial" w:cs="Arial"/>
          <w:bCs/>
          <w:color w:val="000000" w:themeColor="text1"/>
        </w:rPr>
        <w:t>03</w:t>
      </w:r>
      <w:r w:rsidR="00720254" w:rsidRPr="00720254">
        <w:rPr>
          <w:rFonts w:ascii="Arial" w:hAnsi="Arial" w:cs="Arial"/>
          <w:bCs/>
          <w:color w:val="000000" w:themeColor="text1"/>
        </w:rPr>
        <w:t>-2025</w:t>
      </w:r>
      <w:r w:rsidR="00720254">
        <w:rPr>
          <w:rFonts w:ascii="Arial" w:hAnsi="Arial" w:cs="Arial"/>
          <w:bCs/>
          <w:color w:val="000000" w:themeColor="text1"/>
        </w:rPr>
        <w:t>, únicamente en cuanto a:</w:t>
      </w:r>
      <w:r w:rsidR="00720254" w:rsidRPr="00C946CC">
        <w:rPr>
          <w:rFonts w:ascii="Arial" w:hAnsi="Arial" w:cs="Arial"/>
          <w:bCs/>
          <w:color w:val="000000" w:themeColor="text1"/>
        </w:rPr>
        <w:t xml:space="preserve"> </w:t>
      </w:r>
    </w:p>
    <w:p w:rsidR="000501A3" w:rsidRDefault="000501A3" w:rsidP="00C25A0E">
      <w:pPr>
        <w:spacing w:after="0" w:line="240" w:lineRule="auto"/>
        <w:ind w:right="49"/>
        <w:jc w:val="both"/>
        <w:rPr>
          <w:rFonts w:ascii="Arial" w:hAnsi="Arial" w:cs="Arial"/>
          <w:bCs/>
          <w:color w:val="000000" w:themeColor="text1"/>
          <w:sz w:val="24"/>
          <w:szCs w:val="24"/>
        </w:rPr>
      </w:pPr>
      <w:r>
        <w:rPr>
          <w:rFonts w:ascii="Arial" w:hAnsi="Arial" w:cs="Arial"/>
          <w:bCs/>
          <w:color w:val="000000" w:themeColor="text1"/>
          <w:sz w:val="24"/>
          <w:szCs w:val="24"/>
        </w:rPr>
        <w:t>T</w:t>
      </w:r>
      <w:r w:rsidRPr="000501A3">
        <w:rPr>
          <w:rFonts w:ascii="Arial" w:hAnsi="Arial" w:cs="Arial"/>
          <w:bCs/>
          <w:color w:val="000000" w:themeColor="text1"/>
          <w:sz w:val="24"/>
          <w:szCs w:val="24"/>
        </w:rPr>
        <w:t>ipo de arma de fuego (corta o larga), que fueron aseguradas por esta institución incluyendo: municipio de aseguramiento, fecha; además de marca, modelo, calibre, número de serie y país de fabricación, lo anterior dentro del periodo comprendido del 01 de enero de 2022 al 30 de septiembre del año 2025.</w:t>
      </w:r>
      <w:r w:rsidRPr="00720254">
        <w:rPr>
          <w:rFonts w:ascii="Arial" w:hAnsi="Arial" w:cs="Arial"/>
          <w:bCs/>
          <w:color w:val="000000" w:themeColor="text1"/>
          <w:sz w:val="24"/>
          <w:szCs w:val="24"/>
        </w:rPr>
        <w:t xml:space="preserve"> </w:t>
      </w:r>
    </w:p>
    <w:p w:rsidR="00D53B1B" w:rsidRDefault="00720254" w:rsidP="00C25A0E">
      <w:pPr>
        <w:spacing w:after="0" w:line="240" w:lineRule="auto"/>
        <w:ind w:right="49"/>
        <w:jc w:val="both"/>
        <w:rPr>
          <w:rFonts w:ascii="Arial" w:hAnsi="Arial" w:cs="Arial"/>
          <w:bCs/>
          <w:color w:val="000000" w:themeColor="text1"/>
          <w:sz w:val="24"/>
          <w:szCs w:val="24"/>
        </w:rPr>
      </w:pPr>
      <w:r w:rsidRPr="00720254">
        <w:rPr>
          <w:rFonts w:ascii="Arial" w:hAnsi="Arial" w:cs="Arial"/>
          <w:bCs/>
          <w:color w:val="000000" w:themeColor="text1"/>
          <w:sz w:val="24"/>
          <w:szCs w:val="24"/>
        </w:rPr>
        <w:t xml:space="preserve">      </w:t>
      </w:r>
    </w:p>
    <w:p w:rsidR="00BF3665" w:rsidRPr="005C62A1" w:rsidRDefault="009819AE" w:rsidP="00C25A0E">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C25A0E">
      <w:pPr>
        <w:pStyle w:val="Prrafodelista"/>
        <w:ind w:left="1080"/>
        <w:jc w:val="both"/>
        <w:rPr>
          <w:rFonts w:ascii="Arial" w:hAnsi="Arial" w:cs="Arial"/>
        </w:rPr>
      </w:pPr>
    </w:p>
    <w:p w:rsidR="00BF3665" w:rsidRDefault="009819AE" w:rsidP="00C25A0E">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C25A0E">
      <w:pPr>
        <w:spacing w:after="0" w:line="240" w:lineRule="auto"/>
        <w:jc w:val="both"/>
        <w:rPr>
          <w:rFonts w:ascii="Arial" w:hAnsi="Arial" w:cs="Arial"/>
          <w:sz w:val="24"/>
          <w:szCs w:val="24"/>
        </w:rPr>
      </w:pPr>
    </w:p>
    <w:p w:rsidR="00BF3665" w:rsidRDefault="00F6015F" w:rsidP="00C25A0E">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D566DC">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0501A3">
        <w:rPr>
          <w:rFonts w:ascii="Arial" w:eastAsia="Times New Roman" w:hAnsi="Arial" w:cs="Arial"/>
          <w:b/>
          <w:sz w:val="24"/>
          <w:szCs w:val="24"/>
        </w:rPr>
        <w:t>febrero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F042CD">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D566DC">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3474AB" w:rsidRDefault="001E22D9" w:rsidP="00C25A0E">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C25A0E">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946C13" w:rsidRDefault="00946C13" w:rsidP="00C25A0E">
      <w:pPr>
        <w:spacing w:line="240" w:lineRule="auto"/>
        <w:jc w:val="both"/>
        <w:rPr>
          <w:rFonts w:ascii="Arial" w:hAnsi="Arial" w:cs="Arial"/>
          <w:sz w:val="24"/>
          <w:szCs w:val="24"/>
        </w:rPr>
      </w:pPr>
    </w:p>
    <w:p w:rsidR="00BF3665" w:rsidRPr="001E22D9" w:rsidRDefault="009819AE" w:rsidP="00C25A0E">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C25A0E">
      <w:pPr>
        <w:pStyle w:val="Prrafodelista"/>
        <w:jc w:val="both"/>
        <w:rPr>
          <w:rFonts w:ascii="Arial" w:hAnsi="Arial" w:cs="Arial"/>
          <w:b/>
        </w:rPr>
      </w:pP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D5202E">
        <w:rPr>
          <w:rFonts w:ascii="Arial" w:hAnsi="Arial" w:cs="Arial"/>
          <w:b/>
          <w:sz w:val="24"/>
          <w:szCs w:val="24"/>
        </w:rPr>
        <w:t>V/AR/</w:t>
      </w:r>
      <w:r w:rsidR="000501A3">
        <w:rPr>
          <w:rFonts w:ascii="Arial" w:hAnsi="Arial" w:cs="Arial"/>
          <w:b/>
          <w:sz w:val="24"/>
          <w:szCs w:val="24"/>
        </w:rPr>
        <w:t>01</w:t>
      </w:r>
      <w:r w:rsidR="00D5202E">
        <w:rPr>
          <w:rFonts w:ascii="Arial" w:hAnsi="Arial" w:cs="Arial"/>
          <w:b/>
          <w:sz w:val="24"/>
          <w:szCs w:val="24"/>
        </w:rPr>
        <w:t>/202</w:t>
      </w:r>
      <w:r w:rsidR="000501A3">
        <w:rPr>
          <w:rFonts w:ascii="Arial" w:hAnsi="Arial" w:cs="Arial"/>
          <w:b/>
          <w:sz w:val="24"/>
          <w:szCs w:val="24"/>
        </w:rPr>
        <w:t>6</w:t>
      </w:r>
      <w:r w:rsidR="00D5202E"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C25A0E">
      <w:pPr>
        <w:spacing w:line="240" w:lineRule="auto"/>
        <w:jc w:val="both"/>
        <w:rPr>
          <w:rFonts w:ascii="Arial" w:hAnsi="Arial" w:cs="Arial"/>
          <w:sz w:val="24"/>
          <w:szCs w:val="24"/>
        </w:rPr>
      </w:pPr>
      <w:r w:rsidRPr="00115CE3">
        <w:rPr>
          <w:rFonts w:ascii="Arial" w:hAnsi="Arial" w:cs="Arial"/>
          <w:sz w:val="24"/>
          <w:szCs w:val="24"/>
        </w:rPr>
        <w:t xml:space="preserve">Se instruye </w:t>
      </w:r>
      <w:r w:rsidR="00375ED0">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D5202E">
        <w:rPr>
          <w:rFonts w:ascii="Arial" w:hAnsi="Arial" w:cs="Arial"/>
          <w:sz w:val="24"/>
          <w:szCs w:val="24"/>
        </w:rPr>
        <w:t xml:space="preserve">l Vicefiscal </w:t>
      </w:r>
      <w:r w:rsidR="000E378A">
        <w:rPr>
          <w:rFonts w:ascii="Arial" w:hAnsi="Arial" w:cs="Arial"/>
          <w:sz w:val="24"/>
          <w:szCs w:val="24"/>
        </w:rPr>
        <w:t>Carlos Alejandro Ponce Rodríguez</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C25A0E">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BF3665" w:rsidRDefault="009819AE" w:rsidP="00C25A0E">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C25A0E">
      <w:pPr>
        <w:spacing w:after="0" w:line="240" w:lineRule="auto"/>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D5202E">
        <w:rPr>
          <w:rFonts w:ascii="Arial" w:hAnsi="Arial" w:cs="Arial"/>
          <w:b/>
          <w:sz w:val="24"/>
          <w:szCs w:val="24"/>
        </w:rPr>
        <w:t>V/AR/</w:t>
      </w:r>
      <w:r w:rsidR="000501A3">
        <w:rPr>
          <w:rFonts w:ascii="Arial" w:hAnsi="Arial" w:cs="Arial"/>
          <w:b/>
          <w:sz w:val="24"/>
          <w:szCs w:val="24"/>
        </w:rPr>
        <w:t>01</w:t>
      </w:r>
      <w:r w:rsidR="00D5202E">
        <w:rPr>
          <w:rFonts w:ascii="Arial" w:hAnsi="Arial" w:cs="Arial"/>
          <w:b/>
          <w:sz w:val="24"/>
          <w:szCs w:val="24"/>
        </w:rPr>
        <w:t>/202</w:t>
      </w:r>
      <w:r w:rsidR="000501A3">
        <w:rPr>
          <w:rFonts w:ascii="Arial" w:hAnsi="Arial" w:cs="Arial"/>
          <w:b/>
          <w:sz w:val="24"/>
          <w:szCs w:val="24"/>
        </w:rPr>
        <w:t>6</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D5202E">
        <w:rPr>
          <w:rFonts w:ascii="Arial" w:hAnsi="Arial" w:cs="Arial"/>
          <w:sz w:val="24"/>
          <w:szCs w:val="24"/>
        </w:rPr>
        <w:t xml:space="preserve">el Vicefiscal </w:t>
      </w:r>
      <w:r w:rsidR="000E378A">
        <w:rPr>
          <w:rFonts w:ascii="Arial" w:hAnsi="Arial" w:cs="Arial"/>
          <w:sz w:val="24"/>
          <w:szCs w:val="24"/>
        </w:rPr>
        <w:t>Carlos Alejandro Ponce Rodríguez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SEGUNDO. </w:t>
      </w:r>
      <w:r w:rsidR="000940CE">
        <w:rPr>
          <w:rFonts w:ascii="Arial" w:hAnsi="Arial" w:cs="Arial"/>
          <w:sz w:val="24"/>
          <w:szCs w:val="24"/>
        </w:rPr>
        <w:t xml:space="preserve">El 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C25A0E">
      <w:pPr>
        <w:spacing w:after="0" w:line="240" w:lineRule="auto"/>
        <w:jc w:val="both"/>
        <w:rPr>
          <w:rFonts w:ascii="Arial" w:hAnsi="Arial" w:cs="Arial"/>
          <w:b/>
          <w:sz w:val="24"/>
          <w:szCs w:val="24"/>
        </w:rPr>
      </w:pPr>
    </w:p>
    <w:p w:rsidR="000940CE" w:rsidRDefault="00476EF2" w:rsidP="00C25A0E">
      <w:pPr>
        <w:spacing w:after="0" w:line="240" w:lineRule="auto"/>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al</w:t>
      </w:r>
      <w:r w:rsidR="000940CE" w:rsidRPr="00115CE3">
        <w:rPr>
          <w:rFonts w:ascii="Arial" w:hAnsi="Arial" w:cs="Arial"/>
          <w:sz w:val="24"/>
          <w:szCs w:val="24"/>
        </w:rPr>
        <w:t xml:space="preserve"> </w:t>
      </w:r>
      <w:r w:rsidR="000940CE">
        <w:rPr>
          <w:rFonts w:ascii="Arial" w:hAnsi="Arial" w:cs="Arial"/>
          <w:sz w:val="24"/>
          <w:szCs w:val="24"/>
        </w:rPr>
        <w:t xml:space="preserve">Vicefiscal </w:t>
      </w:r>
      <w:r w:rsidR="000E378A">
        <w:rPr>
          <w:rFonts w:ascii="Arial" w:hAnsi="Arial" w:cs="Arial"/>
          <w:sz w:val="24"/>
          <w:szCs w:val="24"/>
        </w:rPr>
        <w:t>Carlos Alejandro Ponce Rodríguez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C25A0E">
      <w:pPr>
        <w:spacing w:after="0" w:line="240" w:lineRule="auto"/>
        <w:jc w:val="both"/>
        <w:rPr>
          <w:rFonts w:ascii="Arial" w:hAnsi="Arial" w:cs="Arial"/>
          <w:sz w:val="24"/>
          <w:szCs w:val="24"/>
        </w:rPr>
      </w:pPr>
    </w:p>
    <w:p w:rsidR="0064745D" w:rsidRDefault="009819AE" w:rsidP="00C25A0E">
      <w:pPr>
        <w:spacing w:after="0" w:line="240" w:lineRule="auto"/>
        <w:jc w:val="both"/>
        <w:rPr>
          <w:rFonts w:ascii="Arial" w:hAnsi="Arial" w:cs="Arial"/>
          <w:b/>
          <w:sz w:val="24"/>
          <w:szCs w:val="24"/>
        </w:rPr>
      </w:pPr>
      <w:r w:rsidRPr="00115CE3">
        <w:rPr>
          <w:rFonts w:ascii="Arial" w:hAnsi="Arial" w:cs="Arial"/>
          <w:sz w:val="24"/>
          <w:szCs w:val="24"/>
        </w:rPr>
        <w:lastRenderedPageBreak/>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0501A3">
        <w:rPr>
          <w:rFonts w:ascii="Arial" w:hAnsi="Arial" w:cs="Arial"/>
          <w:b/>
          <w:sz w:val="24"/>
          <w:szCs w:val="24"/>
        </w:rPr>
        <w:t>13</w:t>
      </w:r>
      <w:r w:rsidRPr="00115CE3">
        <w:rPr>
          <w:rFonts w:ascii="Arial" w:hAnsi="Arial" w:cs="Arial"/>
          <w:b/>
          <w:sz w:val="24"/>
          <w:szCs w:val="24"/>
        </w:rPr>
        <w:t>-202</w:t>
      </w:r>
      <w:r w:rsidR="00F042CD">
        <w:rPr>
          <w:rFonts w:ascii="Arial" w:hAnsi="Arial" w:cs="Arial"/>
          <w:b/>
          <w:sz w:val="24"/>
          <w:szCs w:val="24"/>
        </w:rPr>
        <w:t>6</w:t>
      </w:r>
      <w:r w:rsidR="00FD350E" w:rsidRPr="00115CE3">
        <w:rPr>
          <w:rFonts w:ascii="Arial" w:hAnsi="Arial" w:cs="Arial"/>
          <w:b/>
          <w:sz w:val="24"/>
          <w:szCs w:val="24"/>
        </w:rPr>
        <w:t xml:space="preserve">. </w:t>
      </w:r>
    </w:p>
    <w:bookmarkEnd w:id="2"/>
    <w:p w:rsidR="00315C9C" w:rsidRDefault="00315C9C" w:rsidP="00C25A0E">
      <w:pPr>
        <w:spacing w:after="0" w:line="240" w:lineRule="auto"/>
        <w:jc w:val="both"/>
        <w:rPr>
          <w:rFonts w:ascii="Arial" w:hAnsi="Arial" w:cs="Arial"/>
          <w:sz w:val="24"/>
          <w:szCs w:val="24"/>
        </w:rPr>
      </w:pPr>
    </w:p>
    <w:p w:rsidR="00BF3665" w:rsidRPr="00115CE3" w:rsidRDefault="009819AE" w:rsidP="00C25A0E">
      <w:pPr>
        <w:spacing w:after="0" w:line="240" w:lineRule="auto"/>
        <w:jc w:val="both"/>
        <w:rPr>
          <w:rFonts w:ascii="Arial" w:hAnsi="Arial" w:cs="Arial"/>
          <w:sz w:val="24"/>
          <w:szCs w:val="24"/>
        </w:rPr>
      </w:pPr>
      <w:r w:rsidRPr="00115CE3">
        <w:rPr>
          <w:rFonts w:ascii="Arial" w:hAnsi="Arial" w:cs="Arial"/>
          <w:sz w:val="24"/>
          <w:szCs w:val="24"/>
        </w:rPr>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946C13" w:rsidRDefault="00946C1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946C13" w:rsidRDefault="00946C13"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5163" w:rsidRDefault="00F75163">
      <w:r>
        <w:separator/>
      </w:r>
    </w:p>
  </w:endnote>
  <w:endnote w:type="continuationSeparator" w:id="0">
    <w:p w:rsidR="00F75163" w:rsidRDefault="00F751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5215" w:rsidRDefault="00425215">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5215" w:rsidRDefault="0042521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5163" w:rsidRDefault="00F75163">
      <w:r>
        <w:separator/>
      </w:r>
    </w:p>
  </w:footnote>
  <w:footnote w:type="continuationSeparator" w:id="0">
    <w:p w:rsidR="00F75163" w:rsidRDefault="00F751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5215" w:rsidRDefault="0042521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50751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425215">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50751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CB2293">
          <w:pPr>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D63EFF">
            <w:rPr>
              <w:rFonts w:ascii="Arial" w:hAnsi="Arial" w:cs="Arial"/>
              <w:color w:val="FFFFFF" w:themeColor="background1"/>
              <w:sz w:val="18"/>
              <w:szCs w:val="18"/>
              <w:lang w:val="es-ES"/>
            </w:rPr>
            <w:t>febrero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D63EF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D63EFF">
            <w:rPr>
              <w:rFonts w:ascii="Arial" w:hAnsi="Arial" w:cs="Arial"/>
              <w:b/>
              <w:color w:val="FFFFFF" w:themeColor="background1"/>
              <w:sz w:val="18"/>
              <w:szCs w:val="18"/>
              <w:lang w:val="es-ES"/>
            </w:rPr>
            <w:t>01</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5215" w:rsidRDefault="00425215">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50751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5215"/>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5708"/>
    <w:rsid w:val="00C40442"/>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042C4E-6A29-4B47-97D0-811C41434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8</Pages>
  <Words>3090</Words>
  <Characters>17001</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22</cp:revision>
  <cp:lastPrinted>2025-12-23T21:40:00Z</cp:lastPrinted>
  <dcterms:created xsi:type="dcterms:W3CDTF">2025-09-05T17:02:00Z</dcterms:created>
  <dcterms:modified xsi:type="dcterms:W3CDTF">2026-02-17T18:29:00Z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