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158B6A7C" w:rsidR="00403C89" w:rsidRPr="00726415"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 xml:space="preserve">RECURSO DE REVISIÓN </w:t>
      </w:r>
      <w:r w:rsidR="002658D3" w:rsidRPr="00726415">
        <w:rPr>
          <w:rFonts w:ascii="AvantGarde Bk BT" w:hAnsi="AvantGarde Bk BT" w:cs="Arial"/>
          <w:b/>
          <w:color w:val="000000" w:themeColor="text1"/>
          <w:sz w:val="24"/>
          <w:szCs w:val="24"/>
        </w:rPr>
        <w:t>018</w:t>
      </w:r>
      <w:r w:rsidR="00126008" w:rsidRPr="00726415">
        <w:rPr>
          <w:rFonts w:ascii="AvantGarde Bk BT" w:hAnsi="AvantGarde Bk BT" w:cs="Arial"/>
          <w:b/>
          <w:color w:val="000000" w:themeColor="text1"/>
          <w:sz w:val="24"/>
          <w:szCs w:val="24"/>
        </w:rPr>
        <w:t>/</w:t>
      </w:r>
      <w:r w:rsidR="000B1CE2" w:rsidRPr="00726415">
        <w:rPr>
          <w:rFonts w:ascii="AvantGarde Bk BT" w:hAnsi="AvantGarde Bk BT" w:cs="Arial"/>
          <w:b/>
          <w:color w:val="000000" w:themeColor="text1"/>
          <w:sz w:val="24"/>
          <w:szCs w:val="24"/>
        </w:rPr>
        <w:t>2026</w:t>
      </w:r>
      <w:r w:rsidR="00A2443F" w:rsidRPr="00726415">
        <w:rPr>
          <w:rFonts w:ascii="AvantGarde Bk BT" w:hAnsi="AvantGarde Bk BT" w:cs="Arial"/>
          <w:b/>
          <w:color w:val="000000" w:themeColor="text1"/>
          <w:sz w:val="24"/>
          <w:szCs w:val="24"/>
        </w:rPr>
        <w:t>-1</w:t>
      </w:r>
      <w:r w:rsidR="002658D3" w:rsidRPr="00726415">
        <w:rPr>
          <w:rFonts w:ascii="AvantGarde Bk BT" w:hAnsi="AvantGarde Bk BT" w:cs="Arial"/>
          <w:b/>
          <w:color w:val="000000" w:themeColor="text1"/>
          <w:sz w:val="24"/>
          <w:szCs w:val="24"/>
        </w:rPr>
        <w:t xml:space="preserve"> OP</w:t>
      </w:r>
    </w:p>
    <w:p w14:paraId="0D27F4C8" w14:textId="042D8794" w:rsidR="009378B9" w:rsidRPr="00726415"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2641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2641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 xml:space="preserve">COMISIONADO PONENTE: </w:t>
      </w:r>
    </w:p>
    <w:p w14:paraId="253F4310" w14:textId="3D5C15DE" w:rsidR="004363BE" w:rsidRPr="00726415"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sidRPr="00726415">
        <w:rPr>
          <w:rFonts w:ascii="AvantGarde Bk BT" w:hAnsi="AvantGarde Bk BT" w:cs="Arial"/>
          <w:b/>
          <w:color w:val="000000" w:themeColor="text1"/>
          <w:sz w:val="24"/>
          <w:szCs w:val="24"/>
        </w:rPr>
        <w:t xml:space="preserve">LICENCIADO </w:t>
      </w:r>
      <w:r w:rsidR="00F078A9" w:rsidRPr="00726415">
        <w:rPr>
          <w:rFonts w:ascii="AvantGarde Bk BT" w:hAnsi="AvantGarde Bk BT" w:cs="Arial"/>
          <w:b/>
          <w:color w:val="000000" w:themeColor="text1"/>
          <w:sz w:val="24"/>
        </w:rPr>
        <w:t>JOSÉ GERARDO NAVARRO ALVISO</w:t>
      </w:r>
    </w:p>
    <w:p w14:paraId="53FC62CC" w14:textId="362B6EC6" w:rsidR="00B06540" w:rsidRPr="0072641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2641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MATERIA:</w:t>
      </w:r>
    </w:p>
    <w:p w14:paraId="4FB808CF" w14:textId="187F0FF9" w:rsidR="0004274F" w:rsidRPr="0072641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ACCESO A LA INFORMACIÓN PÚBLICA</w:t>
      </w:r>
    </w:p>
    <w:p w14:paraId="6236DC2B" w14:textId="77777777" w:rsidR="00B06540" w:rsidRPr="0072641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2641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SUJETO</w:t>
      </w:r>
      <w:r w:rsidR="0004274F" w:rsidRPr="00726415">
        <w:rPr>
          <w:rFonts w:ascii="AvantGarde Bk BT" w:hAnsi="AvantGarde Bk BT" w:cs="Arial"/>
          <w:b/>
          <w:color w:val="000000" w:themeColor="text1"/>
          <w:sz w:val="24"/>
          <w:szCs w:val="24"/>
        </w:rPr>
        <w:t xml:space="preserve"> OBLIGADO:</w:t>
      </w:r>
    </w:p>
    <w:p w14:paraId="0FCFDAE5" w14:textId="551F8614" w:rsidR="0004274F" w:rsidRPr="00726415" w:rsidRDefault="000B1CE2"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sidRPr="00726415">
        <w:rPr>
          <w:rFonts w:ascii="AvantGarde Bk BT" w:hAnsi="AvantGarde Bk BT" w:cs="Arial"/>
          <w:b/>
          <w:color w:val="000000" w:themeColor="text1"/>
          <w:sz w:val="24"/>
          <w:szCs w:val="24"/>
        </w:rPr>
        <w:t xml:space="preserve">SECRETARÍA </w:t>
      </w:r>
      <w:r w:rsidR="002658D3" w:rsidRPr="00726415">
        <w:rPr>
          <w:rFonts w:ascii="AvantGarde Bk BT" w:hAnsi="AvantGarde Bk BT" w:cs="Arial"/>
          <w:b/>
          <w:color w:val="000000" w:themeColor="text1"/>
          <w:sz w:val="24"/>
          <w:szCs w:val="24"/>
        </w:rPr>
        <w:t>GENERAL DE</w:t>
      </w:r>
      <w:r w:rsidRPr="00726415">
        <w:rPr>
          <w:rFonts w:ascii="AvantGarde Bk BT" w:hAnsi="AvantGarde Bk BT" w:cs="Arial"/>
          <w:b/>
          <w:color w:val="000000" w:themeColor="text1"/>
          <w:sz w:val="24"/>
          <w:szCs w:val="24"/>
        </w:rPr>
        <w:t xml:space="preserve"> </w:t>
      </w:r>
      <w:r w:rsidR="002658D3" w:rsidRPr="00726415">
        <w:rPr>
          <w:rFonts w:ascii="AvantGarde Bk BT" w:hAnsi="AvantGarde Bk BT" w:cs="Arial"/>
          <w:b/>
          <w:color w:val="000000" w:themeColor="text1"/>
          <w:sz w:val="24"/>
          <w:szCs w:val="24"/>
        </w:rPr>
        <w:t>GOBIERNO</w:t>
      </w:r>
    </w:p>
    <w:bookmarkEnd w:id="0"/>
    <w:p w14:paraId="340D480D" w14:textId="77777777" w:rsidR="008A7FF4" w:rsidRPr="00726415"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2641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696EC44F" w:rsidR="0004274F" w:rsidRPr="0072641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           </w:t>
      </w:r>
      <w:r w:rsidR="0004274F" w:rsidRPr="00726415">
        <w:rPr>
          <w:rFonts w:ascii="AvantGarde Bk BT" w:hAnsi="AvantGarde Bk BT" w:cs="Arial"/>
          <w:color w:val="000000" w:themeColor="text1"/>
          <w:sz w:val="24"/>
          <w:szCs w:val="24"/>
        </w:rPr>
        <w:t>S</w:t>
      </w:r>
      <w:r w:rsidR="00926B84" w:rsidRPr="00726415">
        <w:rPr>
          <w:rFonts w:ascii="AvantGarde Bk BT" w:hAnsi="AvantGarde Bk BT" w:cs="Arial"/>
          <w:color w:val="000000" w:themeColor="text1"/>
          <w:sz w:val="24"/>
          <w:szCs w:val="24"/>
        </w:rPr>
        <w:t>an Luis Potosí, San Luis Potosí.</w:t>
      </w:r>
      <w:r w:rsidR="0004274F" w:rsidRPr="00726415">
        <w:rPr>
          <w:rFonts w:ascii="AvantGarde Bk BT" w:hAnsi="AvantGarde Bk BT" w:cs="Arial"/>
          <w:color w:val="000000" w:themeColor="text1"/>
          <w:sz w:val="24"/>
          <w:szCs w:val="24"/>
        </w:rPr>
        <w:t xml:space="preserve"> Acuerdo del Pleno de la Comisión Estatal de Garantía de Acceso a la Información Pública, </w:t>
      </w:r>
      <w:r w:rsidR="00FB36BB" w:rsidRPr="00726415">
        <w:rPr>
          <w:rFonts w:ascii="AvantGarde Bk BT" w:hAnsi="AvantGarde Bk BT" w:cs="Arial"/>
          <w:color w:val="000000" w:themeColor="text1"/>
          <w:sz w:val="24"/>
          <w:szCs w:val="24"/>
        </w:rPr>
        <w:t>correspondiente a la sesión del</w:t>
      </w:r>
      <w:r w:rsidR="00943B03" w:rsidRPr="00726415">
        <w:rPr>
          <w:rFonts w:ascii="AvantGarde Bk BT" w:hAnsi="AvantGarde Bk BT" w:cs="Arial"/>
          <w:color w:val="000000" w:themeColor="text1"/>
          <w:sz w:val="24"/>
          <w:szCs w:val="24"/>
        </w:rPr>
        <w:t xml:space="preserve"> </w:t>
      </w:r>
      <w:r w:rsidR="00486EEA" w:rsidRPr="00726415">
        <w:rPr>
          <w:rFonts w:ascii="AvantGarde Bk BT" w:hAnsi="AvantGarde Bk BT" w:cs="Arial"/>
          <w:color w:val="000000" w:themeColor="text1"/>
          <w:sz w:val="24"/>
          <w:szCs w:val="24"/>
        </w:rPr>
        <w:t>veintiséis</w:t>
      </w:r>
      <w:r w:rsidR="00014F22" w:rsidRPr="00726415">
        <w:rPr>
          <w:rFonts w:ascii="AvantGarde Bk BT" w:hAnsi="AvantGarde Bk BT" w:cs="Arial"/>
          <w:color w:val="000000" w:themeColor="text1"/>
          <w:sz w:val="24"/>
          <w:szCs w:val="24"/>
        </w:rPr>
        <w:t xml:space="preserve"> de </w:t>
      </w:r>
      <w:r w:rsidR="002658D3" w:rsidRPr="00726415">
        <w:rPr>
          <w:rFonts w:ascii="AvantGarde Bk BT" w:hAnsi="AvantGarde Bk BT" w:cs="Arial"/>
          <w:color w:val="000000" w:themeColor="text1"/>
          <w:sz w:val="24"/>
          <w:szCs w:val="24"/>
        </w:rPr>
        <w:t>junio</w:t>
      </w:r>
      <w:r w:rsidR="0046095C" w:rsidRPr="00726415">
        <w:rPr>
          <w:rFonts w:ascii="AvantGarde Bk BT" w:hAnsi="AvantGarde Bk BT" w:cs="Arial"/>
          <w:color w:val="000000" w:themeColor="text1"/>
          <w:sz w:val="24"/>
          <w:szCs w:val="24"/>
        </w:rPr>
        <w:t xml:space="preserve"> de dos mil </w:t>
      </w:r>
      <w:r w:rsidR="00CF015A" w:rsidRPr="00726415">
        <w:rPr>
          <w:rFonts w:ascii="AvantGarde Bk BT" w:hAnsi="AvantGarde Bk BT" w:cs="Arial"/>
          <w:color w:val="000000" w:themeColor="text1"/>
          <w:sz w:val="24"/>
          <w:szCs w:val="24"/>
        </w:rPr>
        <w:t>veintiséis</w:t>
      </w:r>
      <w:r w:rsidR="0004274F" w:rsidRPr="00726415">
        <w:rPr>
          <w:rFonts w:ascii="AvantGarde Bk BT" w:hAnsi="AvantGarde Bk BT" w:cs="Arial"/>
          <w:color w:val="000000" w:themeColor="text1"/>
          <w:sz w:val="24"/>
          <w:szCs w:val="24"/>
        </w:rPr>
        <w:t xml:space="preserve">. </w:t>
      </w:r>
    </w:p>
    <w:p w14:paraId="5FEA317F" w14:textId="20AEA4E8" w:rsidR="0004274F" w:rsidRPr="0072641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        </w:t>
      </w:r>
      <w:r w:rsidR="00CA0F2E" w:rsidRPr="00726415">
        <w:rPr>
          <w:rFonts w:ascii="AvantGarde Bk BT" w:hAnsi="AvantGarde Bk BT" w:cs="Arial"/>
          <w:b/>
          <w:color w:val="000000" w:themeColor="text1"/>
          <w:sz w:val="24"/>
          <w:szCs w:val="24"/>
        </w:rPr>
        <w:t xml:space="preserve">   </w:t>
      </w:r>
      <w:r w:rsidR="0004274F" w:rsidRPr="00726415">
        <w:rPr>
          <w:rFonts w:ascii="AvantGarde Bk BT" w:hAnsi="AvantGarde Bk BT" w:cs="Arial"/>
          <w:b/>
          <w:color w:val="000000" w:themeColor="text1"/>
          <w:sz w:val="24"/>
          <w:szCs w:val="24"/>
        </w:rPr>
        <w:t>VISTOS</w:t>
      </w:r>
      <w:r w:rsidR="0004274F" w:rsidRPr="0072641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726415"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RESULTANDO:</w:t>
      </w:r>
    </w:p>
    <w:p w14:paraId="6314FE36" w14:textId="42C2DCE3" w:rsidR="004E2C5A" w:rsidRPr="00726415" w:rsidRDefault="004E2C5A" w:rsidP="00643810">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PRIMERO.</w:t>
      </w:r>
      <w:r w:rsidRPr="00726415">
        <w:rPr>
          <w:rFonts w:ascii="AvantGarde Bk BT" w:hAnsi="AvantGarde Bk BT" w:cs="Arial"/>
          <w:color w:val="000000" w:themeColor="text1"/>
          <w:sz w:val="24"/>
          <w:szCs w:val="24"/>
        </w:rPr>
        <w:t xml:space="preserve"> </w:t>
      </w:r>
      <w:r w:rsidRPr="00726415">
        <w:rPr>
          <w:rFonts w:ascii="AvantGarde Bk BT" w:hAnsi="AvantGarde Bk BT" w:cs="Arial"/>
          <w:b/>
          <w:color w:val="000000" w:themeColor="text1"/>
          <w:sz w:val="24"/>
          <w:szCs w:val="24"/>
        </w:rPr>
        <w:t>Solicitud de acceso a la información pública.</w:t>
      </w:r>
      <w:r w:rsidRPr="00726415">
        <w:rPr>
          <w:rFonts w:ascii="AvantGarde Bk BT" w:hAnsi="AvantGarde Bk BT" w:cs="Arial"/>
          <w:color w:val="000000" w:themeColor="text1"/>
          <w:sz w:val="24"/>
          <w:szCs w:val="24"/>
        </w:rPr>
        <w:t xml:space="preserve"> </w:t>
      </w:r>
      <w:r w:rsidR="00CB72BB" w:rsidRPr="00726415">
        <w:rPr>
          <w:rFonts w:ascii="AvantGarde Bk BT" w:hAnsi="AvantGarde Bk BT" w:cs="Arial"/>
          <w:color w:val="000000" w:themeColor="text1"/>
          <w:sz w:val="24"/>
          <w:szCs w:val="24"/>
        </w:rPr>
        <w:t xml:space="preserve">El </w:t>
      </w:r>
      <w:r w:rsidR="00812685" w:rsidRPr="00726415">
        <w:rPr>
          <w:rFonts w:ascii="AvantGarde Bk BT" w:hAnsi="AvantGarde Bk BT" w:cs="Arial"/>
          <w:color w:val="000000" w:themeColor="text1"/>
          <w:sz w:val="24"/>
          <w:szCs w:val="24"/>
        </w:rPr>
        <w:t xml:space="preserve">diecinueve de abril </w:t>
      </w:r>
      <w:r w:rsidR="0027328A" w:rsidRPr="00726415">
        <w:rPr>
          <w:rFonts w:ascii="AvantGarde Bk BT" w:hAnsi="AvantGarde Bk BT" w:cs="Arial"/>
          <w:color w:val="000000" w:themeColor="text1"/>
          <w:sz w:val="24"/>
          <w:szCs w:val="24"/>
        </w:rPr>
        <w:t>de dos mil veintiséis</w:t>
      </w:r>
      <w:r w:rsidR="009A2B2B" w:rsidRPr="00726415">
        <w:rPr>
          <w:rFonts w:ascii="AvantGarde Bk BT" w:hAnsi="AvantGarde Bk BT" w:cs="Arial"/>
          <w:color w:val="000000" w:themeColor="text1"/>
          <w:sz w:val="24"/>
          <w:szCs w:val="24"/>
        </w:rPr>
        <w:t>,</w:t>
      </w:r>
      <w:r w:rsidR="00EE5D0F" w:rsidRPr="00726415">
        <w:rPr>
          <w:rFonts w:ascii="AvantGarde Bk BT" w:hAnsi="AvantGarde Bk BT" w:cs="Arial"/>
          <w:color w:val="000000" w:themeColor="text1"/>
          <w:sz w:val="24"/>
          <w:szCs w:val="24"/>
        </w:rPr>
        <w:t xml:space="preserve"> </w:t>
      </w:r>
      <w:r w:rsidR="000B7A20" w:rsidRPr="00726415">
        <w:rPr>
          <w:rFonts w:ascii="AvantGarde Bk BT" w:hAnsi="AvantGarde Bk BT" w:cs="Arial"/>
          <w:color w:val="000000" w:themeColor="text1"/>
          <w:sz w:val="24"/>
          <w:szCs w:val="24"/>
        </w:rPr>
        <w:t>e</w:t>
      </w:r>
      <w:r w:rsidR="00CB72BB" w:rsidRPr="00726415">
        <w:rPr>
          <w:rFonts w:ascii="AvantGarde Bk BT" w:hAnsi="AvantGarde Bk BT" w:cs="Arial"/>
          <w:color w:val="000000" w:themeColor="text1"/>
          <w:sz w:val="24"/>
          <w:szCs w:val="24"/>
        </w:rPr>
        <w:t>l</w:t>
      </w:r>
      <w:r w:rsidRPr="00726415">
        <w:rPr>
          <w:rFonts w:ascii="AvantGarde Bk BT" w:hAnsi="AvantGarde Bk BT" w:cs="Arial"/>
          <w:color w:val="000000" w:themeColor="text1"/>
          <w:sz w:val="24"/>
          <w:szCs w:val="24"/>
        </w:rPr>
        <w:t xml:space="preserve"> </w:t>
      </w:r>
      <w:r w:rsidR="009A2B2B" w:rsidRPr="00726415">
        <w:rPr>
          <w:rFonts w:ascii="AvantGarde Bk BT" w:hAnsi="AvantGarde Bk BT" w:cs="Arial"/>
          <w:color w:val="000000" w:themeColor="text1"/>
          <w:sz w:val="24"/>
          <w:szCs w:val="24"/>
        </w:rPr>
        <w:t>sujeto obligado</w:t>
      </w:r>
      <w:r w:rsidR="004C2FA7" w:rsidRPr="00726415">
        <w:rPr>
          <w:rFonts w:ascii="AvantGarde Bk BT" w:hAnsi="AvantGarde Bk BT" w:cs="Arial"/>
          <w:color w:val="000000" w:themeColor="text1"/>
          <w:sz w:val="24"/>
          <w:szCs w:val="24"/>
        </w:rPr>
        <w:t xml:space="preserve"> </w:t>
      </w:r>
      <w:r w:rsidRPr="00726415">
        <w:rPr>
          <w:rFonts w:ascii="AvantGarde Bk BT" w:hAnsi="AvantGarde Bk BT" w:cs="Arial"/>
          <w:color w:val="000000" w:themeColor="text1"/>
          <w:sz w:val="24"/>
          <w:szCs w:val="24"/>
        </w:rPr>
        <w:t>recibi</w:t>
      </w:r>
      <w:r w:rsidR="004E3226" w:rsidRPr="00726415">
        <w:rPr>
          <w:rFonts w:ascii="AvantGarde Bk BT" w:hAnsi="AvantGarde Bk BT" w:cs="Arial"/>
          <w:color w:val="000000" w:themeColor="text1"/>
          <w:sz w:val="24"/>
          <w:szCs w:val="24"/>
        </w:rPr>
        <w:t xml:space="preserve">ó una solicitud de información a través de </w:t>
      </w:r>
      <w:r w:rsidR="004C2FA7" w:rsidRPr="00726415">
        <w:rPr>
          <w:rFonts w:ascii="AvantGarde Bk BT" w:hAnsi="AvantGarde Bk BT" w:cs="Arial"/>
          <w:color w:val="000000" w:themeColor="text1"/>
          <w:sz w:val="24"/>
          <w:szCs w:val="24"/>
        </w:rPr>
        <w:t>la Plataforma Nacional de Transparencia</w:t>
      </w:r>
      <w:r w:rsidR="0022063A" w:rsidRPr="00726415">
        <w:rPr>
          <w:rFonts w:ascii="AvantGarde Bk BT" w:hAnsi="AvantGarde Bk BT" w:cs="Arial"/>
          <w:color w:val="000000" w:themeColor="text1"/>
          <w:sz w:val="24"/>
          <w:szCs w:val="24"/>
        </w:rPr>
        <w:t xml:space="preserve"> </w:t>
      </w:r>
      <w:r w:rsidR="000B7A20" w:rsidRPr="00726415">
        <w:rPr>
          <w:rFonts w:ascii="AvantGarde Bk BT" w:hAnsi="AvantGarde Bk BT" w:cs="Arial"/>
          <w:color w:val="000000" w:themeColor="text1"/>
          <w:sz w:val="24"/>
          <w:szCs w:val="24"/>
        </w:rPr>
        <w:t>bajo el núm</w:t>
      </w:r>
      <w:r w:rsidR="00027D7D" w:rsidRPr="00726415">
        <w:rPr>
          <w:rFonts w:ascii="AvantGarde Bk BT" w:hAnsi="AvantGarde Bk BT" w:cs="Arial"/>
          <w:color w:val="000000" w:themeColor="text1"/>
          <w:sz w:val="24"/>
          <w:szCs w:val="24"/>
        </w:rPr>
        <w:t>ero de folio</w:t>
      </w:r>
      <w:r w:rsidR="000B7A20" w:rsidRPr="00726415">
        <w:rPr>
          <w:rFonts w:ascii="AvantGarde Bk BT" w:hAnsi="AvantGarde Bk BT" w:cs="Arial"/>
          <w:color w:val="000000" w:themeColor="text1"/>
          <w:sz w:val="24"/>
          <w:szCs w:val="24"/>
        </w:rPr>
        <w:t xml:space="preserve"> </w:t>
      </w:r>
      <w:r w:rsidR="005720A9" w:rsidRPr="00726415">
        <w:rPr>
          <w:rFonts w:ascii="AvantGarde Bk BT" w:hAnsi="AvantGarde Bk BT" w:cs="Arial"/>
          <w:color w:val="000000" w:themeColor="text1"/>
          <w:sz w:val="24"/>
          <w:szCs w:val="24"/>
        </w:rPr>
        <w:t>241230</w:t>
      </w:r>
      <w:r w:rsidR="00812685" w:rsidRPr="00726415">
        <w:rPr>
          <w:rFonts w:ascii="AvantGarde Bk BT" w:hAnsi="AvantGarde Bk BT" w:cs="Arial"/>
          <w:color w:val="000000" w:themeColor="text1"/>
          <w:sz w:val="24"/>
          <w:szCs w:val="24"/>
        </w:rPr>
        <w:t>226000088</w:t>
      </w:r>
      <w:r w:rsidR="0046095C" w:rsidRPr="00726415">
        <w:rPr>
          <w:rFonts w:ascii="AvantGarde Bk BT" w:hAnsi="AvantGarde Bk BT" w:cs="Arial"/>
          <w:color w:val="000000" w:themeColor="text1"/>
          <w:sz w:val="24"/>
          <w:szCs w:val="24"/>
        </w:rPr>
        <w:t xml:space="preserve">. </w:t>
      </w:r>
      <w:r w:rsidR="0063328B" w:rsidRPr="00726415">
        <w:rPr>
          <w:rFonts w:ascii="AvantGarde Bk BT" w:hAnsi="AvantGarde Bk BT" w:cs="Arial"/>
          <w:color w:val="000000" w:themeColor="text1"/>
          <w:sz w:val="24"/>
          <w:szCs w:val="24"/>
        </w:rPr>
        <w:t>(</w:t>
      </w:r>
      <w:r w:rsidRPr="00726415">
        <w:rPr>
          <w:rFonts w:ascii="AvantGarde Bk BT" w:hAnsi="AvantGarde Bk BT" w:cs="Arial"/>
          <w:color w:val="000000" w:themeColor="text1"/>
          <w:sz w:val="24"/>
          <w:szCs w:val="24"/>
        </w:rPr>
        <w:t xml:space="preserve">Visible </w:t>
      </w:r>
      <w:r w:rsidR="00027D7D" w:rsidRPr="00726415">
        <w:rPr>
          <w:rFonts w:ascii="AvantGarde Bk BT" w:hAnsi="AvantGarde Bk BT" w:cs="Arial"/>
          <w:color w:val="000000" w:themeColor="text1"/>
          <w:sz w:val="24"/>
          <w:szCs w:val="24"/>
        </w:rPr>
        <w:t>a</w:t>
      </w:r>
      <w:r w:rsidRPr="00726415">
        <w:rPr>
          <w:rFonts w:ascii="AvantGarde Bk BT" w:hAnsi="AvantGarde Bk BT" w:cs="Arial"/>
          <w:color w:val="000000" w:themeColor="text1"/>
          <w:sz w:val="24"/>
          <w:szCs w:val="24"/>
        </w:rPr>
        <w:t xml:space="preserve"> foja </w:t>
      </w:r>
      <w:r w:rsidR="00812685" w:rsidRPr="00726415">
        <w:rPr>
          <w:rFonts w:ascii="AvantGarde Bk BT" w:hAnsi="AvantGarde Bk BT" w:cs="Arial"/>
          <w:color w:val="000000" w:themeColor="text1"/>
          <w:sz w:val="24"/>
          <w:szCs w:val="24"/>
        </w:rPr>
        <w:t>seis</w:t>
      </w:r>
      <w:r w:rsidRPr="00726415">
        <w:rPr>
          <w:rFonts w:ascii="AvantGarde Bk BT" w:hAnsi="AvantGarde Bk BT" w:cs="Arial"/>
          <w:color w:val="000000" w:themeColor="text1"/>
          <w:sz w:val="24"/>
          <w:szCs w:val="24"/>
        </w:rPr>
        <w:t xml:space="preserve"> de autos).  </w:t>
      </w:r>
    </w:p>
    <w:p w14:paraId="2B4137ED" w14:textId="33CFD597" w:rsidR="004C2FA7" w:rsidRPr="00726415" w:rsidRDefault="004E2C5A" w:rsidP="004E2C5A">
      <w:pPr>
        <w:pStyle w:val="corte4fondo"/>
        <w:spacing w:after="240"/>
        <w:ind w:left="142" w:firstLine="68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SEGUNDO. </w:t>
      </w:r>
      <w:r w:rsidR="004C2FA7" w:rsidRPr="00726415">
        <w:rPr>
          <w:rFonts w:ascii="AvantGarde Bk BT" w:hAnsi="AvantGarde Bk BT" w:cs="Arial"/>
          <w:b/>
          <w:color w:val="000000" w:themeColor="text1"/>
          <w:sz w:val="24"/>
          <w:szCs w:val="24"/>
        </w:rPr>
        <w:t xml:space="preserve">Respuesta de la solicitud. </w:t>
      </w:r>
      <w:r w:rsidR="004C2FA7" w:rsidRPr="00726415">
        <w:rPr>
          <w:rFonts w:ascii="AvantGarde Bk BT" w:hAnsi="AvantGarde Bk BT" w:cs="Arial"/>
          <w:color w:val="000000" w:themeColor="text1"/>
          <w:sz w:val="24"/>
          <w:szCs w:val="24"/>
        </w:rPr>
        <w:t xml:space="preserve">El </w:t>
      </w:r>
      <w:r w:rsidR="00242DE0" w:rsidRPr="00726415">
        <w:rPr>
          <w:rFonts w:ascii="AvantGarde Bk BT" w:hAnsi="AvantGarde Bk BT" w:cs="Arial"/>
          <w:color w:val="000000" w:themeColor="text1"/>
          <w:sz w:val="24"/>
          <w:szCs w:val="24"/>
        </w:rPr>
        <w:t>veintiocho de abril</w:t>
      </w:r>
      <w:r w:rsidR="005720A9" w:rsidRPr="00726415">
        <w:rPr>
          <w:rFonts w:ascii="AvantGarde Bk BT" w:hAnsi="AvantGarde Bk BT" w:cs="Arial"/>
          <w:color w:val="000000" w:themeColor="text1"/>
          <w:sz w:val="24"/>
          <w:szCs w:val="24"/>
        </w:rPr>
        <w:t xml:space="preserve"> de dos mil veintiséis</w:t>
      </w:r>
      <w:r w:rsidR="009A2B2B" w:rsidRPr="00726415">
        <w:rPr>
          <w:rFonts w:ascii="AvantGarde Bk BT" w:hAnsi="AvantGarde Bk BT" w:cs="Arial"/>
          <w:color w:val="000000" w:themeColor="text1"/>
          <w:sz w:val="24"/>
          <w:szCs w:val="24"/>
        </w:rPr>
        <w:t>,</w:t>
      </w:r>
      <w:r w:rsidR="00981FB1" w:rsidRPr="00726415">
        <w:rPr>
          <w:rFonts w:ascii="AvantGarde Bk BT" w:hAnsi="AvantGarde Bk BT" w:cs="Arial"/>
          <w:color w:val="000000" w:themeColor="text1"/>
          <w:sz w:val="24"/>
          <w:szCs w:val="24"/>
        </w:rPr>
        <w:t xml:space="preserve"> </w:t>
      </w:r>
      <w:r w:rsidR="0022063A" w:rsidRPr="00726415">
        <w:rPr>
          <w:rFonts w:ascii="AvantGarde Bk BT" w:hAnsi="AvantGarde Bk BT" w:cs="Arial"/>
          <w:color w:val="000000" w:themeColor="text1"/>
          <w:sz w:val="24"/>
          <w:szCs w:val="24"/>
        </w:rPr>
        <w:t>el</w:t>
      </w:r>
      <w:r w:rsidR="004C2FA7" w:rsidRPr="00726415">
        <w:rPr>
          <w:rFonts w:ascii="AvantGarde Bk BT" w:hAnsi="AvantGarde Bk BT" w:cs="Arial"/>
          <w:color w:val="000000" w:themeColor="text1"/>
          <w:sz w:val="24"/>
          <w:szCs w:val="24"/>
        </w:rPr>
        <w:t xml:space="preserve"> </w:t>
      </w:r>
      <w:r w:rsidR="009A2B2B" w:rsidRPr="00726415">
        <w:rPr>
          <w:rFonts w:ascii="AvantGarde Bk BT" w:hAnsi="AvantGarde Bk BT" w:cs="Arial"/>
          <w:color w:val="000000" w:themeColor="text1"/>
          <w:sz w:val="24"/>
          <w:szCs w:val="24"/>
        </w:rPr>
        <w:t>sujeto obligado</w:t>
      </w:r>
      <w:r w:rsidR="009A2B2B" w:rsidRPr="00726415">
        <w:rPr>
          <w:rFonts w:ascii="AvantGarde Bk BT" w:hAnsi="AvantGarde Bk BT" w:cs="Arial"/>
          <w:b/>
          <w:color w:val="000000" w:themeColor="text1"/>
          <w:sz w:val="24"/>
          <w:szCs w:val="24"/>
        </w:rPr>
        <w:t xml:space="preserve"> </w:t>
      </w:r>
      <w:r w:rsidR="004C2FA7" w:rsidRPr="00726415">
        <w:rPr>
          <w:rFonts w:ascii="AvantGarde Bk BT" w:hAnsi="AvantGarde Bk BT" w:cs="Arial"/>
          <w:color w:val="000000" w:themeColor="text1"/>
          <w:sz w:val="24"/>
          <w:szCs w:val="24"/>
        </w:rPr>
        <w:t xml:space="preserve">documentó su respuesta en la Plataforma Nacional de Transparencia. (Visible </w:t>
      </w:r>
      <w:r w:rsidR="005720A9" w:rsidRPr="00726415">
        <w:rPr>
          <w:rFonts w:ascii="AvantGarde Bk BT" w:hAnsi="AvantGarde Bk BT" w:cs="Arial"/>
          <w:color w:val="000000" w:themeColor="text1"/>
          <w:sz w:val="24"/>
          <w:szCs w:val="24"/>
        </w:rPr>
        <w:t xml:space="preserve">a foja </w:t>
      </w:r>
      <w:r w:rsidR="00242DE0" w:rsidRPr="00726415">
        <w:rPr>
          <w:rFonts w:ascii="AvantGarde Bk BT" w:hAnsi="AvantGarde Bk BT" w:cs="Arial"/>
          <w:color w:val="000000" w:themeColor="text1"/>
          <w:sz w:val="24"/>
          <w:szCs w:val="24"/>
        </w:rPr>
        <w:t>siete y ocho</w:t>
      </w:r>
      <w:r w:rsidR="005720A9" w:rsidRPr="00726415">
        <w:rPr>
          <w:rFonts w:ascii="AvantGarde Bk BT" w:hAnsi="AvantGarde Bk BT" w:cs="Arial"/>
          <w:color w:val="000000" w:themeColor="text1"/>
          <w:sz w:val="24"/>
          <w:szCs w:val="24"/>
        </w:rPr>
        <w:t xml:space="preserve"> de autos</w:t>
      </w:r>
      <w:r w:rsidR="004C2FA7" w:rsidRPr="00726415">
        <w:rPr>
          <w:rFonts w:ascii="AvantGarde Bk BT" w:hAnsi="AvantGarde Bk BT" w:cs="Arial"/>
          <w:color w:val="000000" w:themeColor="text1"/>
          <w:sz w:val="24"/>
          <w:szCs w:val="24"/>
        </w:rPr>
        <w:t>).</w:t>
      </w:r>
    </w:p>
    <w:p w14:paraId="6E0B267D" w14:textId="12127640" w:rsidR="00CB72BB" w:rsidRPr="00726415" w:rsidRDefault="004C2FA7" w:rsidP="004E2C5A">
      <w:pPr>
        <w:pStyle w:val="corte4fondo"/>
        <w:spacing w:after="240"/>
        <w:ind w:left="142" w:firstLine="68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TERCERO. </w:t>
      </w:r>
      <w:r w:rsidR="0046095C" w:rsidRPr="00726415">
        <w:rPr>
          <w:rFonts w:ascii="AvantGarde Bk BT" w:hAnsi="AvantGarde Bk BT" w:cs="Arial"/>
          <w:b/>
          <w:color w:val="000000" w:themeColor="text1"/>
          <w:sz w:val="24"/>
          <w:szCs w:val="24"/>
        </w:rPr>
        <w:t>Interposición del recurso.</w:t>
      </w:r>
      <w:r w:rsidR="0046095C" w:rsidRPr="00726415">
        <w:rPr>
          <w:rFonts w:ascii="AvantGarde Bk BT" w:hAnsi="AvantGarde Bk BT" w:cs="Arial"/>
          <w:color w:val="000000" w:themeColor="text1"/>
          <w:sz w:val="24"/>
          <w:szCs w:val="24"/>
        </w:rPr>
        <w:t xml:space="preserve"> El </w:t>
      </w:r>
      <w:r w:rsidR="005F64DC" w:rsidRPr="00726415">
        <w:rPr>
          <w:rFonts w:ascii="AvantGarde Bk BT" w:hAnsi="AvantGarde Bk BT" w:cs="Arial"/>
          <w:color w:val="000000" w:themeColor="text1"/>
          <w:sz w:val="24"/>
          <w:szCs w:val="24"/>
        </w:rPr>
        <w:t xml:space="preserve">siete de mayo </w:t>
      </w:r>
      <w:r w:rsidR="005720A9" w:rsidRPr="00726415">
        <w:rPr>
          <w:rFonts w:ascii="AvantGarde Bk BT" w:hAnsi="AvantGarde Bk BT" w:cs="Arial"/>
          <w:color w:val="000000" w:themeColor="text1"/>
          <w:sz w:val="24"/>
          <w:szCs w:val="24"/>
        </w:rPr>
        <w:t>de dos mil veintiséis</w:t>
      </w:r>
      <w:r w:rsidR="0046095C" w:rsidRPr="00726415">
        <w:rPr>
          <w:rFonts w:ascii="AvantGarde Bk BT" w:hAnsi="AvantGarde Bk BT" w:cs="Arial"/>
          <w:color w:val="000000" w:themeColor="text1"/>
          <w:sz w:val="24"/>
          <w:szCs w:val="24"/>
        </w:rPr>
        <w:t xml:space="preserve"> l</w:t>
      </w:r>
      <w:r w:rsidR="00533EA4" w:rsidRPr="00726415">
        <w:rPr>
          <w:rFonts w:ascii="AvantGarde Bk BT" w:hAnsi="AvantGarde Bk BT" w:cs="Arial"/>
          <w:color w:val="000000" w:themeColor="text1"/>
          <w:sz w:val="24"/>
          <w:szCs w:val="24"/>
        </w:rPr>
        <w:t>a persona</w:t>
      </w:r>
      <w:r w:rsidR="0046095C" w:rsidRPr="00726415">
        <w:rPr>
          <w:rFonts w:ascii="AvantGarde Bk BT" w:hAnsi="AvantGarde Bk BT" w:cs="Arial"/>
          <w:color w:val="000000" w:themeColor="text1"/>
          <w:sz w:val="24"/>
          <w:szCs w:val="24"/>
        </w:rPr>
        <w:t xml:space="preserve"> solicitante de la información interpuso el recurso de revisión en contra de la respuesta </w:t>
      </w:r>
      <w:r w:rsidR="00F84CC8" w:rsidRPr="00726415">
        <w:rPr>
          <w:rFonts w:ascii="AvantGarde Bk BT" w:hAnsi="AvantGarde Bk BT" w:cs="Arial"/>
          <w:color w:val="000000" w:themeColor="text1"/>
          <w:sz w:val="24"/>
          <w:szCs w:val="24"/>
        </w:rPr>
        <w:t>recibida</w:t>
      </w:r>
      <w:r w:rsidR="005F64DC" w:rsidRPr="00726415">
        <w:rPr>
          <w:rFonts w:ascii="AvantGarde Bk BT" w:hAnsi="AvantGarde Bk BT" w:cs="Arial"/>
          <w:color w:val="000000" w:themeColor="text1"/>
          <w:sz w:val="24"/>
          <w:szCs w:val="24"/>
        </w:rPr>
        <w:t xml:space="preserve"> </w:t>
      </w:r>
      <w:r w:rsidR="00CA609F" w:rsidRPr="00726415">
        <w:rPr>
          <w:rFonts w:ascii="AvantGarde Bk BT" w:hAnsi="AvantGarde Bk BT" w:cs="Arial"/>
          <w:color w:val="000000" w:themeColor="text1"/>
          <w:sz w:val="24"/>
          <w:szCs w:val="24"/>
        </w:rPr>
        <w:t>en la Oficialía de Partes de esta Comisión</w:t>
      </w:r>
      <w:r w:rsidR="0046095C" w:rsidRPr="00726415">
        <w:rPr>
          <w:rFonts w:ascii="AvantGarde Bk BT" w:hAnsi="AvantGarde Bk BT" w:cs="Arial"/>
          <w:color w:val="000000" w:themeColor="text1"/>
          <w:sz w:val="24"/>
          <w:szCs w:val="24"/>
        </w:rPr>
        <w:t>. (</w:t>
      </w:r>
      <w:r w:rsidR="005F64DC" w:rsidRPr="00726415">
        <w:rPr>
          <w:rFonts w:ascii="AvantGarde Bk BT" w:hAnsi="AvantGarde Bk BT" w:cs="Arial"/>
          <w:color w:val="000000" w:themeColor="text1"/>
          <w:sz w:val="24"/>
          <w:szCs w:val="24"/>
        </w:rPr>
        <w:t>V</w:t>
      </w:r>
      <w:r w:rsidR="0046095C" w:rsidRPr="00726415">
        <w:rPr>
          <w:rFonts w:ascii="AvantGarde Bk BT" w:hAnsi="AvantGarde Bk BT" w:cs="Arial"/>
          <w:color w:val="000000" w:themeColor="text1"/>
          <w:sz w:val="24"/>
          <w:szCs w:val="24"/>
        </w:rPr>
        <w:t xml:space="preserve">isible </w:t>
      </w:r>
      <w:r w:rsidR="00F84CC8" w:rsidRPr="00726415">
        <w:rPr>
          <w:rFonts w:ascii="AvantGarde Bk BT" w:hAnsi="AvantGarde Bk BT" w:cs="Arial"/>
          <w:color w:val="000000" w:themeColor="text1"/>
          <w:sz w:val="24"/>
          <w:szCs w:val="24"/>
        </w:rPr>
        <w:t>a</w:t>
      </w:r>
      <w:r w:rsidR="0046095C" w:rsidRPr="00726415">
        <w:rPr>
          <w:rFonts w:ascii="AvantGarde Bk BT" w:hAnsi="AvantGarde Bk BT" w:cs="Arial"/>
          <w:color w:val="000000" w:themeColor="text1"/>
          <w:sz w:val="24"/>
          <w:szCs w:val="24"/>
        </w:rPr>
        <w:t xml:space="preserve"> foja </w:t>
      </w:r>
      <w:r w:rsidR="005F64DC" w:rsidRPr="00726415">
        <w:rPr>
          <w:rFonts w:ascii="AvantGarde Bk BT" w:hAnsi="AvantGarde Bk BT" w:cs="Arial"/>
          <w:color w:val="000000" w:themeColor="text1"/>
          <w:sz w:val="24"/>
          <w:szCs w:val="24"/>
        </w:rPr>
        <w:t>de autos</w:t>
      </w:r>
      <w:r w:rsidR="0046095C" w:rsidRPr="00726415">
        <w:rPr>
          <w:rFonts w:ascii="AvantGarde Bk BT" w:hAnsi="AvantGarde Bk BT" w:cs="Arial"/>
          <w:color w:val="000000" w:themeColor="text1"/>
          <w:sz w:val="24"/>
          <w:szCs w:val="24"/>
        </w:rPr>
        <w:t>)</w:t>
      </w:r>
      <w:r w:rsidR="005F64DC" w:rsidRPr="00726415">
        <w:rPr>
          <w:rFonts w:ascii="AvantGarde Bk BT" w:hAnsi="AvantGarde Bk BT" w:cs="Arial"/>
          <w:color w:val="000000" w:themeColor="text1"/>
          <w:sz w:val="24"/>
          <w:szCs w:val="24"/>
        </w:rPr>
        <w:t>.</w:t>
      </w:r>
    </w:p>
    <w:p w14:paraId="376947CB" w14:textId="634D420A" w:rsidR="004E2C5A" w:rsidRPr="00726415" w:rsidRDefault="004C2FA7" w:rsidP="004E2C5A">
      <w:pPr>
        <w:pStyle w:val="corte4fondo"/>
        <w:spacing w:after="240"/>
        <w:ind w:left="142" w:firstLine="68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CUARTO. </w:t>
      </w:r>
      <w:r w:rsidR="0046095C" w:rsidRPr="00726415">
        <w:rPr>
          <w:rFonts w:ascii="AvantGarde Bk BT" w:hAnsi="AvantGarde Bk BT" w:cs="Arial"/>
          <w:b/>
          <w:color w:val="000000" w:themeColor="text1"/>
          <w:sz w:val="24"/>
          <w:szCs w:val="24"/>
        </w:rPr>
        <w:t>Trámite del recurso de revisión ante esta Comisión Estatal de Garantía de Acceso a la Información Pública.</w:t>
      </w:r>
      <w:r w:rsidR="0046095C" w:rsidRPr="00726415">
        <w:rPr>
          <w:rFonts w:ascii="AvantGarde Bk BT" w:hAnsi="AvantGarde Bk BT" w:cs="Arial"/>
          <w:color w:val="000000" w:themeColor="text1"/>
          <w:sz w:val="24"/>
          <w:szCs w:val="24"/>
        </w:rPr>
        <w:t xml:space="preserve"> Mediante auto del </w:t>
      </w:r>
      <w:r w:rsidR="00AA5C72" w:rsidRPr="00726415">
        <w:rPr>
          <w:rFonts w:ascii="AvantGarde Bk BT" w:hAnsi="AvantGarde Bk BT" w:cs="Arial"/>
          <w:color w:val="000000" w:themeColor="text1"/>
          <w:sz w:val="24"/>
          <w:szCs w:val="24"/>
        </w:rPr>
        <w:t>siete de mayo</w:t>
      </w:r>
      <w:r w:rsidR="005720A9" w:rsidRPr="00726415">
        <w:rPr>
          <w:rFonts w:ascii="AvantGarde Bk BT" w:hAnsi="AvantGarde Bk BT" w:cs="Arial"/>
          <w:color w:val="000000" w:themeColor="text1"/>
          <w:sz w:val="24"/>
          <w:szCs w:val="24"/>
        </w:rPr>
        <w:t xml:space="preserve"> de dos mil veintiséis</w:t>
      </w:r>
      <w:r w:rsidR="0046095C" w:rsidRPr="00726415">
        <w:rPr>
          <w:rFonts w:ascii="AvantGarde Bk BT" w:hAnsi="AvantGarde Bk BT" w:cs="Arial"/>
          <w:color w:val="000000" w:themeColor="text1"/>
          <w:sz w:val="24"/>
          <w:szCs w:val="24"/>
        </w:rPr>
        <w:t xml:space="preserve"> la presidencia de esta Comisión de Transparencia, por conducto de la Secretaría de Pleno, tuvo por recibido el recurso de revisión, </w:t>
      </w:r>
      <w:proofErr w:type="gramStart"/>
      <w:r w:rsidR="0046095C" w:rsidRPr="00726415">
        <w:rPr>
          <w:rFonts w:ascii="AvantGarde Bk BT" w:hAnsi="AvantGarde Bk BT" w:cs="Arial"/>
          <w:color w:val="000000" w:themeColor="text1"/>
          <w:sz w:val="24"/>
          <w:szCs w:val="24"/>
        </w:rPr>
        <w:t>que</w:t>
      </w:r>
      <w:proofErr w:type="gramEnd"/>
      <w:r w:rsidR="0046095C" w:rsidRPr="00726415">
        <w:rPr>
          <w:rFonts w:ascii="AvantGarde Bk BT" w:hAnsi="AvantGarde Bk BT" w:cs="Arial"/>
          <w:color w:val="000000" w:themeColor="text1"/>
          <w:sz w:val="24"/>
          <w:szCs w:val="24"/>
        </w:rPr>
        <w:t xml:space="preserve"> por razón de turno, tocó conocer a la ponencia del Comisionado Licenciado José Gerardo Navarro </w:t>
      </w:r>
      <w:proofErr w:type="spellStart"/>
      <w:r w:rsidR="0046095C" w:rsidRPr="00726415">
        <w:rPr>
          <w:rFonts w:ascii="AvantGarde Bk BT" w:hAnsi="AvantGarde Bk BT" w:cs="Arial"/>
          <w:color w:val="000000" w:themeColor="text1"/>
          <w:sz w:val="24"/>
          <w:szCs w:val="24"/>
        </w:rPr>
        <w:lastRenderedPageBreak/>
        <w:t>Alviso</w:t>
      </w:r>
      <w:proofErr w:type="spellEnd"/>
      <w:r w:rsidR="0046095C" w:rsidRPr="00726415">
        <w:rPr>
          <w:rFonts w:ascii="AvantGarde Bk BT" w:hAnsi="AvantGarde Bk BT" w:cs="Arial"/>
          <w:color w:val="000000" w:themeColor="text1"/>
          <w:sz w:val="24"/>
          <w:szCs w:val="24"/>
        </w:rPr>
        <w:t xml:space="preserve"> para que procediera, previo su análisis, a su admisión o desechamiento según fuera el caso.</w:t>
      </w:r>
    </w:p>
    <w:p w14:paraId="151DBC97" w14:textId="10D7AA9C" w:rsidR="0046095C" w:rsidRPr="00726415" w:rsidRDefault="00761A2A" w:rsidP="0046095C">
      <w:pPr>
        <w:pStyle w:val="corte4fondo"/>
        <w:tabs>
          <w:tab w:val="left" w:pos="567"/>
        </w:tabs>
        <w:ind w:left="113" w:firstLine="68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QUINTO.</w:t>
      </w:r>
      <w:r w:rsidRPr="00726415">
        <w:rPr>
          <w:rFonts w:ascii="AvantGarde Bk BT" w:hAnsi="AvantGarde Bk BT" w:cs="Arial"/>
          <w:color w:val="000000" w:themeColor="text1"/>
          <w:sz w:val="24"/>
          <w:szCs w:val="24"/>
        </w:rPr>
        <w:t xml:space="preserve"> </w:t>
      </w:r>
      <w:r w:rsidR="0046095C" w:rsidRPr="00726415">
        <w:rPr>
          <w:rFonts w:ascii="AvantGarde Bk BT" w:hAnsi="AvantGarde Bk BT" w:cs="Arial"/>
          <w:b/>
          <w:color w:val="000000" w:themeColor="text1"/>
          <w:sz w:val="24"/>
          <w:szCs w:val="24"/>
        </w:rPr>
        <w:t>Auto de admisión.</w:t>
      </w:r>
      <w:r w:rsidR="0046095C" w:rsidRPr="00726415">
        <w:rPr>
          <w:rFonts w:ascii="AvantGarde Bk BT" w:hAnsi="AvantGarde Bk BT" w:cs="Arial"/>
          <w:color w:val="000000" w:themeColor="text1"/>
          <w:sz w:val="24"/>
          <w:szCs w:val="24"/>
        </w:rPr>
        <w:t xml:space="preserve"> Por proveído de </w:t>
      </w:r>
      <w:r w:rsidR="00AA5C72" w:rsidRPr="00726415">
        <w:rPr>
          <w:rFonts w:ascii="AvantGarde Bk BT" w:hAnsi="AvantGarde Bk BT" w:cs="Arial"/>
          <w:color w:val="000000" w:themeColor="text1"/>
          <w:sz w:val="24"/>
          <w:szCs w:val="24"/>
        </w:rPr>
        <w:t xml:space="preserve">ocho de mayo </w:t>
      </w:r>
      <w:r w:rsidR="0028315D" w:rsidRPr="00726415">
        <w:rPr>
          <w:rFonts w:ascii="AvantGarde Bk BT" w:hAnsi="AvantGarde Bk BT" w:cs="Arial"/>
          <w:color w:val="000000" w:themeColor="text1"/>
          <w:sz w:val="24"/>
          <w:szCs w:val="24"/>
        </w:rPr>
        <w:t>de dos mil vei</w:t>
      </w:r>
      <w:r w:rsidR="005720A9" w:rsidRPr="00726415">
        <w:rPr>
          <w:rFonts w:ascii="AvantGarde Bk BT" w:hAnsi="AvantGarde Bk BT" w:cs="Arial"/>
          <w:color w:val="000000" w:themeColor="text1"/>
          <w:sz w:val="24"/>
          <w:szCs w:val="24"/>
        </w:rPr>
        <w:t>ntiséis</w:t>
      </w:r>
      <w:r w:rsidR="0046095C" w:rsidRPr="00726415">
        <w:rPr>
          <w:rFonts w:ascii="AvantGarde Bk BT" w:hAnsi="AvantGarde Bk BT" w:cs="Arial"/>
          <w:color w:val="000000" w:themeColor="text1"/>
          <w:sz w:val="24"/>
          <w:szCs w:val="24"/>
        </w:rPr>
        <w:t xml:space="preserve"> esta Comisión:</w:t>
      </w:r>
    </w:p>
    <w:p w14:paraId="30D89E3C" w14:textId="7777777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57009BAC" w14:textId="30632720"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Instruyó la integración del expediente respectivo bajo el número </w:t>
      </w:r>
      <w:r w:rsidRPr="00726415">
        <w:rPr>
          <w:rFonts w:ascii="AvantGarde Bk BT" w:hAnsi="AvantGarde Bk BT" w:cs="Arial"/>
          <w:b/>
          <w:color w:val="000000" w:themeColor="text1"/>
          <w:sz w:val="24"/>
          <w:szCs w:val="24"/>
        </w:rPr>
        <w:t>RR-</w:t>
      </w:r>
      <w:r w:rsidR="00AA5C72" w:rsidRPr="00726415">
        <w:rPr>
          <w:rFonts w:ascii="AvantGarde Bk BT" w:hAnsi="AvantGarde Bk BT" w:cs="Arial"/>
          <w:b/>
          <w:color w:val="000000" w:themeColor="text1"/>
          <w:sz w:val="24"/>
          <w:szCs w:val="24"/>
        </w:rPr>
        <w:t>018</w:t>
      </w:r>
      <w:r w:rsidR="001C3F2B" w:rsidRPr="00726415">
        <w:rPr>
          <w:rFonts w:ascii="AvantGarde Bk BT" w:hAnsi="AvantGarde Bk BT" w:cs="Arial"/>
          <w:b/>
          <w:color w:val="000000" w:themeColor="text1"/>
          <w:sz w:val="24"/>
          <w:szCs w:val="24"/>
        </w:rPr>
        <w:t>/2026</w:t>
      </w:r>
      <w:r w:rsidRPr="00726415">
        <w:rPr>
          <w:rFonts w:ascii="AvantGarde Bk BT" w:hAnsi="AvantGarde Bk BT" w:cs="Arial"/>
          <w:b/>
          <w:color w:val="000000" w:themeColor="text1"/>
          <w:sz w:val="24"/>
          <w:szCs w:val="24"/>
        </w:rPr>
        <w:t>-1</w:t>
      </w:r>
      <w:r w:rsidR="00AA5C72" w:rsidRPr="00726415">
        <w:rPr>
          <w:rFonts w:ascii="AvantGarde Bk BT" w:hAnsi="AvantGarde Bk BT" w:cs="Arial"/>
          <w:b/>
          <w:color w:val="000000" w:themeColor="text1"/>
          <w:sz w:val="24"/>
          <w:szCs w:val="24"/>
        </w:rPr>
        <w:t xml:space="preserve"> OP</w:t>
      </w:r>
      <w:r w:rsidRPr="00726415">
        <w:rPr>
          <w:rFonts w:ascii="AvantGarde Bk BT" w:hAnsi="AvantGarde Bk BT" w:cs="Arial"/>
          <w:b/>
          <w:color w:val="000000" w:themeColor="text1"/>
          <w:sz w:val="24"/>
          <w:szCs w:val="24"/>
        </w:rPr>
        <w:t xml:space="preserve"> </w:t>
      </w:r>
      <w:r w:rsidRPr="00726415">
        <w:rPr>
          <w:rFonts w:ascii="AvantGarde Bk BT" w:hAnsi="AvantGarde Bk BT" w:cs="Arial"/>
          <w:color w:val="000000" w:themeColor="text1"/>
          <w:sz w:val="24"/>
          <w:szCs w:val="24"/>
        </w:rPr>
        <w:t>con las constancias turnadas por la Secretaría de Pleno.</w:t>
      </w:r>
    </w:p>
    <w:p w14:paraId="4D60FF95" w14:textId="7777777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1D39E43A" w14:textId="1EEB519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Admitió </w:t>
      </w:r>
      <w:r w:rsidR="00AA5C72" w:rsidRPr="00726415">
        <w:rPr>
          <w:rFonts w:ascii="AvantGarde Bk BT" w:hAnsi="AvantGarde Bk BT" w:cs="Arial"/>
          <w:color w:val="000000" w:themeColor="text1"/>
          <w:sz w:val="24"/>
          <w:szCs w:val="24"/>
        </w:rPr>
        <w:t xml:space="preserve">parcialmente </w:t>
      </w:r>
      <w:r w:rsidRPr="00726415">
        <w:rPr>
          <w:rFonts w:ascii="AvantGarde Bk BT" w:hAnsi="AvantGarde Bk BT" w:cs="Arial"/>
          <w:color w:val="000000" w:themeColor="text1"/>
          <w:sz w:val="24"/>
          <w:szCs w:val="24"/>
        </w:rPr>
        <w:t>en tiempo y forma el medio de impugnación en atención a la</w:t>
      </w:r>
      <w:r w:rsidR="005720A9" w:rsidRPr="00726415">
        <w:rPr>
          <w:rFonts w:ascii="AvantGarde Bk BT" w:hAnsi="AvantGarde Bk BT" w:cs="Arial"/>
          <w:color w:val="000000" w:themeColor="text1"/>
          <w:sz w:val="24"/>
          <w:szCs w:val="24"/>
        </w:rPr>
        <w:t>s</w:t>
      </w:r>
      <w:r w:rsidRPr="00726415">
        <w:rPr>
          <w:rFonts w:ascii="AvantGarde Bk BT" w:hAnsi="AvantGarde Bk BT" w:cs="Arial"/>
          <w:color w:val="000000" w:themeColor="text1"/>
          <w:sz w:val="24"/>
          <w:szCs w:val="24"/>
        </w:rPr>
        <w:t xml:space="preserve"> hipótesis establecida</w:t>
      </w:r>
      <w:r w:rsidR="005720A9" w:rsidRPr="00726415">
        <w:rPr>
          <w:rFonts w:ascii="AvantGarde Bk BT" w:hAnsi="AvantGarde Bk BT" w:cs="Arial"/>
          <w:color w:val="000000" w:themeColor="text1"/>
          <w:sz w:val="24"/>
          <w:szCs w:val="24"/>
        </w:rPr>
        <w:t>s</w:t>
      </w:r>
      <w:r w:rsidRPr="00726415">
        <w:rPr>
          <w:rFonts w:ascii="AvantGarde Bk BT" w:hAnsi="AvantGarde Bk BT" w:cs="Arial"/>
          <w:color w:val="000000" w:themeColor="text1"/>
          <w:sz w:val="24"/>
          <w:szCs w:val="24"/>
        </w:rPr>
        <w:t xml:space="preserve"> en </w:t>
      </w:r>
      <w:r w:rsidRPr="00726415">
        <w:rPr>
          <w:rFonts w:ascii="AvantGarde Bk BT" w:hAnsi="AvantGarde Bk BT" w:cs="Arial"/>
          <w:b/>
          <w:color w:val="000000" w:themeColor="text1"/>
          <w:sz w:val="24"/>
          <w:szCs w:val="24"/>
        </w:rPr>
        <w:t xml:space="preserve">la fracción </w:t>
      </w:r>
      <w:r w:rsidR="005720A9" w:rsidRPr="00726415">
        <w:rPr>
          <w:rFonts w:ascii="AvantGarde Bk BT" w:hAnsi="AvantGarde Bk BT" w:cs="Arial"/>
          <w:b/>
          <w:color w:val="000000" w:themeColor="text1"/>
          <w:sz w:val="24"/>
          <w:szCs w:val="24"/>
        </w:rPr>
        <w:t>IV</w:t>
      </w:r>
      <w:r w:rsidR="00AA5C72" w:rsidRPr="00726415">
        <w:rPr>
          <w:rFonts w:ascii="AvantGarde Bk BT" w:hAnsi="AvantGarde Bk BT" w:cs="Arial"/>
          <w:b/>
          <w:color w:val="000000" w:themeColor="text1"/>
          <w:sz w:val="24"/>
          <w:szCs w:val="24"/>
        </w:rPr>
        <w:t xml:space="preserve"> y VII</w:t>
      </w:r>
      <w:r w:rsidR="005720A9" w:rsidRPr="00726415">
        <w:rPr>
          <w:rFonts w:ascii="AvantGarde Bk BT" w:hAnsi="AvantGarde Bk BT" w:cs="Arial"/>
          <w:b/>
          <w:color w:val="000000" w:themeColor="text1"/>
          <w:sz w:val="24"/>
          <w:szCs w:val="24"/>
        </w:rPr>
        <w:t xml:space="preserve"> </w:t>
      </w:r>
      <w:r w:rsidRPr="00726415">
        <w:rPr>
          <w:rFonts w:ascii="AvantGarde Bk BT" w:hAnsi="AvantGarde Bk BT" w:cs="Arial"/>
          <w:b/>
          <w:color w:val="000000" w:themeColor="text1"/>
          <w:sz w:val="24"/>
          <w:szCs w:val="24"/>
        </w:rPr>
        <w:t>del artículo 167 de la Ley de la materia</w:t>
      </w:r>
      <w:r w:rsidRPr="00726415">
        <w:rPr>
          <w:rFonts w:ascii="AvantGarde Bk BT" w:hAnsi="AvantGarde Bk BT" w:cs="Arial"/>
          <w:color w:val="000000" w:themeColor="text1"/>
          <w:sz w:val="24"/>
          <w:szCs w:val="24"/>
        </w:rPr>
        <w:t>.</w:t>
      </w:r>
    </w:p>
    <w:p w14:paraId="50F54A87" w14:textId="5F2C6EF8" w:rsidR="0046095C" w:rsidRPr="00726415" w:rsidRDefault="0046095C" w:rsidP="001C3F2B">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Tuvo como sujeto</w:t>
      </w:r>
      <w:r w:rsidR="001C3F2B" w:rsidRPr="00726415">
        <w:rPr>
          <w:rFonts w:ascii="AvantGarde Bk BT" w:hAnsi="AvantGarde Bk BT" w:cs="Arial"/>
          <w:color w:val="000000" w:themeColor="text1"/>
          <w:sz w:val="24"/>
          <w:szCs w:val="24"/>
        </w:rPr>
        <w:t xml:space="preserve"> obligado a la</w:t>
      </w:r>
      <w:r w:rsidRPr="00726415">
        <w:rPr>
          <w:rFonts w:ascii="AvantGarde Bk BT" w:hAnsi="AvantGarde Bk BT" w:cs="Arial"/>
          <w:color w:val="000000" w:themeColor="text1"/>
          <w:sz w:val="24"/>
          <w:szCs w:val="24"/>
        </w:rPr>
        <w:t xml:space="preserve"> </w:t>
      </w:r>
      <w:r w:rsidR="001C3F2B" w:rsidRPr="00726415">
        <w:rPr>
          <w:rFonts w:ascii="AvantGarde Bk BT" w:hAnsi="AvantGarde Bk BT" w:cs="Arial"/>
          <w:b/>
          <w:color w:val="000000" w:themeColor="text1"/>
          <w:sz w:val="24"/>
          <w:szCs w:val="24"/>
        </w:rPr>
        <w:t xml:space="preserve">SECRETARÍA </w:t>
      </w:r>
      <w:r w:rsidR="00AA5C72" w:rsidRPr="00726415">
        <w:rPr>
          <w:rFonts w:ascii="AvantGarde Bk BT" w:hAnsi="AvantGarde Bk BT" w:cs="Arial"/>
          <w:b/>
          <w:color w:val="000000" w:themeColor="text1"/>
          <w:sz w:val="24"/>
          <w:szCs w:val="24"/>
        </w:rPr>
        <w:t>GENERAL DE</w:t>
      </w:r>
      <w:r w:rsidR="001C3F2B" w:rsidRPr="00726415">
        <w:rPr>
          <w:rFonts w:ascii="AvantGarde Bk BT" w:hAnsi="AvantGarde Bk BT" w:cs="Arial"/>
          <w:b/>
          <w:color w:val="000000" w:themeColor="text1"/>
          <w:sz w:val="24"/>
          <w:szCs w:val="24"/>
        </w:rPr>
        <w:t xml:space="preserve"> GOBIERNO</w:t>
      </w:r>
      <w:r w:rsidRPr="00726415">
        <w:rPr>
          <w:rFonts w:ascii="AvantGarde Bk BT" w:hAnsi="AvantGarde Bk BT" w:cs="Arial"/>
          <w:color w:val="000000" w:themeColor="text1"/>
          <w:sz w:val="24"/>
          <w:szCs w:val="24"/>
        </w:rPr>
        <w:t xml:space="preserve">. </w:t>
      </w:r>
    </w:p>
    <w:p w14:paraId="6D39057E" w14:textId="7777777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Puso a disposición de las partes el expediente para que en un plazo máximo de siete días manifestaran lo que a su derecho conviniera –ofrecer pruebas, alegar y para que rindiera un informe acerca de la información solicitada. </w:t>
      </w:r>
    </w:p>
    <w:p w14:paraId="3F94948E" w14:textId="7777777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4213E713" w14:textId="5571EA16"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apercibió que en caso de no demostrar dicha calidad, sus manifestaciones no serán tomadas en consideración al momento de resolver el recurso de revisión.</w:t>
      </w:r>
    </w:p>
    <w:p w14:paraId="1094956D" w14:textId="77777777" w:rsidR="0046095C" w:rsidRPr="00726415"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lastRenderedPageBreak/>
        <w:t>Hizo de conocimiento del recurrente el derecho que le asiste para oponerse a la publicación de sus datos personales, en términos del artículo 67 de la Ley de Protección de Datos Personales en Posesión de Sujetos Obligados.</w:t>
      </w:r>
    </w:p>
    <w:p w14:paraId="41A9A9EA" w14:textId="0E8DAC2D" w:rsidR="00B444F5" w:rsidRPr="00726415" w:rsidRDefault="0046095C" w:rsidP="007B3D55">
      <w:pPr>
        <w:pStyle w:val="corte4fondo"/>
        <w:numPr>
          <w:ilvl w:val="0"/>
          <w:numId w:val="40"/>
        </w:numPr>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Instruyó que se notifique personalmente a las partes.</w:t>
      </w:r>
    </w:p>
    <w:p w14:paraId="0FF25B05" w14:textId="72D12E9A" w:rsidR="0046095C" w:rsidRPr="00726415" w:rsidRDefault="00761A2A" w:rsidP="0046095C">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SEXTO. </w:t>
      </w:r>
      <w:r w:rsidR="0022063A" w:rsidRPr="00726415">
        <w:rPr>
          <w:rFonts w:ascii="AvantGarde Bk BT" w:hAnsi="AvantGarde Bk BT" w:cs="Arial"/>
          <w:b/>
          <w:color w:val="000000" w:themeColor="text1"/>
          <w:sz w:val="24"/>
          <w:szCs w:val="24"/>
        </w:rPr>
        <w:t>C</w:t>
      </w:r>
      <w:r w:rsidR="0046095C" w:rsidRPr="00726415">
        <w:rPr>
          <w:rFonts w:ascii="AvantGarde Bk BT" w:hAnsi="AvantGarde Bk BT" w:cs="Arial"/>
          <w:b/>
          <w:color w:val="000000" w:themeColor="text1"/>
          <w:sz w:val="24"/>
          <w:szCs w:val="24"/>
        </w:rPr>
        <w:t>ierre de instrucción</w:t>
      </w:r>
      <w:r w:rsidR="00211FB8" w:rsidRPr="00726415">
        <w:rPr>
          <w:rFonts w:ascii="AvantGarde Bk BT" w:hAnsi="AvantGarde Bk BT" w:cs="Arial"/>
          <w:b/>
          <w:color w:val="000000" w:themeColor="text1"/>
          <w:sz w:val="24"/>
          <w:szCs w:val="24"/>
        </w:rPr>
        <w:t xml:space="preserve"> y ampliación del plazo para resolver</w:t>
      </w:r>
      <w:r w:rsidR="0046095C" w:rsidRPr="00726415">
        <w:rPr>
          <w:rFonts w:ascii="AvantGarde Bk BT" w:hAnsi="AvantGarde Bk BT" w:cs="Arial"/>
          <w:b/>
          <w:color w:val="000000" w:themeColor="text1"/>
          <w:sz w:val="24"/>
          <w:szCs w:val="24"/>
        </w:rPr>
        <w:t>.</w:t>
      </w:r>
      <w:r w:rsidR="0046095C" w:rsidRPr="00726415">
        <w:rPr>
          <w:rFonts w:ascii="AvantGarde Bk BT" w:hAnsi="AvantGarde Bk BT" w:cs="Arial"/>
          <w:color w:val="000000" w:themeColor="text1"/>
          <w:sz w:val="24"/>
          <w:szCs w:val="24"/>
        </w:rPr>
        <w:t xml:space="preserve"> Mediante el auto </w:t>
      </w:r>
      <w:r w:rsidR="00FC475D" w:rsidRPr="00726415">
        <w:rPr>
          <w:rFonts w:ascii="AvantGarde Bk BT" w:hAnsi="AvantGarde Bk BT" w:cs="Arial"/>
          <w:color w:val="000000" w:themeColor="text1"/>
          <w:sz w:val="24"/>
          <w:szCs w:val="24"/>
        </w:rPr>
        <w:t xml:space="preserve">de dos de junio </w:t>
      </w:r>
      <w:r w:rsidR="00115A2F" w:rsidRPr="00726415">
        <w:rPr>
          <w:rFonts w:ascii="AvantGarde Bk BT" w:hAnsi="AvantGarde Bk BT" w:cs="Arial"/>
          <w:color w:val="000000" w:themeColor="text1"/>
          <w:sz w:val="24"/>
          <w:szCs w:val="24"/>
        </w:rPr>
        <w:t>de dos mil veintiséis</w:t>
      </w:r>
      <w:r w:rsidR="0046095C" w:rsidRPr="00726415">
        <w:rPr>
          <w:rFonts w:ascii="AvantGarde Bk BT" w:hAnsi="AvantGarde Bk BT" w:cs="Arial"/>
          <w:color w:val="000000" w:themeColor="text1"/>
          <w:sz w:val="24"/>
          <w:szCs w:val="24"/>
        </w:rPr>
        <w:t>, esta Comisión:</w:t>
      </w:r>
    </w:p>
    <w:p w14:paraId="72FA315A" w14:textId="4F8CE1FC" w:rsidR="008A18C9" w:rsidRPr="00726415" w:rsidRDefault="00B975BD" w:rsidP="00B975BD">
      <w:pPr>
        <w:pStyle w:val="corte4fondo"/>
        <w:numPr>
          <w:ilvl w:val="0"/>
          <w:numId w:val="1"/>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Tuvo por </w:t>
      </w:r>
      <w:r w:rsidR="00115A2F" w:rsidRPr="00726415">
        <w:rPr>
          <w:rFonts w:ascii="AvantGarde Bk BT" w:hAnsi="AvantGarde Bk BT" w:cs="Arial"/>
          <w:color w:val="000000" w:themeColor="text1"/>
          <w:sz w:val="24"/>
          <w:szCs w:val="24"/>
        </w:rPr>
        <w:t>recibido</w:t>
      </w:r>
      <w:r w:rsidR="00FC475D" w:rsidRPr="00726415">
        <w:rPr>
          <w:rFonts w:ascii="AvantGarde Bk BT" w:hAnsi="AvantGarde Bk BT" w:cs="Arial"/>
          <w:color w:val="000000" w:themeColor="text1"/>
          <w:sz w:val="24"/>
          <w:szCs w:val="24"/>
        </w:rPr>
        <w:t xml:space="preserve">s el escrito de manifestaciones presentado por la persona recurrente, y </w:t>
      </w:r>
      <w:r w:rsidR="00115A2F" w:rsidRPr="00726415">
        <w:rPr>
          <w:rFonts w:ascii="AvantGarde Bk BT" w:hAnsi="AvantGarde Bk BT" w:cs="Arial"/>
          <w:color w:val="000000" w:themeColor="text1"/>
          <w:sz w:val="24"/>
          <w:szCs w:val="24"/>
        </w:rPr>
        <w:t xml:space="preserve">el oficio </w:t>
      </w:r>
      <w:r w:rsidR="00FC475D" w:rsidRPr="00726415">
        <w:rPr>
          <w:rFonts w:ascii="AvantGarde Bk BT" w:hAnsi="AvantGarde Bk BT" w:cs="Arial"/>
          <w:color w:val="000000" w:themeColor="text1"/>
          <w:sz w:val="24"/>
          <w:szCs w:val="24"/>
        </w:rPr>
        <w:t>SGG/UT/215</w:t>
      </w:r>
      <w:r w:rsidR="002309A6" w:rsidRPr="00726415">
        <w:rPr>
          <w:rFonts w:ascii="AvantGarde Bk BT" w:hAnsi="AvantGarde Bk BT" w:cs="Arial"/>
          <w:color w:val="000000" w:themeColor="text1"/>
          <w:sz w:val="24"/>
          <w:szCs w:val="24"/>
        </w:rPr>
        <w:t>/</w:t>
      </w:r>
      <w:r w:rsidR="00115A2F" w:rsidRPr="00726415">
        <w:rPr>
          <w:rFonts w:ascii="AvantGarde Bk BT" w:hAnsi="AvantGarde Bk BT" w:cs="Arial"/>
          <w:color w:val="000000" w:themeColor="text1"/>
          <w:sz w:val="24"/>
          <w:szCs w:val="24"/>
        </w:rPr>
        <w:t>2026</w:t>
      </w:r>
      <w:r w:rsidR="008A18C9" w:rsidRPr="00726415">
        <w:rPr>
          <w:rFonts w:ascii="AvantGarde Bk BT" w:hAnsi="AvantGarde Bk BT" w:cs="Arial"/>
          <w:color w:val="000000" w:themeColor="text1"/>
          <w:sz w:val="24"/>
          <w:szCs w:val="24"/>
        </w:rPr>
        <w:t xml:space="preserve">, </w:t>
      </w:r>
      <w:r w:rsidR="00115A2F" w:rsidRPr="00726415">
        <w:rPr>
          <w:rFonts w:ascii="AvantGarde Bk BT" w:hAnsi="AvantGarde Bk BT" w:cs="Arial"/>
          <w:color w:val="000000" w:themeColor="text1"/>
          <w:sz w:val="24"/>
          <w:szCs w:val="24"/>
        </w:rPr>
        <w:t>signado por el Titular de la Unidad de Transparencia del sujeto obligado</w:t>
      </w:r>
      <w:r w:rsidR="008A18C9" w:rsidRPr="00726415">
        <w:rPr>
          <w:rFonts w:ascii="AvantGarde Bk BT" w:hAnsi="AvantGarde Bk BT" w:cs="Arial"/>
          <w:color w:val="000000" w:themeColor="text1"/>
          <w:sz w:val="24"/>
          <w:szCs w:val="24"/>
        </w:rPr>
        <w:t>.</w:t>
      </w:r>
    </w:p>
    <w:p w14:paraId="27922288" w14:textId="48CE72DC" w:rsidR="00B975BD" w:rsidRPr="00726415" w:rsidRDefault="008A18C9" w:rsidP="00B975BD">
      <w:pPr>
        <w:pStyle w:val="corte4fondo"/>
        <w:numPr>
          <w:ilvl w:val="0"/>
          <w:numId w:val="1"/>
        </w:numPr>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Tuvo </w:t>
      </w:r>
      <w:r w:rsidR="00B975BD" w:rsidRPr="00726415">
        <w:rPr>
          <w:rFonts w:ascii="AvantGarde Bk BT" w:hAnsi="AvantGarde Bk BT" w:cs="Arial"/>
          <w:color w:val="000000" w:themeColor="text1"/>
          <w:sz w:val="24"/>
          <w:szCs w:val="24"/>
        </w:rPr>
        <w:t xml:space="preserve">al sujeto obligado </w:t>
      </w:r>
      <w:r w:rsidRPr="00726415">
        <w:rPr>
          <w:rFonts w:ascii="AvantGarde Bk BT" w:hAnsi="AvantGarde Bk BT" w:cs="Arial"/>
          <w:color w:val="000000" w:themeColor="text1"/>
          <w:sz w:val="24"/>
          <w:szCs w:val="24"/>
        </w:rPr>
        <w:t>por rendido</w:t>
      </w:r>
      <w:r w:rsidR="00B975BD" w:rsidRPr="00726415">
        <w:rPr>
          <w:rFonts w:ascii="AvantGarde Bk BT" w:hAnsi="AvantGarde Bk BT" w:cs="Arial"/>
          <w:color w:val="000000" w:themeColor="text1"/>
          <w:sz w:val="24"/>
          <w:szCs w:val="24"/>
        </w:rPr>
        <w:t xml:space="preserve"> el informe </w:t>
      </w:r>
      <w:r w:rsidRPr="00726415">
        <w:rPr>
          <w:rFonts w:ascii="AvantGarde Bk BT" w:hAnsi="AvantGarde Bk BT" w:cs="Arial"/>
          <w:color w:val="000000" w:themeColor="text1"/>
          <w:sz w:val="24"/>
          <w:szCs w:val="24"/>
        </w:rPr>
        <w:t>requerido</w:t>
      </w:r>
      <w:r w:rsidR="00B975BD" w:rsidRPr="00726415">
        <w:rPr>
          <w:rFonts w:ascii="AvantGarde Bk BT" w:hAnsi="AvantGarde Bk BT" w:cs="Arial"/>
          <w:color w:val="000000" w:themeColor="text1"/>
          <w:sz w:val="24"/>
          <w:szCs w:val="24"/>
        </w:rPr>
        <w:t xml:space="preserve"> en el auto de admisión, </w:t>
      </w:r>
      <w:r w:rsidRPr="00726415">
        <w:rPr>
          <w:rFonts w:ascii="AvantGarde Bk BT" w:hAnsi="AvantGarde Bk BT" w:cs="Arial"/>
          <w:color w:val="000000" w:themeColor="text1"/>
          <w:sz w:val="24"/>
          <w:szCs w:val="24"/>
        </w:rPr>
        <w:t>por ofrecidas pruebas y realizadas</w:t>
      </w:r>
      <w:r w:rsidR="00B975BD" w:rsidRPr="00726415">
        <w:rPr>
          <w:rFonts w:ascii="AvantGarde Bk BT" w:hAnsi="AvantGarde Bk BT" w:cs="Arial"/>
          <w:color w:val="000000" w:themeColor="text1"/>
          <w:sz w:val="24"/>
          <w:szCs w:val="24"/>
        </w:rPr>
        <w:t xml:space="preserve"> manifestaciones en vía de alegatos</w:t>
      </w:r>
      <w:r w:rsidR="00115A2F" w:rsidRPr="00726415">
        <w:rPr>
          <w:rFonts w:ascii="AvantGarde Bk BT" w:hAnsi="AvantGarde Bk BT" w:cs="Arial"/>
          <w:color w:val="000000" w:themeColor="text1"/>
          <w:sz w:val="24"/>
          <w:szCs w:val="24"/>
        </w:rPr>
        <w:t xml:space="preserve"> en tiempo y forma</w:t>
      </w:r>
      <w:r w:rsidR="00B975BD" w:rsidRPr="00726415">
        <w:rPr>
          <w:rFonts w:ascii="AvantGarde Bk BT" w:hAnsi="AvantGarde Bk BT" w:cs="Arial"/>
          <w:color w:val="000000" w:themeColor="text1"/>
          <w:sz w:val="24"/>
          <w:szCs w:val="24"/>
        </w:rPr>
        <w:t>.</w:t>
      </w:r>
    </w:p>
    <w:p w14:paraId="2C437600" w14:textId="211F5D2E" w:rsidR="00B975BD" w:rsidRPr="00726415" w:rsidRDefault="00B975BD" w:rsidP="00B975BD">
      <w:pPr>
        <w:pStyle w:val="corte4fondo"/>
        <w:numPr>
          <w:ilvl w:val="0"/>
          <w:numId w:val="1"/>
        </w:numPr>
        <w:tabs>
          <w:tab w:val="left" w:pos="567"/>
        </w:tabs>
        <w:rPr>
          <w:rFonts w:ascii="AvantGarde Bk BT" w:hAnsi="AvantGarde Bk BT" w:cs="Arial"/>
          <w:sz w:val="24"/>
          <w:szCs w:val="24"/>
        </w:rPr>
      </w:pPr>
      <w:r w:rsidRPr="00726415">
        <w:rPr>
          <w:rFonts w:ascii="AvantGarde Bk BT" w:hAnsi="AvantGarde Bk BT" w:cs="Arial"/>
          <w:sz w:val="24"/>
          <w:szCs w:val="24"/>
        </w:rPr>
        <w:t xml:space="preserve">En cuanto al peticionario, </w:t>
      </w:r>
      <w:r w:rsidR="00FC475D" w:rsidRPr="00726415">
        <w:rPr>
          <w:rFonts w:ascii="AvantGarde Bk BT" w:hAnsi="AvantGarde Bk BT" w:cs="Arial"/>
          <w:sz w:val="24"/>
          <w:szCs w:val="24"/>
        </w:rPr>
        <w:t>lo tuvo por presentadas en tiempo y forma las</w:t>
      </w:r>
      <w:r w:rsidR="00115A2F" w:rsidRPr="00726415">
        <w:rPr>
          <w:rFonts w:ascii="AvantGarde Bk BT" w:hAnsi="AvantGarde Bk BT" w:cs="Arial"/>
          <w:sz w:val="24"/>
          <w:szCs w:val="24"/>
        </w:rPr>
        <w:t xml:space="preserve"> manifestaciones que a su derecho convinier</w:t>
      </w:r>
      <w:r w:rsidR="00FC475D" w:rsidRPr="00726415">
        <w:rPr>
          <w:rFonts w:ascii="AvantGarde Bk BT" w:hAnsi="AvantGarde Bk BT" w:cs="Arial"/>
          <w:sz w:val="24"/>
          <w:szCs w:val="24"/>
        </w:rPr>
        <w:t>o</w:t>
      </w:r>
      <w:r w:rsidR="00115A2F" w:rsidRPr="00726415">
        <w:rPr>
          <w:rFonts w:ascii="AvantGarde Bk BT" w:hAnsi="AvantGarde Bk BT" w:cs="Arial"/>
          <w:sz w:val="24"/>
          <w:szCs w:val="24"/>
        </w:rPr>
        <w:t>n</w:t>
      </w:r>
      <w:r w:rsidR="00A5291C" w:rsidRPr="00726415">
        <w:rPr>
          <w:rFonts w:ascii="AvantGarde Bk BT" w:hAnsi="AvantGarde Bk BT" w:cs="Arial"/>
          <w:sz w:val="24"/>
          <w:szCs w:val="24"/>
        </w:rPr>
        <w:t>.</w:t>
      </w:r>
    </w:p>
    <w:p w14:paraId="3312B97D" w14:textId="75D36B48" w:rsidR="00B975BD" w:rsidRPr="00726415" w:rsidRDefault="00273613" w:rsidP="00B975BD">
      <w:pPr>
        <w:pStyle w:val="corte4fondo"/>
        <w:numPr>
          <w:ilvl w:val="0"/>
          <w:numId w:val="1"/>
        </w:numPr>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D</w:t>
      </w:r>
      <w:r w:rsidR="00B975BD" w:rsidRPr="00726415">
        <w:rPr>
          <w:rFonts w:ascii="AvantGarde Bk BT" w:hAnsi="AvantGarde Bk BT" w:cs="Arial"/>
          <w:color w:val="000000" w:themeColor="text1"/>
          <w:sz w:val="24"/>
          <w:szCs w:val="24"/>
        </w:rPr>
        <w:t xml:space="preserve">ecretó el cierre del periodo de instrucción con fundamento en lo previsto por el artículo 174, fracciones V y VII de la Ley de la materia y procedió a elaborar el proyecto de resolución. </w:t>
      </w:r>
    </w:p>
    <w:p w14:paraId="4AC78CD0" w14:textId="607E1A28" w:rsidR="00273613" w:rsidRPr="00726415" w:rsidRDefault="00273613" w:rsidP="00273613">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Asimismo, a través de acuerdo del </w:t>
      </w:r>
      <w:r w:rsidR="00211FB8" w:rsidRPr="00726415">
        <w:rPr>
          <w:rFonts w:ascii="AvantGarde Bk BT" w:hAnsi="AvantGarde Bk BT" w:cs="Arial"/>
          <w:color w:val="000000" w:themeColor="text1"/>
          <w:sz w:val="24"/>
          <w:szCs w:val="24"/>
        </w:rPr>
        <w:t>quince de junio</w:t>
      </w:r>
      <w:r w:rsidRPr="00726415">
        <w:rPr>
          <w:rFonts w:ascii="AvantGarde Bk BT" w:hAnsi="AvantGarde Bk BT" w:cs="Arial"/>
          <w:color w:val="000000" w:themeColor="text1"/>
          <w:sz w:val="24"/>
          <w:szCs w:val="24"/>
        </w:rPr>
        <w:t xml:space="preserve"> del año en curso, con fundamento en el artículo 170 de la Ley de Transparencia, en correlación con el Lineamiento Vigésimo Séptimo fracción </w:t>
      </w:r>
      <w:r w:rsidR="00211FB8" w:rsidRPr="00726415">
        <w:rPr>
          <w:rFonts w:ascii="AvantGarde Bk BT" w:hAnsi="AvantGarde Bk BT" w:cs="Arial"/>
          <w:color w:val="000000" w:themeColor="text1"/>
          <w:sz w:val="24"/>
          <w:szCs w:val="24"/>
        </w:rPr>
        <w:t xml:space="preserve">V </w:t>
      </w:r>
      <w:r w:rsidRPr="00726415">
        <w:rPr>
          <w:rFonts w:ascii="AvantGarde Bk BT" w:hAnsi="AvantGarde Bk BT" w:cs="Arial"/>
          <w:color w:val="000000" w:themeColor="text1"/>
          <w:sz w:val="24"/>
          <w:szCs w:val="24"/>
        </w:rPr>
        <w:t>de los Lineamientos para la Recepción, Sustanciación, Resolución y Cumplimiento de los Recursos de Revisión, decretó la ampliación del plazo para resolver este expediente.</w:t>
      </w:r>
    </w:p>
    <w:p w14:paraId="0C72F3DF" w14:textId="7D5FC2B1" w:rsidR="00E215D2" w:rsidRPr="00726415" w:rsidRDefault="00CC35B6" w:rsidP="00456856">
      <w:pPr>
        <w:pStyle w:val="corte4fondo"/>
        <w:tabs>
          <w:tab w:val="left" w:pos="567"/>
        </w:tabs>
        <w:spacing w:after="240"/>
        <w:jc w:val="center"/>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CONSIDERANDO</w:t>
      </w:r>
    </w:p>
    <w:p w14:paraId="101BC96A" w14:textId="77777777" w:rsidR="00AE0DBD" w:rsidRPr="00726415" w:rsidRDefault="00AE0DBD" w:rsidP="00AE0DBD">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PRIMERO. Competencia.</w:t>
      </w:r>
      <w:r w:rsidRPr="00726415">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w:t>
      </w:r>
      <w:r w:rsidRPr="00726415">
        <w:rPr>
          <w:rFonts w:ascii="AvantGarde Bk BT" w:hAnsi="AvantGarde Bk BT" w:cs="Arial"/>
          <w:color w:val="000000" w:themeColor="text1"/>
          <w:sz w:val="24"/>
          <w:szCs w:val="24"/>
        </w:rPr>
        <w:lastRenderedPageBreak/>
        <w:t xml:space="preserve">I y II, 35, fracción I, y 175 de la Ley de Transparencia y Acceso a la Información Pública de este Estado. </w:t>
      </w:r>
    </w:p>
    <w:p w14:paraId="150A9717" w14:textId="2C1EC7FD" w:rsidR="00AE0DBD" w:rsidRPr="00726415" w:rsidRDefault="00AE0DBD" w:rsidP="00AE0DBD">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SEGUNDO. </w:t>
      </w:r>
      <w:r w:rsidR="002B7639" w:rsidRPr="00726415">
        <w:rPr>
          <w:rFonts w:ascii="AvantGarde Bk BT" w:hAnsi="AvantGarde Bk BT" w:cs="Arial"/>
          <w:b/>
          <w:color w:val="000000" w:themeColor="text1"/>
          <w:sz w:val="24"/>
          <w:szCs w:val="24"/>
        </w:rPr>
        <w:t>Legitimación.</w:t>
      </w:r>
      <w:r w:rsidR="002B7639" w:rsidRPr="00726415">
        <w:rPr>
          <w:rFonts w:ascii="AvantGarde Bk BT" w:hAnsi="AvantGarde Bk BT" w:cs="Arial"/>
          <w:color w:val="000000" w:themeColor="text1"/>
          <w:sz w:val="24"/>
          <w:szCs w:val="24"/>
        </w:rPr>
        <w:t xml:space="preserve"> El recurrente se encuentra legitimado para interponer el recurso de revisión, ya que fue éste quien presentó la solicitud de acceso a la información pública y es precisamente a quien le pudiera deparar perjuicio la respuesta.</w:t>
      </w:r>
    </w:p>
    <w:p w14:paraId="1E52D45D" w14:textId="11BD8E61" w:rsidR="002B7639" w:rsidRPr="00726415" w:rsidRDefault="00AE0DBD" w:rsidP="002B7639">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TERCERO. </w:t>
      </w:r>
      <w:r w:rsidR="002B7639" w:rsidRPr="00726415">
        <w:rPr>
          <w:rFonts w:ascii="AvantGarde Bk BT" w:hAnsi="AvantGarde Bk BT" w:cs="Arial"/>
          <w:b/>
          <w:color w:val="000000" w:themeColor="text1"/>
          <w:sz w:val="24"/>
          <w:szCs w:val="24"/>
        </w:rPr>
        <w:t>Oportunidad del recurso.</w:t>
      </w:r>
      <w:r w:rsidR="002B7639" w:rsidRPr="00726415">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6AA9AAEE" w14:textId="430FD194" w:rsidR="002B7639" w:rsidRPr="00726415" w:rsidRDefault="002B7639" w:rsidP="002B7639">
      <w:pPr>
        <w:pStyle w:val="corte4fondo"/>
        <w:tabs>
          <w:tab w:val="left" w:pos="567"/>
        </w:tabs>
        <w:ind w:left="680"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El</w:t>
      </w:r>
      <w:r w:rsidR="00CE5A49" w:rsidRPr="00726415">
        <w:rPr>
          <w:rFonts w:ascii="AvantGarde Bk BT" w:hAnsi="AvantGarde Bk BT" w:cs="Arial"/>
          <w:color w:val="000000" w:themeColor="text1"/>
          <w:sz w:val="24"/>
          <w:szCs w:val="24"/>
        </w:rPr>
        <w:t xml:space="preserve"> </w:t>
      </w:r>
      <w:r w:rsidR="00E2437C" w:rsidRPr="00726415">
        <w:rPr>
          <w:rFonts w:ascii="AvantGarde Bk BT" w:hAnsi="AvantGarde Bk BT" w:cs="Arial"/>
          <w:color w:val="000000" w:themeColor="text1"/>
          <w:sz w:val="24"/>
          <w:szCs w:val="24"/>
        </w:rPr>
        <w:t>veintiocho</w:t>
      </w:r>
      <w:r w:rsidR="00CA609F" w:rsidRPr="00726415">
        <w:rPr>
          <w:rFonts w:ascii="AvantGarde Bk BT" w:hAnsi="AvantGarde Bk BT" w:cs="Arial"/>
          <w:color w:val="000000" w:themeColor="text1"/>
          <w:sz w:val="24"/>
          <w:szCs w:val="24"/>
        </w:rPr>
        <w:t xml:space="preserve"> de </w:t>
      </w:r>
      <w:r w:rsidR="00E2437C" w:rsidRPr="00726415">
        <w:rPr>
          <w:rFonts w:ascii="AvantGarde Bk BT" w:hAnsi="AvantGarde Bk BT" w:cs="Arial"/>
          <w:color w:val="000000" w:themeColor="text1"/>
          <w:sz w:val="24"/>
          <w:szCs w:val="24"/>
        </w:rPr>
        <w:t>abril</w:t>
      </w:r>
      <w:r w:rsidR="00CA609F" w:rsidRPr="00726415">
        <w:rPr>
          <w:rFonts w:ascii="AvantGarde Bk BT" w:hAnsi="AvantGarde Bk BT" w:cs="Arial"/>
          <w:color w:val="000000" w:themeColor="text1"/>
          <w:sz w:val="24"/>
          <w:szCs w:val="24"/>
        </w:rPr>
        <w:t xml:space="preserve"> de dos mil veintiséis</w:t>
      </w:r>
      <w:r w:rsidR="00EA58B4" w:rsidRPr="00726415">
        <w:rPr>
          <w:rFonts w:ascii="AvantGarde Bk BT" w:hAnsi="AvantGarde Bk BT" w:cs="Arial"/>
          <w:color w:val="000000" w:themeColor="text1"/>
          <w:sz w:val="24"/>
          <w:szCs w:val="24"/>
        </w:rPr>
        <w:t>, el peticionario fue notificado de la</w:t>
      </w:r>
      <w:r w:rsidRPr="00726415">
        <w:rPr>
          <w:rFonts w:ascii="AvantGarde Bk BT" w:hAnsi="AvantGarde Bk BT" w:cs="Arial"/>
          <w:color w:val="000000" w:themeColor="text1"/>
          <w:sz w:val="24"/>
          <w:szCs w:val="24"/>
        </w:rPr>
        <w:t xml:space="preserve"> respuesta por parte del sujeto obligado.</w:t>
      </w:r>
    </w:p>
    <w:p w14:paraId="0A0F60AE" w14:textId="4ABB8FE2" w:rsidR="002B7639" w:rsidRPr="00726415" w:rsidRDefault="002B7639" w:rsidP="002B7639">
      <w:pPr>
        <w:pStyle w:val="corte4fondo"/>
        <w:tabs>
          <w:tab w:val="left" w:pos="567"/>
        </w:tabs>
        <w:ind w:left="680"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 Por lo tanto, el plazo de los quince días hábiles para interponer el recurso de revisión transcurrió del </w:t>
      </w:r>
      <w:r w:rsidR="00E2437C" w:rsidRPr="00726415">
        <w:rPr>
          <w:rFonts w:ascii="AvantGarde Bk BT" w:hAnsi="AvantGarde Bk BT" w:cs="Arial"/>
          <w:color w:val="000000" w:themeColor="text1"/>
          <w:sz w:val="24"/>
          <w:szCs w:val="24"/>
        </w:rPr>
        <w:t xml:space="preserve">veintinueve de abril al veinte de mayo </w:t>
      </w:r>
      <w:r w:rsidR="00EA58B4" w:rsidRPr="00726415">
        <w:rPr>
          <w:rFonts w:ascii="AvantGarde Bk BT" w:hAnsi="AvantGarde Bk BT" w:cs="Arial"/>
          <w:color w:val="000000" w:themeColor="text1"/>
          <w:sz w:val="24"/>
          <w:szCs w:val="24"/>
        </w:rPr>
        <w:t>de dos mil veintiséis</w:t>
      </w:r>
      <w:r w:rsidRPr="00726415">
        <w:rPr>
          <w:rFonts w:ascii="AvantGarde Bk BT" w:hAnsi="AvantGarde Bk BT" w:cs="Arial"/>
          <w:color w:val="000000" w:themeColor="text1"/>
          <w:sz w:val="24"/>
          <w:szCs w:val="24"/>
        </w:rPr>
        <w:t>.</w:t>
      </w:r>
    </w:p>
    <w:p w14:paraId="0AFC9C20" w14:textId="6EF0B10B" w:rsidR="002B7639" w:rsidRPr="00726415" w:rsidRDefault="002B7639" w:rsidP="002B7639">
      <w:pPr>
        <w:pStyle w:val="corte4fondo"/>
        <w:tabs>
          <w:tab w:val="left" w:pos="567"/>
        </w:tabs>
        <w:ind w:left="680"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 Sin tomar en cuenta los días </w:t>
      </w:r>
      <w:r w:rsidR="002234A0" w:rsidRPr="00726415">
        <w:rPr>
          <w:rFonts w:ascii="AvantGarde Bk BT" w:hAnsi="AvantGarde Bk BT" w:cs="Arial"/>
          <w:color w:val="000000" w:themeColor="text1"/>
          <w:sz w:val="24"/>
          <w:szCs w:val="24"/>
        </w:rPr>
        <w:t xml:space="preserve">uno a tres, nueve, diez, dieciséis y diecisiete de mayo </w:t>
      </w:r>
      <w:r w:rsidR="00971EA2" w:rsidRPr="00726415">
        <w:rPr>
          <w:rFonts w:ascii="AvantGarde Bk BT" w:hAnsi="AvantGarde Bk BT" w:cs="Arial"/>
          <w:color w:val="000000" w:themeColor="text1"/>
          <w:sz w:val="24"/>
          <w:szCs w:val="24"/>
        </w:rPr>
        <w:t>de dos mil veintiséis</w:t>
      </w:r>
      <w:r w:rsidRPr="00726415">
        <w:rPr>
          <w:rFonts w:ascii="AvantGarde Bk BT" w:hAnsi="AvantGarde Bk BT" w:cs="Arial"/>
          <w:color w:val="000000" w:themeColor="text1"/>
          <w:sz w:val="24"/>
          <w:szCs w:val="24"/>
        </w:rPr>
        <w:t>, por ser inhábiles</w:t>
      </w:r>
      <w:r w:rsidR="007B39F5" w:rsidRPr="00726415">
        <w:rPr>
          <w:rFonts w:ascii="AvantGarde Bk BT" w:hAnsi="AvantGarde Bk BT" w:cs="Arial"/>
          <w:color w:val="000000" w:themeColor="text1"/>
          <w:sz w:val="24"/>
          <w:szCs w:val="24"/>
        </w:rPr>
        <w:t xml:space="preserve"> de conformidad con el calendario oficial de labores de este organismo</w:t>
      </w:r>
      <w:r w:rsidRPr="00726415">
        <w:rPr>
          <w:rFonts w:ascii="AvantGarde Bk BT" w:hAnsi="AvantGarde Bk BT" w:cs="Arial"/>
          <w:color w:val="000000" w:themeColor="text1"/>
          <w:sz w:val="24"/>
          <w:szCs w:val="24"/>
        </w:rPr>
        <w:t>.</w:t>
      </w:r>
    </w:p>
    <w:p w14:paraId="52530DF1" w14:textId="74DFD90A" w:rsidR="00AE0DBD" w:rsidRPr="0072641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 Consecuentemente si el </w:t>
      </w:r>
      <w:r w:rsidR="002234A0" w:rsidRPr="00726415">
        <w:rPr>
          <w:rFonts w:ascii="AvantGarde Bk BT" w:hAnsi="AvantGarde Bk BT" w:cs="Arial"/>
          <w:color w:val="000000" w:themeColor="text1"/>
          <w:sz w:val="24"/>
          <w:szCs w:val="24"/>
        </w:rPr>
        <w:t>siete</w:t>
      </w:r>
      <w:r w:rsidR="00CA609F" w:rsidRPr="00726415">
        <w:rPr>
          <w:rFonts w:ascii="AvantGarde Bk BT" w:hAnsi="AvantGarde Bk BT" w:cs="Arial"/>
          <w:color w:val="000000" w:themeColor="text1"/>
          <w:sz w:val="24"/>
          <w:szCs w:val="24"/>
        </w:rPr>
        <w:t xml:space="preserve"> de </w:t>
      </w:r>
      <w:r w:rsidR="002234A0" w:rsidRPr="00726415">
        <w:rPr>
          <w:rFonts w:ascii="AvantGarde Bk BT" w:hAnsi="AvantGarde Bk BT" w:cs="Arial"/>
          <w:color w:val="000000" w:themeColor="text1"/>
          <w:sz w:val="24"/>
          <w:szCs w:val="24"/>
        </w:rPr>
        <w:t>mayo</w:t>
      </w:r>
      <w:r w:rsidR="00CA609F" w:rsidRPr="00726415">
        <w:rPr>
          <w:rFonts w:ascii="AvantGarde Bk BT" w:hAnsi="AvantGarde Bk BT" w:cs="Arial"/>
          <w:color w:val="000000" w:themeColor="text1"/>
          <w:sz w:val="24"/>
          <w:szCs w:val="24"/>
        </w:rPr>
        <w:t xml:space="preserve"> de dos mil dieciséis</w:t>
      </w:r>
      <w:r w:rsidRPr="00726415">
        <w:rPr>
          <w:rFonts w:ascii="AvantGarde Bk BT" w:hAnsi="AvantGarde Bk BT" w:cs="Arial"/>
          <w:color w:val="000000" w:themeColor="text1"/>
          <w:sz w:val="24"/>
          <w:szCs w:val="24"/>
        </w:rPr>
        <w:t xml:space="preserve"> el recurrente interpuso el citado medio de impugnación ante esta Comisión de Transparencia, resulta claro que es oportuna su presentación.</w:t>
      </w:r>
    </w:p>
    <w:p w14:paraId="5F1B18A0" w14:textId="77777777" w:rsidR="002B7639" w:rsidRPr="00726415" w:rsidRDefault="00AE0DBD" w:rsidP="002B7639">
      <w:pPr>
        <w:pStyle w:val="corte4fondo"/>
        <w:tabs>
          <w:tab w:val="left" w:pos="567"/>
        </w:tabs>
        <w:ind w:firstLine="68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CUARTO. </w:t>
      </w:r>
      <w:r w:rsidR="002B7639" w:rsidRPr="00726415">
        <w:rPr>
          <w:rFonts w:ascii="AvantGarde Bk BT" w:hAnsi="AvantGarde Bk BT" w:cs="Arial"/>
          <w:b/>
          <w:color w:val="000000" w:themeColor="text1"/>
          <w:sz w:val="24"/>
          <w:szCs w:val="24"/>
        </w:rPr>
        <w:t>Causales de improcedencia.</w:t>
      </w:r>
      <w:r w:rsidR="002B7639" w:rsidRPr="00726415">
        <w:rPr>
          <w:rFonts w:ascii="AvantGarde Bk BT" w:hAnsi="AvantGarde Bk BT" w:cs="Arial"/>
          <w:color w:val="000000" w:themeColor="text1"/>
          <w:sz w:val="24"/>
          <w:szCs w:val="24"/>
        </w:rPr>
        <w:t xml:space="preserve"> Las causales de improcedencia previstas en el artículo 179 de la Ley de Transparencia son de estudio oficioso y preferente a cualquier otra cuestión planteada, atento a lo establecido por la Jurisprudencia que por analogía resulta aplicable y, que a la letra señala:</w:t>
      </w:r>
    </w:p>
    <w:p w14:paraId="2D8C89F1" w14:textId="77777777" w:rsidR="002B7639" w:rsidRPr="00726415"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w:t>
      </w:r>
      <w:r w:rsidRPr="00726415">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26415">
        <w:rPr>
          <w:rFonts w:ascii="AvantGarde Bk BT" w:hAnsi="AvantGarde Bk BT" w:cs="Arial"/>
          <w:color w:val="000000" w:themeColor="text1"/>
          <w:sz w:val="24"/>
          <w:szCs w:val="24"/>
        </w:rPr>
        <w:t>.”</w:t>
      </w:r>
    </w:p>
    <w:p w14:paraId="0394B7E6" w14:textId="77777777" w:rsidR="002B7639" w:rsidRPr="00726415"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Es por lo anterior que, es dable señalar que la figura jurídica de la improcedencia se traduce en la posibilidad o facultad que tiene este Órgano Garante para desechar el Recurso de Revisión en el que se actúa, es decir, no dar trámite al procedimiento </w:t>
      </w:r>
      <w:r w:rsidRPr="00726415">
        <w:rPr>
          <w:rFonts w:ascii="AvantGarde Bk BT" w:hAnsi="AvantGarde Bk BT" w:cs="Arial"/>
          <w:color w:val="000000" w:themeColor="text1"/>
          <w:sz w:val="24"/>
          <w:szCs w:val="24"/>
        </w:rPr>
        <w:lastRenderedPageBreak/>
        <w:t>previsto en el artículo 174 de la Ley de Transparencia y Acceso a la Información Pública del Estado o bien, una vez admitido se actualice alguna de las hipótesis previstas en el numeral 179 de la citada normatividad y en consecuencia este Organismo Autónomo no entre al estudio de fondo de las posiciones planteadas por las partes.</w:t>
      </w:r>
    </w:p>
    <w:p w14:paraId="7B5FA1C2" w14:textId="77777777" w:rsidR="002B7639" w:rsidRPr="00726415" w:rsidRDefault="002B7639" w:rsidP="002B7639">
      <w:pPr>
        <w:pStyle w:val="corte4fondo"/>
        <w:tabs>
          <w:tab w:val="left" w:pos="567"/>
        </w:tabs>
        <w:ind w:firstLine="68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Con relación a las causales de improcedencia, el artículo 179 de la Ley de Transparencia y Acceso a la Información Pública del Estado, indica las siguientes:</w:t>
      </w:r>
    </w:p>
    <w:p w14:paraId="1ECD79F4"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color w:val="000000" w:themeColor="text1"/>
          <w:sz w:val="24"/>
          <w:szCs w:val="24"/>
        </w:rPr>
        <w:t>“</w:t>
      </w:r>
      <w:r w:rsidRPr="00726415">
        <w:rPr>
          <w:rFonts w:ascii="AvantGarde Bk BT" w:hAnsi="AvantGarde Bk BT" w:cs="Arial"/>
          <w:i/>
          <w:color w:val="000000" w:themeColor="text1"/>
          <w:sz w:val="22"/>
          <w:szCs w:val="24"/>
        </w:rPr>
        <w:t>ARTÍCULO 179. El recurso será desechado por improcedente cuando:</w:t>
      </w:r>
    </w:p>
    <w:p w14:paraId="4BCC3D76"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VI. Se impugne la veracidad de la información proporcionada;</w:t>
      </w:r>
    </w:p>
    <w:p w14:paraId="7BC2D555" w14:textId="77777777" w:rsidR="002B7639" w:rsidRPr="00726415"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26415">
        <w:rPr>
          <w:rFonts w:ascii="AvantGarde Bk BT" w:hAnsi="AvantGarde Bk BT" w:cs="Arial"/>
          <w:i/>
          <w:color w:val="000000" w:themeColor="text1"/>
          <w:sz w:val="22"/>
          <w:szCs w:val="24"/>
        </w:rPr>
        <w:t>VII. Se trate de una consulta, o</w:t>
      </w:r>
    </w:p>
    <w:p w14:paraId="7C7F23C6" w14:textId="77777777" w:rsidR="002B7639" w:rsidRPr="00726415"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26415">
        <w:rPr>
          <w:rFonts w:ascii="AvantGarde Bk BT" w:hAnsi="AvantGarde Bk BT" w:cs="Arial"/>
          <w:i/>
          <w:color w:val="000000" w:themeColor="text1"/>
          <w:sz w:val="22"/>
          <w:szCs w:val="24"/>
        </w:rPr>
        <w:t>VIII. El recurrente amplíe su solicitud en el recurso de revisión, únicamente respecto de los nuevos contenidos</w:t>
      </w:r>
      <w:r w:rsidRPr="00726415">
        <w:rPr>
          <w:rFonts w:ascii="AvantGarde Bk BT" w:hAnsi="AvantGarde Bk BT" w:cs="Arial"/>
          <w:i/>
          <w:color w:val="000000" w:themeColor="text1"/>
          <w:sz w:val="20"/>
          <w:szCs w:val="24"/>
        </w:rPr>
        <w:t>.</w:t>
      </w:r>
      <w:r w:rsidRPr="00726415">
        <w:rPr>
          <w:rFonts w:ascii="AvantGarde Bk BT" w:hAnsi="AvantGarde Bk BT" w:cs="Arial"/>
          <w:color w:val="000000" w:themeColor="text1"/>
          <w:sz w:val="24"/>
          <w:szCs w:val="24"/>
        </w:rPr>
        <w:t>”</w:t>
      </w:r>
    </w:p>
    <w:p w14:paraId="348C538C" w14:textId="77777777" w:rsidR="002B7639" w:rsidRPr="00726415"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0F382F6D" w14:textId="2E1A1373" w:rsidR="00AE0DBD" w:rsidRPr="00726415" w:rsidRDefault="002B7639" w:rsidP="009E2819">
      <w:pPr>
        <w:pStyle w:val="corte4fondo"/>
        <w:tabs>
          <w:tab w:val="left" w:pos="567"/>
        </w:tabs>
        <w:spacing w:after="240"/>
        <w:ind w:firstLine="68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w:t>
      </w:r>
      <w:r w:rsidRPr="00726415">
        <w:rPr>
          <w:rFonts w:ascii="AvantGarde Bk BT" w:hAnsi="AvantGarde Bk BT" w:cs="Arial"/>
          <w:color w:val="000000" w:themeColor="text1"/>
          <w:sz w:val="24"/>
          <w:szCs w:val="24"/>
        </w:rPr>
        <w:lastRenderedPageBreak/>
        <w:t>trate de una consulta ejerciendo el derecho de petición, ni tampoco amplía el contenido de su solicitud de información.</w:t>
      </w:r>
    </w:p>
    <w:p w14:paraId="52BC1A0A" w14:textId="4F554457" w:rsidR="00B504D1" w:rsidRPr="00726415" w:rsidRDefault="00AE0DBD" w:rsidP="00B56FD0">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 xml:space="preserve"> </w:t>
      </w:r>
      <w:r w:rsidR="00E46F18" w:rsidRPr="00726415">
        <w:rPr>
          <w:rFonts w:ascii="AvantGarde Bk BT" w:hAnsi="AvantGarde Bk BT" w:cs="Arial"/>
          <w:b/>
          <w:color w:val="000000" w:themeColor="text1"/>
          <w:sz w:val="24"/>
          <w:szCs w:val="24"/>
        </w:rPr>
        <w:t>QUINTO.</w:t>
      </w:r>
      <w:r w:rsidR="00DE7B29" w:rsidRPr="00726415">
        <w:rPr>
          <w:rFonts w:ascii="AvantGarde Bk BT" w:hAnsi="AvantGarde Bk BT" w:cs="Arial"/>
          <w:b/>
          <w:color w:val="000000" w:themeColor="text1"/>
          <w:sz w:val="24"/>
          <w:szCs w:val="24"/>
        </w:rPr>
        <w:t xml:space="preserve"> </w:t>
      </w:r>
      <w:r w:rsidR="00E215D2" w:rsidRPr="00726415">
        <w:rPr>
          <w:rFonts w:ascii="AvantGarde Bk BT" w:hAnsi="AvantGarde Bk BT" w:cs="Arial"/>
          <w:b/>
          <w:color w:val="000000" w:themeColor="text1"/>
          <w:sz w:val="24"/>
          <w:szCs w:val="24"/>
        </w:rPr>
        <w:t>Estudio de fondo.</w:t>
      </w:r>
      <w:r w:rsidR="00E215D2" w:rsidRPr="00726415">
        <w:rPr>
          <w:rFonts w:ascii="AvantGarde Bk BT" w:hAnsi="AvantGarde Bk BT" w:cs="Arial"/>
          <w:color w:val="000000" w:themeColor="text1"/>
          <w:sz w:val="24"/>
          <w:szCs w:val="24"/>
        </w:rPr>
        <w:t xml:space="preserve">  </w:t>
      </w:r>
      <w:r w:rsidR="009E2819" w:rsidRPr="00726415">
        <w:rPr>
          <w:rFonts w:ascii="AvantGarde Bk BT" w:hAnsi="AvantGarde Bk BT" w:cs="Arial"/>
          <w:color w:val="000000" w:themeColor="text1"/>
          <w:sz w:val="24"/>
          <w:szCs w:val="24"/>
        </w:rPr>
        <w:t>Al no existir causal de improcedencia</w:t>
      </w:r>
      <w:r w:rsidR="00A6236E" w:rsidRPr="00726415">
        <w:rPr>
          <w:rFonts w:ascii="AvantGarde Bk BT" w:hAnsi="AvantGarde Bk BT" w:cs="Arial"/>
          <w:color w:val="000000" w:themeColor="text1"/>
          <w:sz w:val="24"/>
          <w:szCs w:val="24"/>
        </w:rPr>
        <w:t>,</w:t>
      </w:r>
      <w:r w:rsidR="009E2819" w:rsidRPr="00726415">
        <w:rPr>
          <w:rFonts w:ascii="AvantGarde Bk BT" w:hAnsi="AvantGarde Bk BT" w:cs="Arial"/>
          <w:color w:val="000000" w:themeColor="text1"/>
          <w:sz w:val="24"/>
          <w:szCs w:val="24"/>
        </w:rPr>
        <w:t xml:space="preserve"> e</w:t>
      </w:r>
      <w:r w:rsidR="00E215D2" w:rsidRPr="00726415">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152B9427" w14:textId="77777777" w:rsidR="00FF56B1" w:rsidRPr="00726415" w:rsidRDefault="00FF56B1" w:rsidP="00B56FD0">
      <w:pPr>
        <w:pStyle w:val="corte4fondo"/>
        <w:tabs>
          <w:tab w:val="left" w:pos="567"/>
        </w:tabs>
        <w:rPr>
          <w:rFonts w:ascii="AvantGarde Bk BT" w:hAnsi="AvantGarde Bk BT" w:cs="Arial"/>
          <w:color w:val="000000" w:themeColor="text1"/>
          <w:sz w:val="24"/>
          <w:szCs w:val="24"/>
        </w:rPr>
      </w:pPr>
    </w:p>
    <w:p w14:paraId="17F4ADB8" w14:textId="0903B75A" w:rsidR="007C5DEE" w:rsidRPr="00726415" w:rsidRDefault="00FF56B1" w:rsidP="007C5DEE">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En el presente caso, l</w:t>
      </w:r>
      <w:r w:rsidR="007C5DEE" w:rsidRPr="00726415">
        <w:rPr>
          <w:rFonts w:ascii="AvantGarde Bk BT" w:hAnsi="AvantGarde Bk BT" w:cs="Arial"/>
          <w:color w:val="000000" w:themeColor="text1"/>
          <w:sz w:val="24"/>
          <w:szCs w:val="24"/>
        </w:rPr>
        <w:t>a persona solicitante requirió lo siguiente</w:t>
      </w:r>
      <w:r w:rsidR="00976436" w:rsidRPr="00726415">
        <w:rPr>
          <w:rFonts w:ascii="AvantGarde Bk BT" w:hAnsi="AvantGarde Bk BT" w:cs="Arial"/>
          <w:color w:val="000000" w:themeColor="text1"/>
          <w:sz w:val="24"/>
          <w:szCs w:val="24"/>
        </w:rPr>
        <w:t xml:space="preserve"> a través de la Plataforma Nacional de Transparencia</w:t>
      </w:r>
      <w:r w:rsidR="007C5DEE" w:rsidRPr="00726415">
        <w:rPr>
          <w:rFonts w:ascii="AvantGarde Bk BT" w:hAnsi="AvantGarde Bk BT" w:cs="Arial"/>
          <w:color w:val="000000" w:themeColor="text1"/>
          <w:sz w:val="24"/>
          <w:szCs w:val="24"/>
        </w:rPr>
        <w:t>:</w:t>
      </w:r>
    </w:p>
    <w:p w14:paraId="7C9C744C" w14:textId="4405DF55" w:rsidR="007C5DEE" w:rsidRPr="00726415" w:rsidRDefault="007C5DEE" w:rsidP="001E6CC7">
      <w:pPr>
        <w:pStyle w:val="corte4fondo"/>
        <w:tabs>
          <w:tab w:val="left" w:pos="567"/>
        </w:tabs>
        <w:spacing w:line="240" w:lineRule="auto"/>
        <w:ind w:left="680" w:right="680" w:firstLine="28"/>
        <w:rPr>
          <w:rFonts w:ascii="AvantGarde Bk BT" w:hAnsi="AvantGarde Bk BT" w:cs="Arial"/>
          <w:sz w:val="24"/>
          <w:szCs w:val="24"/>
        </w:rPr>
      </w:pPr>
      <w:r w:rsidRPr="00726415">
        <w:rPr>
          <w:rFonts w:ascii="AvantGarde Bk BT" w:hAnsi="AvantGarde Bk BT" w:cs="Arial"/>
          <w:i/>
          <w:sz w:val="22"/>
          <w:szCs w:val="24"/>
        </w:rPr>
        <w:t>“</w:t>
      </w:r>
      <w:r w:rsidR="001E6CC7" w:rsidRPr="00726415">
        <w:rPr>
          <w:rFonts w:ascii="AvantGarde Bk BT" w:hAnsi="AvantGarde Bk BT" w:cs="Arial"/>
          <w:i/>
          <w:sz w:val="20"/>
        </w:rPr>
        <w:t>Solicito, en versión pública y formato electrónico PDF, con certificación o firma electrónica, la licencia estatal para la venta de bebidas alcohólicas respecto del establecimiento ubicado en Avenida Dr. Manuel Nava número 304, colonia Bellas Lomas, San Luis Potosí, S.L.P. Incluyendo: a) Tipo de licencia b) Número de folio c) Domicilio autorizado d) Vigencia e) Refrendos f) Superficie autorizada (si consta) Periodo: del 1 de enero de 2024 a la fecha de respuesta. Se solicita versión pública mediante disociación. Entrega vía Plataforma Nacional de Transparencia.</w:t>
      </w:r>
      <w:r w:rsidRPr="00726415">
        <w:rPr>
          <w:rFonts w:ascii="AvantGarde Bk BT" w:hAnsi="AvantGarde Bk BT" w:cs="Arial"/>
          <w:i/>
          <w:sz w:val="22"/>
          <w:szCs w:val="24"/>
        </w:rPr>
        <w:t>”</w:t>
      </w:r>
      <w:r w:rsidRPr="00726415">
        <w:rPr>
          <w:rFonts w:ascii="AvantGarde Bk BT" w:hAnsi="AvantGarde Bk BT" w:cs="Arial"/>
          <w:sz w:val="24"/>
          <w:szCs w:val="24"/>
        </w:rPr>
        <w:t xml:space="preserve"> </w:t>
      </w:r>
      <w:r w:rsidRPr="00726415">
        <w:rPr>
          <w:rFonts w:ascii="AvantGarde Bk BT" w:hAnsi="AvantGarde Bk BT" w:cs="Arial"/>
          <w:b/>
          <w:sz w:val="24"/>
          <w:szCs w:val="24"/>
        </w:rPr>
        <w:t>SIC</w:t>
      </w:r>
      <w:r w:rsidRPr="00726415">
        <w:rPr>
          <w:rFonts w:ascii="AvantGarde Bk BT" w:hAnsi="AvantGarde Bk BT" w:cs="Arial"/>
          <w:sz w:val="24"/>
          <w:szCs w:val="24"/>
        </w:rPr>
        <w:t>.</w:t>
      </w:r>
      <w:r w:rsidR="00FF56B1" w:rsidRPr="00726415">
        <w:rPr>
          <w:rFonts w:ascii="AvantGarde Bk BT" w:hAnsi="AvantGarde Bk BT" w:cs="Arial"/>
          <w:sz w:val="24"/>
          <w:szCs w:val="24"/>
        </w:rPr>
        <w:t xml:space="preserve"> </w:t>
      </w:r>
    </w:p>
    <w:p w14:paraId="30559320" w14:textId="40D681F8" w:rsidR="001E6CC7" w:rsidRPr="00726415" w:rsidRDefault="001E6CC7" w:rsidP="001E6CC7">
      <w:pPr>
        <w:pStyle w:val="corte4fondo"/>
        <w:tabs>
          <w:tab w:val="left" w:pos="567"/>
        </w:tabs>
        <w:spacing w:line="240" w:lineRule="auto"/>
        <w:ind w:left="680" w:right="680" w:firstLine="28"/>
        <w:rPr>
          <w:rFonts w:ascii="AvantGarde Bk BT" w:hAnsi="AvantGarde Bk BT" w:cs="Arial"/>
          <w:sz w:val="24"/>
          <w:szCs w:val="24"/>
        </w:rPr>
      </w:pPr>
    </w:p>
    <w:p w14:paraId="0044E608" w14:textId="4D6F3BF5" w:rsidR="001E6CC7" w:rsidRPr="00726415" w:rsidRDefault="001E6CC7" w:rsidP="001E6CC7">
      <w:pPr>
        <w:pStyle w:val="corte4fondo"/>
        <w:tabs>
          <w:tab w:val="left" w:pos="567"/>
        </w:tabs>
        <w:spacing w:line="240" w:lineRule="auto"/>
        <w:ind w:right="680"/>
        <w:rPr>
          <w:rFonts w:ascii="AvantGarde Bk BT" w:hAnsi="AvantGarde Bk BT" w:cs="Arial"/>
          <w:sz w:val="24"/>
          <w:szCs w:val="24"/>
        </w:rPr>
      </w:pPr>
      <w:r w:rsidRPr="00726415">
        <w:rPr>
          <w:rFonts w:ascii="AvantGarde Bk BT" w:hAnsi="AvantGarde Bk BT" w:cs="Arial"/>
          <w:sz w:val="24"/>
          <w:szCs w:val="24"/>
        </w:rPr>
        <w:t>Asimismo, añadió como datos complementarios los siguientes, visibles en la Plataforma Nacional de Transparencia:</w:t>
      </w:r>
    </w:p>
    <w:p w14:paraId="3E6AB922" w14:textId="1813F0BB" w:rsidR="001E6CC7" w:rsidRPr="00726415" w:rsidRDefault="001E6CC7" w:rsidP="001E6CC7">
      <w:pPr>
        <w:pStyle w:val="corte4fondo"/>
        <w:tabs>
          <w:tab w:val="left" w:pos="567"/>
        </w:tabs>
        <w:spacing w:line="240" w:lineRule="auto"/>
        <w:ind w:left="680" w:right="680" w:firstLine="28"/>
        <w:rPr>
          <w:rFonts w:ascii="AvantGarde Bk BT" w:hAnsi="AvantGarde Bk BT" w:cs="Arial"/>
          <w:sz w:val="24"/>
          <w:szCs w:val="24"/>
        </w:rPr>
      </w:pPr>
    </w:p>
    <w:p w14:paraId="5006F2A0" w14:textId="0E3BBD74" w:rsidR="001E6CC7" w:rsidRPr="00726415" w:rsidRDefault="001E6CC7" w:rsidP="001E6CC7">
      <w:pPr>
        <w:pStyle w:val="corte4fondo"/>
        <w:tabs>
          <w:tab w:val="left" w:pos="567"/>
        </w:tabs>
        <w:spacing w:line="240" w:lineRule="auto"/>
        <w:ind w:left="680" w:right="680" w:firstLine="28"/>
        <w:rPr>
          <w:rFonts w:ascii="AvantGarde Bk BT" w:hAnsi="AvantGarde Bk BT" w:cs="Arial"/>
          <w:sz w:val="24"/>
          <w:szCs w:val="24"/>
        </w:rPr>
      </w:pPr>
      <w:r w:rsidRPr="00726415">
        <w:rPr>
          <w:rFonts w:ascii="AvantGarde Bk BT" w:hAnsi="AvantGarde Bk BT" w:cs="Arial"/>
          <w:sz w:val="24"/>
          <w:szCs w:val="24"/>
        </w:rPr>
        <w:t>“</w:t>
      </w:r>
      <w:r w:rsidRPr="00726415">
        <w:rPr>
          <w:rFonts w:ascii="AvantGarde Bk BT" w:hAnsi="AvantGarde Bk BT" w:cs="Arial"/>
          <w:i/>
          <w:sz w:val="22"/>
          <w:szCs w:val="22"/>
        </w:rPr>
        <w:t>LOCALIZACIÓN. Establecimiento en operación ubicado en Avenida Dr. Manuel Nava número 304, colonia Bellas Lomas, C.P. 78210, San Luis Potosí, S.L.P., identificado como restaurante/bar. Se solicita que la búsqueda se realice en archivos físicos, electrónicos, históricos y vigentes del sujeto obligado, incluyendo: • Expedientes administrativos • Padrón de licencias y permisos • Sistemas internos de verificación e inspección • Registros de sanciones y procedimientos • Bases de datos relacionadas con el domicilio referido El establecimiento se encuentra en operación, por lo que la información solicitada debió generarse previamente y obrar en los archivos del sujeto obligado. Se solicita que la búsqueda no se limite a una sola unidad administrativa, sino a todas aquellas que, por sus funciones, pudieran contar con la información. Asimismo, se solicita que la información se proporcione en el estado en que obre en los archivos, sin alteraciones posteriores a la fecha de presentación de la solicitud.</w:t>
      </w:r>
      <w:r w:rsidRPr="00726415">
        <w:rPr>
          <w:rFonts w:ascii="AvantGarde Bk BT" w:hAnsi="AvantGarde Bk BT" w:cs="Arial"/>
          <w:sz w:val="24"/>
          <w:szCs w:val="24"/>
        </w:rPr>
        <w:t xml:space="preserve">” </w:t>
      </w:r>
      <w:r w:rsidRPr="00726415">
        <w:rPr>
          <w:rFonts w:ascii="AvantGarde Bk BT" w:hAnsi="AvantGarde Bk BT" w:cs="Arial"/>
          <w:b/>
          <w:sz w:val="24"/>
          <w:szCs w:val="24"/>
        </w:rPr>
        <w:t>SIC</w:t>
      </w:r>
      <w:r w:rsidRPr="00726415">
        <w:rPr>
          <w:rFonts w:ascii="AvantGarde Bk BT" w:hAnsi="AvantGarde Bk BT" w:cs="Arial"/>
          <w:sz w:val="24"/>
          <w:szCs w:val="24"/>
        </w:rPr>
        <w:t xml:space="preserve">. </w:t>
      </w:r>
    </w:p>
    <w:p w14:paraId="09E6928F" w14:textId="7D6927AE" w:rsidR="001E6CC7" w:rsidRPr="00726415" w:rsidRDefault="001E6CC7" w:rsidP="001E6CC7">
      <w:pPr>
        <w:pStyle w:val="corte4fondo"/>
        <w:tabs>
          <w:tab w:val="left" w:pos="567"/>
        </w:tabs>
        <w:spacing w:line="240" w:lineRule="auto"/>
        <w:ind w:left="680" w:right="680" w:firstLine="28"/>
        <w:rPr>
          <w:rFonts w:ascii="AvantGarde Bk BT" w:hAnsi="AvantGarde Bk BT" w:cs="Arial"/>
          <w:sz w:val="24"/>
          <w:szCs w:val="24"/>
        </w:rPr>
      </w:pPr>
    </w:p>
    <w:p w14:paraId="79F9CB44" w14:textId="54B9508E" w:rsidR="001E6CC7" w:rsidRPr="00726415" w:rsidRDefault="001E6CC7" w:rsidP="007E39D7">
      <w:pPr>
        <w:pStyle w:val="corte4fondo"/>
        <w:tabs>
          <w:tab w:val="left" w:pos="567"/>
        </w:tabs>
        <w:spacing w:line="240" w:lineRule="auto"/>
        <w:ind w:right="680" w:firstLine="0"/>
        <w:rPr>
          <w:rFonts w:ascii="AvantGarde Bk BT" w:hAnsi="AvantGarde Bk BT" w:cs="Arial"/>
          <w:sz w:val="24"/>
          <w:szCs w:val="24"/>
        </w:rPr>
      </w:pPr>
    </w:p>
    <w:p w14:paraId="1926869E" w14:textId="293A2731" w:rsidR="007C5DEE" w:rsidRPr="00726415" w:rsidRDefault="007C5DEE" w:rsidP="007C5DEE">
      <w:pPr>
        <w:pStyle w:val="corte4fondo"/>
        <w:tabs>
          <w:tab w:val="left" w:pos="567"/>
        </w:tabs>
        <w:ind w:firstLine="0"/>
        <w:rPr>
          <w:rFonts w:ascii="AvantGarde Bk BT" w:hAnsi="AvantGarde Bk BT" w:cs="Arial"/>
          <w:sz w:val="24"/>
          <w:szCs w:val="24"/>
        </w:rPr>
      </w:pPr>
      <w:r w:rsidRPr="00726415">
        <w:rPr>
          <w:rFonts w:ascii="AvantGarde Bk BT" w:hAnsi="AvantGarde Bk BT" w:cs="Arial"/>
          <w:sz w:val="24"/>
          <w:szCs w:val="24"/>
        </w:rPr>
        <w:tab/>
        <w:t xml:space="preserve">Por su parte, el sujeto obligado documentó como respuesta el oficio </w:t>
      </w:r>
      <w:r w:rsidR="00DF7A6B" w:rsidRPr="00726415">
        <w:rPr>
          <w:rFonts w:ascii="AvantGarde Bk BT" w:hAnsi="AvantGarde Bk BT" w:cs="Arial"/>
          <w:sz w:val="24"/>
          <w:szCs w:val="24"/>
        </w:rPr>
        <w:t>SGG/DGG/0745/</w:t>
      </w:r>
      <w:r w:rsidR="003B64CE" w:rsidRPr="00726415">
        <w:rPr>
          <w:rFonts w:ascii="AvantGarde Bk BT" w:hAnsi="AvantGarde Bk BT" w:cs="Arial"/>
          <w:sz w:val="24"/>
          <w:szCs w:val="24"/>
        </w:rPr>
        <w:t xml:space="preserve">2026, </w:t>
      </w:r>
      <w:r w:rsidRPr="00726415">
        <w:rPr>
          <w:rFonts w:ascii="AvantGarde Bk BT" w:hAnsi="AvantGarde Bk BT" w:cs="Arial"/>
          <w:sz w:val="24"/>
          <w:szCs w:val="24"/>
        </w:rPr>
        <w:t xml:space="preserve">signado por </w:t>
      </w:r>
      <w:r w:rsidR="00DF7A6B" w:rsidRPr="00726415">
        <w:rPr>
          <w:rFonts w:ascii="AvantGarde Bk BT" w:hAnsi="AvantGarde Bk BT" w:cs="Arial"/>
          <w:sz w:val="24"/>
          <w:szCs w:val="24"/>
        </w:rPr>
        <w:t>la Directora General de Gobernación</w:t>
      </w:r>
      <w:r w:rsidRPr="00726415">
        <w:rPr>
          <w:rFonts w:ascii="AvantGarde Bk BT" w:hAnsi="AvantGarde Bk BT" w:cs="Arial"/>
          <w:sz w:val="24"/>
          <w:szCs w:val="24"/>
        </w:rPr>
        <w:t xml:space="preserve">, por medio de la cual </w:t>
      </w:r>
      <w:r w:rsidR="006C090B" w:rsidRPr="00726415">
        <w:rPr>
          <w:rFonts w:ascii="AvantGarde Bk BT" w:hAnsi="AvantGarde Bk BT" w:cs="Arial"/>
          <w:sz w:val="24"/>
          <w:szCs w:val="24"/>
        </w:rPr>
        <w:t>se le comunicó al peticionario</w:t>
      </w:r>
      <w:r w:rsidRPr="00726415">
        <w:rPr>
          <w:rFonts w:ascii="AvantGarde Bk BT" w:hAnsi="AvantGarde Bk BT" w:cs="Arial"/>
          <w:sz w:val="24"/>
          <w:szCs w:val="24"/>
        </w:rPr>
        <w:t>:</w:t>
      </w:r>
    </w:p>
    <w:p w14:paraId="16FDF4A8" w14:textId="092BC2A2" w:rsidR="000378EA" w:rsidRPr="00726415" w:rsidRDefault="000378EA" w:rsidP="007C5DEE">
      <w:pPr>
        <w:pStyle w:val="corte4fondo"/>
        <w:tabs>
          <w:tab w:val="left" w:pos="567"/>
        </w:tabs>
        <w:ind w:firstLine="0"/>
        <w:rPr>
          <w:rFonts w:ascii="AvantGarde Bk BT" w:hAnsi="AvantGarde Bk BT" w:cs="Arial"/>
          <w:sz w:val="24"/>
          <w:szCs w:val="24"/>
        </w:rPr>
      </w:pPr>
    </w:p>
    <w:p w14:paraId="30B43D7E" w14:textId="4CA5C807" w:rsidR="006C090B" w:rsidRPr="00726415" w:rsidRDefault="007C5DEE" w:rsidP="00DF7A6B">
      <w:pPr>
        <w:pStyle w:val="Sinespaciado"/>
        <w:ind w:left="680" w:right="680"/>
        <w:jc w:val="both"/>
        <w:rPr>
          <w:rFonts w:ascii="AvantGarde Bk BT" w:hAnsi="AvantGarde Bk BT"/>
          <w:i/>
          <w:sz w:val="24"/>
          <w:szCs w:val="24"/>
          <w:shd w:val="clear" w:color="auto" w:fill="FFFFFF"/>
        </w:rPr>
      </w:pPr>
      <w:r w:rsidRPr="00726415">
        <w:rPr>
          <w:rFonts w:ascii="AvantGarde Bk BT" w:hAnsi="AvantGarde Bk BT" w:cs="Arial"/>
          <w:szCs w:val="24"/>
        </w:rPr>
        <w:t>“</w:t>
      </w:r>
      <w:r w:rsidR="00DF7A6B" w:rsidRPr="00726415">
        <w:rPr>
          <w:rFonts w:ascii="AvantGarde Bk BT" w:hAnsi="AvantGarde Bk BT"/>
          <w:i/>
          <w:sz w:val="20"/>
          <w:szCs w:val="20"/>
          <w:shd w:val="clear" w:color="auto" w:fill="FFFFFF"/>
        </w:rPr>
        <w:t>La información solicitada será proporcionada a la persona titular de la licencia correspondiente, por lo que, en caso de que Usted ostente la titularidad de la licencia, se le solicita presentarse ante esta Dirección General de Gobernación, debidamente identificado, para le sea entregada la información que solicita.</w:t>
      </w:r>
      <w:r w:rsidRPr="00726415">
        <w:rPr>
          <w:rFonts w:ascii="AvantGarde Bk BT" w:hAnsi="AvantGarde Bk BT" w:cs="Arial"/>
          <w:szCs w:val="24"/>
        </w:rPr>
        <w:t xml:space="preserve">” </w:t>
      </w:r>
      <w:r w:rsidRPr="00726415">
        <w:rPr>
          <w:rFonts w:ascii="AvantGarde Bk BT" w:hAnsi="AvantGarde Bk BT" w:cs="Arial"/>
          <w:b/>
          <w:sz w:val="24"/>
          <w:szCs w:val="24"/>
        </w:rPr>
        <w:t>SIC</w:t>
      </w:r>
      <w:r w:rsidRPr="00726415">
        <w:rPr>
          <w:rFonts w:ascii="AvantGarde Bk BT" w:hAnsi="AvantGarde Bk BT" w:cs="Arial"/>
          <w:sz w:val="24"/>
          <w:szCs w:val="24"/>
        </w:rPr>
        <w:t>.</w:t>
      </w:r>
    </w:p>
    <w:p w14:paraId="772F4C5D" w14:textId="77777777" w:rsidR="0069269C" w:rsidRPr="00726415" w:rsidRDefault="0069269C" w:rsidP="0069269C">
      <w:pPr>
        <w:pStyle w:val="Sinespaciado"/>
        <w:rPr>
          <w:rFonts w:ascii="AvantGarde Bk BT" w:hAnsi="AvantGarde Bk BT" w:cs="Arial"/>
          <w:szCs w:val="24"/>
        </w:rPr>
      </w:pPr>
    </w:p>
    <w:p w14:paraId="414AEB68" w14:textId="028B564F" w:rsidR="00A658EA" w:rsidRPr="00726415" w:rsidRDefault="007C5DEE" w:rsidP="00A658EA">
      <w:pPr>
        <w:tabs>
          <w:tab w:val="left" w:pos="567"/>
        </w:tabs>
        <w:spacing w:after="240" w:line="360" w:lineRule="auto"/>
        <w:ind w:firstLine="680"/>
        <w:jc w:val="both"/>
        <w:rPr>
          <w:rFonts w:ascii="AvantGarde Bk BT" w:hAnsi="AvantGarde Bk BT" w:cs="Arial"/>
          <w:color w:val="000000" w:themeColor="text1"/>
          <w:sz w:val="24"/>
          <w:szCs w:val="24"/>
        </w:rPr>
      </w:pPr>
      <w:r w:rsidRPr="00726415">
        <w:rPr>
          <w:rFonts w:ascii="AvantGarde Bk BT" w:hAnsi="AvantGarde Bk BT" w:cs="Arial"/>
          <w:sz w:val="24"/>
          <w:szCs w:val="24"/>
        </w:rPr>
        <w:lastRenderedPageBreak/>
        <w:t xml:space="preserve">Inconforme con lo anterior, el particular interpuso el presente recurso de revisión y </w:t>
      </w:r>
      <w:r w:rsidRPr="00726415">
        <w:rPr>
          <w:rFonts w:ascii="AvantGarde Bk BT" w:hAnsi="AvantGarde Bk BT" w:cs="Arial"/>
          <w:color w:val="000000" w:themeColor="text1"/>
          <w:sz w:val="24"/>
          <w:szCs w:val="24"/>
        </w:rPr>
        <w:t>en esencia le causó agravio:</w:t>
      </w:r>
    </w:p>
    <w:p w14:paraId="5D1D9AF1" w14:textId="6EAE8B90" w:rsidR="007C5DEE" w:rsidRPr="00726415" w:rsidRDefault="007C5DEE" w:rsidP="00A658EA">
      <w:pPr>
        <w:tabs>
          <w:tab w:val="left" w:pos="567"/>
        </w:tabs>
        <w:spacing w:after="240" w:line="360" w:lineRule="auto"/>
        <w:ind w:left="680"/>
        <w:jc w:val="both"/>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1.</w:t>
      </w:r>
      <w:r w:rsidRPr="00726415">
        <w:rPr>
          <w:rFonts w:ascii="AvantGarde Bk BT" w:hAnsi="AvantGarde Bk BT" w:cs="Arial"/>
          <w:color w:val="000000" w:themeColor="text1"/>
          <w:sz w:val="24"/>
          <w:szCs w:val="24"/>
        </w:rPr>
        <w:t xml:space="preserve"> </w:t>
      </w:r>
      <w:r w:rsidR="00C910F5" w:rsidRPr="00726415">
        <w:rPr>
          <w:rFonts w:ascii="AvantGarde Bk BT" w:hAnsi="AvantGarde Bk BT" w:cs="Arial"/>
          <w:color w:val="000000" w:themeColor="text1"/>
          <w:sz w:val="24"/>
          <w:szCs w:val="24"/>
        </w:rPr>
        <w:t>La falta de entrega del documento solicitado</w:t>
      </w:r>
    </w:p>
    <w:p w14:paraId="53CDE99D" w14:textId="5E87FD97" w:rsidR="007C5DEE" w:rsidRPr="00726415" w:rsidRDefault="007C5DEE" w:rsidP="007C5DEE">
      <w:pPr>
        <w:tabs>
          <w:tab w:val="left" w:pos="567"/>
        </w:tabs>
        <w:spacing w:after="240" w:line="360" w:lineRule="auto"/>
        <w:ind w:left="680" w:right="680"/>
        <w:jc w:val="both"/>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2.</w:t>
      </w:r>
      <w:r w:rsidRPr="00726415">
        <w:rPr>
          <w:rFonts w:ascii="AvantGarde Bk BT" w:hAnsi="AvantGarde Bk BT" w:cs="Arial"/>
          <w:color w:val="000000" w:themeColor="text1"/>
          <w:sz w:val="24"/>
          <w:szCs w:val="24"/>
        </w:rPr>
        <w:t xml:space="preserve"> </w:t>
      </w:r>
      <w:r w:rsidR="00C910F5" w:rsidRPr="00726415">
        <w:rPr>
          <w:rFonts w:ascii="AvantGarde Bk BT" w:hAnsi="AvantGarde Bk BT" w:cs="Arial"/>
          <w:color w:val="000000" w:themeColor="text1"/>
          <w:sz w:val="24"/>
          <w:szCs w:val="24"/>
        </w:rPr>
        <w:t>Falta de respuesta a los datos que requirió.</w:t>
      </w:r>
    </w:p>
    <w:p w14:paraId="2CB3003F" w14:textId="77777777" w:rsidR="00847C98" w:rsidRPr="00726415" w:rsidRDefault="00847C98" w:rsidP="00847C98">
      <w:pPr>
        <w:spacing w:before="240" w:line="360" w:lineRule="auto"/>
        <w:ind w:firstLine="709"/>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Conviene precisar, que no es necesario que esta Comisión transcriba los agravios vertidos por el ahora recurrente para efecto de cumplir con los principios de congruencia y exhaustividad en la resolución, toda vez que dichos principios pueden ser satisfechos al establecer los puntos controvertidos dentro del recurso de revisión.</w:t>
      </w:r>
    </w:p>
    <w:p w14:paraId="6A1D2A5B" w14:textId="77777777" w:rsidR="00847C98" w:rsidRPr="00726415" w:rsidRDefault="00847C98" w:rsidP="00847C98">
      <w:pPr>
        <w:spacing w:after="0" w:line="360" w:lineRule="auto"/>
        <w:ind w:firstLine="709"/>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Esto, con fundamento en la siguiente jurisprudencia aplicable por analogía de razón:</w:t>
      </w:r>
    </w:p>
    <w:p w14:paraId="3607C5EA" w14:textId="0950188F" w:rsidR="007F09C0" w:rsidRPr="00726415" w:rsidRDefault="00847C98" w:rsidP="00CB43E2">
      <w:pPr>
        <w:spacing w:line="240" w:lineRule="auto"/>
        <w:ind w:left="680" w:right="680"/>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w:t>
      </w:r>
      <w:r w:rsidRPr="00726415">
        <w:rPr>
          <w:rFonts w:ascii="AvantGarde Bk BT" w:hAnsi="AvantGarde Bk BT" w:cs="Arial"/>
          <w:b/>
          <w:i/>
          <w:color w:val="000000" w:themeColor="text1"/>
          <w:sz w:val="20"/>
          <w:szCs w:val="20"/>
        </w:rPr>
        <w:t>CONCEPTOS DE VIOLACIÓN O AGRAVIOS. PARA CUMPLIR CON LOS PRINCIPIOS DE CONGRUENCIA Y EXHAUSTIVIDAD EN LAS SENTENCIAS DE AMPARO ES INNECESARIA SU TRANSCRIPCIÓN.-</w:t>
      </w:r>
      <w:r w:rsidRPr="00726415">
        <w:rPr>
          <w:rFonts w:ascii="AvantGarde Bk BT" w:hAnsi="AvantGarde Bk BT" w:cs="Arial"/>
          <w:i/>
          <w:color w:val="000000" w:themeColor="text1"/>
          <w:sz w:val="20"/>
          <w:szCs w:val="20"/>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w:t>
      </w:r>
      <w:proofErr w:type="spellStart"/>
      <w:r w:rsidRPr="00726415">
        <w:rPr>
          <w:rFonts w:ascii="AvantGarde Bk BT" w:hAnsi="AvantGarde Bk BT" w:cs="Arial"/>
          <w:i/>
          <w:color w:val="000000" w:themeColor="text1"/>
          <w:sz w:val="20"/>
          <w:szCs w:val="20"/>
        </w:rPr>
        <w:t>litis</w:t>
      </w:r>
      <w:proofErr w:type="spellEnd"/>
      <w:r w:rsidRPr="00726415">
        <w:rPr>
          <w:rFonts w:ascii="AvantGarde Bk BT" w:hAnsi="AvantGarde Bk BT" w:cs="Arial"/>
          <w:i/>
          <w:color w:val="000000" w:themeColor="text1"/>
          <w:sz w:val="20"/>
          <w:szCs w:val="20"/>
        </w:rPr>
        <w:t>.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r w:rsidRPr="00726415">
        <w:rPr>
          <w:rFonts w:ascii="AvantGarde Bk BT" w:hAnsi="AvantGarde Bk BT" w:cs="Arial"/>
          <w:color w:val="000000" w:themeColor="text1"/>
          <w:sz w:val="24"/>
          <w:szCs w:val="24"/>
        </w:rPr>
        <w:t>”</w:t>
      </w:r>
      <w:r w:rsidRPr="00726415">
        <w:rPr>
          <w:rStyle w:val="Refdenotaalpie"/>
          <w:rFonts w:ascii="AvantGarde Bk BT" w:hAnsi="AvantGarde Bk BT" w:cs="Arial"/>
          <w:color w:val="000000" w:themeColor="text1"/>
          <w:sz w:val="24"/>
          <w:szCs w:val="24"/>
        </w:rPr>
        <w:footnoteReference w:id="1"/>
      </w:r>
    </w:p>
    <w:p w14:paraId="0F26AFF2" w14:textId="77777777" w:rsidR="00CB43E2" w:rsidRPr="00726415" w:rsidRDefault="00CB43E2" w:rsidP="00CB43E2">
      <w:pPr>
        <w:spacing w:after="0" w:line="360" w:lineRule="auto"/>
        <w:ind w:firstLine="709"/>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Dicho lo anterior, resulta oportuno citar el Criterio 01/20 emitido por el Pleno del Instituto Nacional de Transparencia, Acceso a la Información y Protección de Datos Personales, mismo que a continuación se transcribe:</w:t>
      </w:r>
    </w:p>
    <w:p w14:paraId="5A38A344" w14:textId="77777777" w:rsidR="00CB43E2" w:rsidRPr="00726415" w:rsidRDefault="00CB43E2" w:rsidP="00CB43E2">
      <w:pPr>
        <w:pStyle w:val="Prrafodelista"/>
        <w:spacing w:line="240" w:lineRule="auto"/>
        <w:ind w:right="624"/>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w:t>
      </w:r>
      <w:r w:rsidRPr="00726415">
        <w:rPr>
          <w:rFonts w:ascii="AvantGarde Bk BT" w:hAnsi="AvantGarde Bk BT" w:cs="Arial"/>
          <w:b/>
          <w:i/>
          <w:color w:val="000000" w:themeColor="text1"/>
          <w:szCs w:val="24"/>
        </w:rPr>
        <w:t>Criterio 01/</w:t>
      </w:r>
      <w:proofErr w:type="gramStart"/>
      <w:r w:rsidRPr="00726415">
        <w:rPr>
          <w:rFonts w:ascii="AvantGarde Bk BT" w:hAnsi="AvantGarde Bk BT" w:cs="Arial"/>
          <w:b/>
          <w:i/>
          <w:color w:val="000000" w:themeColor="text1"/>
          <w:szCs w:val="24"/>
        </w:rPr>
        <w:t>20 .</w:t>
      </w:r>
      <w:proofErr w:type="gramEnd"/>
      <w:r w:rsidRPr="00726415">
        <w:rPr>
          <w:rFonts w:ascii="AvantGarde Bk BT" w:hAnsi="AvantGarde Bk BT" w:cs="Arial"/>
          <w:b/>
          <w:i/>
          <w:color w:val="000000" w:themeColor="text1"/>
          <w:szCs w:val="24"/>
        </w:rPr>
        <w:t xml:space="preserve"> Actos consentidos tácitamente. Improcedencia de su análisis.</w:t>
      </w:r>
      <w:r w:rsidRPr="00726415">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726415">
        <w:rPr>
          <w:rFonts w:ascii="AvantGarde Bk BT" w:hAnsi="AvantGarde Bk BT" w:cs="Arial"/>
          <w:i/>
          <w:color w:val="000000" w:themeColor="text1"/>
          <w:sz w:val="20"/>
          <w:szCs w:val="24"/>
        </w:rPr>
        <w:t>.</w:t>
      </w:r>
      <w:r w:rsidRPr="00726415">
        <w:rPr>
          <w:rFonts w:ascii="AvantGarde Bk BT" w:hAnsi="AvantGarde Bk BT" w:cs="Arial"/>
          <w:color w:val="000000" w:themeColor="text1"/>
          <w:sz w:val="24"/>
          <w:szCs w:val="24"/>
        </w:rPr>
        <w:t>”</w:t>
      </w:r>
    </w:p>
    <w:p w14:paraId="49DC4510" w14:textId="77777777" w:rsidR="00CB43E2" w:rsidRPr="00726415" w:rsidRDefault="00CB43E2" w:rsidP="00CB43E2">
      <w:pPr>
        <w:spacing w:line="360" w:lineRule="auto"/>
        <w:ind w:firstLine="709"/>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Del criterio antes anotado, se aprecia que, cuando en un recurso de revisión la parte recurrente no expresa inconformidad alguna con determinados aspectos de la </w:t>
      </w:r>
      <w:r w:rsidRPr="00726415">
        <w:rPr>
          <w:rFonts w:ascii="AvantGarde Bk BT" w:hAnsi="AvantGarde Bk BT" w:cs="Arial"/>
          <w:color w:val="000000" w:themeColor="text1"/>
          <w:sz w:val="24"/>
          <w:szCs w:val="24"/>
        </w:rPr>
        <w:lastRenderedPageBreak/>
        <w:t>respuesta emitida por el sujeto obligado, se entienden como tácitamente consentidas y, por ende, no forman parte del estudio de fondo de la resolución que al efecto se emita en el recurso de revisión respectivo.</w:t>
      </w:r>
    </w:p>
    <w:p w14:paraId="22525D17" w14:textId="171B4B89" w:rsidR="00CB43E2" w:rsidRPr="00726415" w:rsidRDefault="00CB43E2" w:rsidP="00CB43E2">
      <w:pPr>
        <w:spacing w:line="360" w:lineRule="auto"/>
        <w:ind w:firstLine="709"/>
        <w:jc w:val="both"/>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hayan sido combatidos por el recurrente es su escrito de agravios, pues dichos aspectos no forman parte de los motivos de inconformidad y, por ende, dicha información </w:t>
      </w:r>
      <w:r w:rsidRPr="00726415">
        <w:rPr>
          <w:rFonts w:ascii="AvantGarde Bk BT" w:hAnsi="AvantGarde Bk BT" w:cs="Arial"/>
          <w:b/>
          <w:color w:val="000000" w:themeColor="text1"/>
          <w:sz w:val="24"/>
          <w:szCs w:val="24"/>
        </w:rPr>
        <w:t>queda firme</w:t>
      </w:r>
      <w:r w:rsidRPr="00726415">
        <w:rPr>
          <w:rFonts w:ascii="AvantGarde Bk BT" w:hAnsi="AvantGarde Bk BT" w:cs="Arial"/>
          <w:color w:val="000000" w:themeColor="text1"/>
          <w:sz w:val="24"/>
          <w:szCs w:val="24"/>
        </w:rPr>
        <w:t>.</w:t>
      </w:r>
    </w:p>
    <w:p w14:paraId="0ADF3DF8" w14:textId="73BE242E" w:rsidR="00C910F5" w:rsidRPr="00726415" w:rsidRDefault="00970887" w:rsidP="00F244A8">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E</w:t>
      </w:r>
      <w:r w:rsidR="00C910F5" w:rsidRPr="00726415">
        <w:rPr>
          <w:rFonts w:ascii="AvantGarde Bk BT" w:hAnsi="AvantGarde Bk BT" w:cs="Arial"/>
          <w:color w:val="000000" w:themeColor="text1"/>
          <w:sz w:val="24"/>
          <w:szCs w:val="24"/>
        </w:rPr>
        <w:t>s pertinente destacar</w:t>
      </w:r>
      <w:r w:rsidRPr="00726415">
        <w:rPr>
          <w:rFonts w:ascii="AvantGarde Bk BT" w:hAnsi="AvantGarde Bk BT" w:cs="Arial"/>
          <w:color w:val="000000" w:themeColor="text1"/>
          <w:sz w:val="24"/>
          <w:szCs w:val="24"/>
        </w:rPr>
        <w:t>,</w:t>
      </w:r>
      <w:r w:rsidR="00C910F5" w:rsidRPr="00726415">
        <w:rPr>
          <w:rFonts w:ascii="AvantGarde Bk BT" w:hAnsi="AvantGarde Bk BT" w:cs="Arial"/>
          <w:color w:val="000000" w:themeColor="text1"/>
          <w:sz w:val="24"/>
          <w:szCs w:val="24"/>
        </w:rPr>
        <w:t xml:space="preserve"> que el presente medio de impugnación fue admitido únicamente en lo relativo a los agravios que versan respecto de la porción de la solicitud referente a “</w:t>
      </w:r>
      <w:r w:rsidR="00C910F5" w:rsidRPr="00726415">
        <w:rPr>
          <w:rFonts w:ascii="AvantGarde Bk BT" w:hAnsi="AvantGarde Bk BT" w:cs="Arial"/>
          <w:i/>
          <w:color w:val="000000" w:themeColor="text1"/>
          <w:sz w:val="24"/>
          <w:szCs w:val="24"/>
        </w:rPr>
        <w:t>c) Domicilio autorizado, e) Refrendos, f) Superficie autorizada (si consta), del primero de enero de dos mil veinticuatro a la fecha de respuesta, se solicita versión pública mediante disociación</w:t>
      </w:r>
      <w:r w:rsidR="00C910F5" w:rsidRPr="00726415">
        <w:rPr>
          <w:rFonts w:ascii="AvantGarde Bk BT" w:hAnsi="AvantGarde Bk BT" w:cs="Arial"/>
          <w:color w:val="000000" w:themeColor="text1"/>
          <w:sz w:val="24"/>
          <w:szCs w:val="24"/>
        </w:rPr>
        <w:t>…”, lo que obedeció a que la porción restante fue desechada por improcedente al guardar identidad con el recurso de revisión 016/2026-2 OP.</w:t>
      </w:r>
    </w:p>
    <w:p w14:paraId="4860491C" w14:textId="257F06DC" w:rsidR="00C910F5" w:rsidRPr="00726415" w:rsidRDefault="00C910F5" w:rsidP="00970887">
      <w:pPr>
        <w:pStyle w:val="corte4fondo"/>
        <w:tabs>
          <w:tab w:val="left" w:pos="567"/>
        </w:tabs>
        <w:ind w:firstLine="0"/>
        <w:rPr>
          <w:rFonts w:ascii="AvantGarde Bk BT" w:hAnsi="AvantGarde Bk BT" w:cs="Arial"/>
          <w:color w:val="000000" w:themeColor="text1"/>
          <w:sz w:val="24"/>
          <w:szCs w:val="24"/>
        </w:rPr>
      </w:pPr>
    </w:p>
    <w:p w14:paraId="57AA4B2D" w14:textId="75EE287E" w:rsidR="00F244A8" w:rsidRPr="00726415" w:rsidRDefault="00970887" w:rsidP="00F244A8">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Ahora, </w:t>
      </w:r>
      <w:r w:rsidR="00B01321" w:rsidRPr="00726415">
        <w:rPr>
          <w:rFonts w:ascii="AvantGarde Bk BT" w:hAnsi="AvantGarde Bk BT" w:cs="Arial"/>
          <w:color w:val="000000" w:themeColor="text1"/>
          <w:sz w:val="24"/>
          <w:szCs w:val="24"/>
        </w:rPr>
        <w:t xml:space="preserve">durante el periodo de instrucción del recurso de revisión en que se actúa, el sujeto obligado </w:t>
      </w:r>
      <w:r w:rsidR="00EB5491" w:rsidRPr="00726415">
        <w:rPr>
          <w:rFonts w:ascii="AvantGarde Bk BT" w:hAnsi="AvantGarde Bk BT" w:cs="Arial"/>
          <w:color w:val="000000" w:themeColor="text1"/>
          <w:sz w:val="24"/>
          <w:szCs w:val="24"/>
        </w:rPr>
        <w:t>reiteró la respuesta otorgada, y señaló que brindaría acceso a la persona peticionaria a la información de su interés siempre y cuando demostrara ser el titular de la licencia requerida, lo que no menoscaba el derecho de acceso a la información, sino por el contrario, lo reconoce ampliamente.</w:t>
      </w:r>
    </w:p>
    <w:p w14:paraId="4D49094F" w14:textId="681D9A7A" w:rsidR="00970887" w:rsidRPr="00726415" w:rsidRDefault="00970887" w:rsidP="00F244A8">
      <w:pPr>
        <w:pStyle w:val="corte4fondo"/>
        <w:tabs>
          <w:tab w:val="left" w:pos="567"/>
        </w:tabs>
        <w:rPr>
          <w:rFonts w:ascii="AvantGarde Bk BT" w:hAnsi="AvantGarde Bk BT" w:cs="Arial"/>
          <w:color w:val="000000" w:themeColor="text1"/>
          <w:sz w:val="24"/>
          <w:szCs w:val="24"/>
        </w:rPr>
      </w:pPr>
    </w:p>
    <w:p w14:paraId="52BC168E" w14:textId="115064BB" w:rsidR="00970887" w:rsidRPr="00726415" w:rsidRDefault="00970887" w:rsidP="00F244A8">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Por su parte, </w:t>
      </w:r>
      <w:r w:rsidR="00EB5491" w:rsidRPr="00726415">
        <w:rPr>
          <w:rFonts w:ascii="AvantGarde Bk BT" w:hAnsi="AvantGarde Bk BT" w:cs="Arial"/>
          <w:color w:val="000000" w:themeColor="text1"/>
          <w:sz w:val="24"/>
          <w:szCs w:val="24"/>
        </w:rPr>
        <w:t xml:space="preserve">la persona recurrente realizó diversas manifestaciones de inconformidad con respecto a la admisión parcial de su recurso de revisión, las cuales fueron acordadas y atendidas conforme correspondió, así como diversas consideraciones propias con respecto al estudio de fondo que debe realizarse en este asunto. </w:t>
      </w:r>
    </w:p>
    <w:p w14:paraId="02AD7BD3" w14:textId="77777777" w:rsidR="00F244A8" w:rsidRPr="00726415" w:rsidRDefault="00F244A8" w:rsidP="00F244A8">
      <w:pPr>
        <w:pStyle w:val="corte4fondo"/>
        <w:tabs>
          <w:tab w:val="left" w:pos="567"/>
        </w:tabs>
        <w:rPr>
          <w:rFonts w:ascii="AvantGarde Bk BT" w:hAnsi="AvantGarde Bk BT" w:cs="Arial"/>
          <w:color w:val="000000" w:themeColor="text1"/>
          <w:sz w:val="24"/>
          <w:szCs w:val="24"/>
        </w:rPr>
      </w:pPr>
    </w:p>
    <w:p w14:paraId="4ACC1D0E" w14:textId="357A8DC4" w:rsidR="004076F7" w:rsidRPr="00726415" w:rsidRDefault="007E37F2" w:rsidP="00182D88">
      <w:pPr>
        <w:pStyle w:val="corte4fondo"/>
        <w:tabs>
          <w:tab w:val="left" w:pos="567"/>
        </w:tabs>
        <w:spacing w:after="240"/>
        <w:ind w:firstLine="680"/>
        <w:rPr>
          <w:rFonts w:ascii="AvantGarde Bk BT" w:hAnsi="AvantGarde Bk BT" w:cs="Arial"/>
          <w:sz w:val="24"/>
          <w:szCs w:val="24"/>
        </w:rPr>
      </w:pPr>
      <w:r w:rsidRPr="00726415">
        <w:rPr>
          <w:rFonts w:ascii="AvantGarde Bk BT" w:hAnsi="AvantGarde Bk BT" w:cs="Arial"/>
          <w:color w:val="000000" w:themeColor="text1"/>
          <w:sz w:val="24"/>
          <w:szCs w:val="24"/>
        </w:rPr>
        <w:t>Bien, d</w:t>
      </w:r>
      <w:r w:rsidR="00B01321" w:rsidRPr="00726415">
        <w:rPr>
          <w:rFonts w:ascii="AvantGarde Bk BT" w:hAnsi="AvantGarde Bk BT" w:cs="Arial"/>
          <w:color w:val="000000" w:themeColor="text1"/>
          <w:sz w:val="24"/>
          <w:szCs w:val="24"/>
        </w:rPr>
        <w:t>e acuerdo con l</w:t>
      </w:r>
      <w:r w:rsidRPr="00726415">
        <w:rPr>
          <w:rFonts w:ascii="AvantGarde Bk BT" w:hAnsi="AvantGarde Bk BT" w:cs="Arial"/>
          <w:color w:val="000000" w:themeColor="text1"/>
          <w:sz w:val="24"/>
          <w:szCs w:val="24"/>
        </w:rPr>
        <w:t>o previamente anotado</w:t>
      </w:r>
      <w:r w:rsidR="00315F33" w:rsidRPr="00726415">
        <w:rPr>
          <w:rFonts w:ascii="AvantGarde Bk BT" w:hAnsi="AvantGarde Bk BT" w:cs="Arial"/>
          <w:sz w:val="24"/>
          <w:szCs w:val="24"/>
        </w:rPr>
        <w:t xml:space="preserve">, </w:t>
      </w:r>
      <w:r w:rsidR="002C1AF3" w:rsidRPr="00726415">
        <w:rPr>
          <w:rFonts w:ascii="AvantGarde Bk BT" w:hAnsi="AvantGarde Bk BT" w:cs="Arial"/>
          <w:sz w:val="24"/>
          <w:szCs w:val="24"/>
        </w:rPr>
        <w:t>es</w:t>
      </w:r>
      <w:r w:rsidRPr="00726415">
        <w:rPr>
          <w:rFonts w:ascii="AvantGarde Bk BT" w:hAnsi="AvantGarde Bk BT" w:cs="Arial"/>
          <w:sz w:val="24"/>
          <w:szCs w:val="24"/>
        </w:rPr>
        <w:t xml:space="preserve"> conveniente recordar </w:t>
      </w:r>
      <w:r w:rsidR="00182D88" w:rsidRPr="00726415">
        <w:rPr>
          <w:rFonts w:ascii="AvantGarde Bk BT" w:hAnsi="AvantGarde Bk BT" w:cs="Arial"/>
          <w:sz w:val="24"/>
          <w:szCs w:val="24"/>
        </w:rPr>
        <w:t xml:space="preserve">que la </w:t>
      </w:r>
      <w:r w:rsidR="004076F7" w:rsidRPr="00726415">
        <w:rPr>
          <w:rFonts w:ascii="AvantGarde Bk BT" w:eastAsia="Arial Unicode MS" w:hAnsi="AvantGarde Bk BT" w:cs="Arial"/>
          <w:sz w:val="24"/>
          <w:szCs w:val="24"/>
          <w:lang w:eastAsia="es-ES"/>
        </w:rPr>
        <w:t xml:space="preserve">persona recurrente manifestó </w:t>
      </w:r>
      <w:r w:rsidR="00182D88" w:rsidRPr="00726415">
        <w:rPr>
          <w:rFonts w:ascii="AvantGarde Bk BT" w:eastAsia="Arial Unicode MS" w:hAnsi="AvantGarde Bk BT" w:cs="Arial"/>
          <w:sz w:val="24"/>
          <w:szCs w:val="24"/>
          <w:lang w:eastAsia="es-ES"/>
        </w:rPr>
        <w:t xml:space="preserve">como agravios </w:t>
      </w:r>
      <w:r w:rsidR="004076F7" w:rsidRPr="00726415">
        <w:rPr>
          <w:rFonts w:ascii="AvantGarde Bk BT" w:eastAsia="Arial Unicode MS" w:hAnsi="AvantGarde Bk BT" w:cs="Arial"/>
          <w:sz w:val="24"/>
          <w:szCs w:val="24"/>
          <w:lang w:eastAsia="es-ES"/>
        </w:rPr>
        <w:t xml:space="preserve">que la </w:t>
      </w:r>
      <w:r w:rsidR="004076F7" w:rsidRPr="00726415">
        <w:rPr>
          <w:rFonts w:ascii="AvantGarde Bk BT" w:eastAsia="Arial Unicode MS" w:hAnsi="AvantGarde Bk BT" w:cs="Arial"/>
          <w:b/>
          <w:sz w:val="24"/>
          <w:szCs w:val="24"/>
          <w:u w:val="single"/>
          <w:lang w:eastAsia="es-ES"/>
        </w:rPr>
        <w:t>clasificación de la información con carácter de confidencial</w:t>
      </w:r>
      <w:r w:rsidR="004076F7" w:rsidRPr="00726415">
        <w:rPr>
          <w:rFonts w:ascii="AvantGarde Bk BT" w:eastAsia="Arial Unicode MS" w:hAnsi="AvantGarde Bk BT" w:cs="Arial"/>
          <w:sz w:val="24"/>
          <w:szCs w:val="24"/>
          <w:lang w:eastAsia="es-ES"/>
        </w:rPr>
        <w:t xml:space="preserve">, no cumplía con los requisitos determinados en la </w:t>
      </w:r>
      <w:r w:rsidR="004076F7" w:rsidRPr="00726415">
        <w:rPr>
          <w:rFonts w:ascii="AvantGarde Bk BT" w:eastAsia="Arial Unicode MS" w:hAnsi="AvantGarde Bk BT" w:cs="Arial"/>
          <w:sz w:val="24"/>
          <w:szCs w:val="24"/>
          <w:lang w:eastAsia="es-ES"/>
        </w:rPr>
        <w:lastRenderedPageBreak/>
        <w:t xml:space="preserve">legislación aplicable al caso en concreto; </w:t>
      </w:r>
      <w:r w:rsidR="004076F7" w:rsidRPr="00726415">
        <w:rPr>
          <w:rFonts w:ascii="AvantGarde Bk BT" w:eastAsia="Arial Unicode MS" w:hAnsi="AvantGarde Bk BT" w:cs="Arial"/>
          <w:b/>
          <w:sz w:val="24"/>
          <w:szCs w:val="24"/>
          <w:u w:val="single"/>
          <w:lang w:eastAsia="es-ES"/>
        </w:rPr>
        <w:t>agravio que deviene parcialmente fundado</w:t>
      </w:r>
      <w:r w:rsidR="004076F7" w:rsidRPr="00726415">
        <w:rPr>
          <w:rFonts w:ascii="AvantGarde Bk BT" w:eastAsia="Arial Unicode MS" w:hAnsi="AvantGarde Bk BT" w:cs="Arial"/>
          <w:sz w:val="24"/>
          <w:szCs w:val="24"/>
          <w:lang w:eastAsia="es-ES"/>
        </w:rPr>
        <w:t>, por las consideraciones que a continuación se hacen patentes.</w:t>
      </w:r>
    </w:p>
    <w:p w14:paraId="1587254E"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5B60BBB4"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Atendiendo la causa que nos ocupa, se precisa que la información confidencial</w:t>
      </w:r>
      <w:r w:rsidRPr="00726415">
        <w:rPr>
          <w:rStyle w:val="Refdenotaalpie"/>
          <w:rFonts w:ascii="AvantGarde Bk BT" w:eastAsia="Arial Unicode MS" w:hAnsi="AvantGarde Bk BT" w:cs="Arial"/>
        </w:rPr>
        <w:footnoteReference w:id="2"/>
      </w:r>
      <w:r w:rsidRPr="00726415">
        <w:rPr>
          <w:rFonts w:ascii="AvantGarde Bk BT" w:eastAsia="Arial Unicode MS" w:hAnsi="AvantGarde Bk BT" w:cs="Arial"/>
          <w:sz w:val="24"/>
          <w:szCs w:val="24"/>
          <w:lang w:eastAsia="es-ES"/>
        </w:rPr>
        <w:t xml:space="preserve"> representa la segunda limitación al artículo 6º</w:t>
      </w:r>
      <w:r w:rsidRPr="00726415">
        <w:rPr>
          <w:rStyle w:val="Refdenotaalpie"/>
          <w:rFonts w:ascii="AvantGarde Bk BT" w:eastAsia="Arial Unicode MS" w:hAnsi="AvantGarde Bk BT" w:cs="Arial"/>
        </w:rPr>
        <w:footnoteReference w:id="3"/>
      </w:r>
      <w:r w:rsidRPr="00726415">
        <w:rPr>
          <w:rFonts w:ascii="AvantGarde Bk BT" w:eastAsia="Arial Unicode MS" w:hAnsi="AvantGarde Bk BT" w:cs="Arial"/>
          <w:sz w:val="24"/>
          <w:szCs w:val="24"/>
          <w:lang w:eastAsia="es-ES"/>
        </w:rPr>
        <w:t xml:space="preserve"> de la Carta Magna (si se considera a la reservada como la primera), por limitar el acceso y/o publicidad de la misma; sin embargo, es de señalarse que, si se ve de esta manera, dicha restricción se justificaría por los datos inmersos en ella, pero principalmente porque no es información pública. </w:t>
      </w:r>
    </w:p>
    <w:p w14:paraId="290DBF02"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p>
    <w:p w14:paraId="0F6588AB"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Ahora bien, al provenir la restricción o limitación del orden constitucional, es preciso observar -en el caso concreto-, los estrictos requerimientos característicos de la tipificación como información confidencial para satisfacer en este ámbito el principio de legalidad. Así, deben formularse en forma expresa, precisa y taxativa, el marco legal que brinde seguridad jurídica a la persona recurrente. </w:t>
      </w:r>
    </w:p>
    <w:p w14:paraId="4538D2E6"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p>
    <w:p w14:paraId="2FFFA609"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El principio de legalidad, como principio fundamental, está para intervenir cuando no exista el apego debido a la legalidad por parte del Estado en la afectación al subordinado; controla la aplicación de normas adjetivas y sustantivas; se enfoca en la competencia y la legalidad, y es en parte estático y en parte dinámico. Establece quién debe realizar el acto y cómo debe hacerlo. Verifica la </w:t>
      </w:r>
      <w:r w:rsidRPr="00726415">
        <w:rPr>
          <w:rFonts w:ascii="AvantGarde Bk BT" w:eastAsia="Arial Unicode MS" w:hAnsi="AvantGarde Bk BT" w:cs="Arial"/>
          <w:sz w:val="24"/>
          <w:szCs w:val="24"/>
          <w:lang w:eastAsia="es-ES"/>
        </w:rPr>
        <w:lastRenderedPageBreak/>
        <w:t>conformidad de actuación de la autoridad y la conformidad del resultado de su actuación con la Ley y la Constitución.</w:t>
      </w:r>
    </w:p>
    <w:p w14:paraId="7D9170FF"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p>
    <w:p w14:paraId="4FA8DCA6" w14:textId="77777777" w:rsidR="004076F7" w:rsidRPr="00726415" w:rsidRDefault="004076F7" w:rsidP="004076F7">
      <w:pPr>
        <w:spacing w:after="0" w:line="360" w:lineRule="auto"/>
        <w:ind w:firstLine="709"/>
        <w:jc w:val="both"/>
        <w:rPr>
          <w:rFonts w:ascii="AvantGarde Bk BT" w:hAnsi="AvantGarde Bk BT" w:cs="Arial"/>
          <w:sz w:val="24"/>
          <w:szCs w:val="24"/>
        </w:rPr>
      </w:pPr>
      <w:r w:rsidRPr="00726415">
        <w:rPr>
          <w:rFonts w:ascii="AvantGarde Bk BT" w:hAnsi="AvantGarde Bk BT" w:cs="Arial"/>
          <w:sz w:val="24"/>
          <w:szCs w:val="24"/>
        </w:rPr>
        <w:t xml:space="preserve">A este respecto, es dable señalar que, </w:t>
      </w:r>
      <w:r w:rsidRPr="00726415">
        <w:rPr>
          <w:rFonts w:ascii="AvantGarde Bk BT" w:hAnsi="AvantGarde Bk BT" w:cs="Arial"/>
          <w:sz w:val="24"/>
          <w:szCs w:val="24"/>
          <w:u w:val="single"/>
        </w:rPr>
        <w:t>la administración pública requiere que exteriorice su voluntad luego de cumplir los requisitos y procedimientos determinados en los ordenamientos jurídicos respectivos.</w:t>
      </w:r>
      <w:r w:rsidRPr="00726415">
        <w:rPr>
          <w:rFonts w:ascii="AvantGarde Bk BT" w:hAnsi="AvantGarde Bk BT" w:cs="Arial"/>
          <w:sz w:val="24"/>
          <w:szCs w:val="24"/>
        </w:rPr>
        <w:t xml:space="preserve"> El acto administrativo es el medio por el cual se exterioriza esa voluntad y puede conceptuarse como el acto jurídico unilateral que declara la voluntad de un órgano del Estado en ejercicio de la potestad administrativa y crea situaciones jurídicas conducentes a satisfacer las necesidades de la colectividad</w:t>
      </w:r>
      <w:r w:rsidRPr="00726415">
        <w:rPr>
          <w:rStyle w:val="Refdenotaalpie"/>
          <w:rFonts w:ascii="AvantGarde Bk BT" w:hAnsi="AvantGarde Bk BT" w:cs="Arial"/>
        </w:rPr>
        <w:footnoteReference w:id="4"/>
      </w:r>
      <w:r w:rsidRPr="00726415">
        <w:rPr>
          <w:rFonts w:ascii="AvantGarde Bk BT" w:hAnsi="AvantGarde Bk BT" w:cs="Arial"/>
          <w:sz w:val="24"/>
          <w:szCs w:val="24"/>
        </w:rPr>
        <w:t>.</w:t>
      </w:r>
    </w:p>
    <w:p w14:paraId="1C25A97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BE2256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De esta forma, como todo acto de autoridad que es restrictivo de un derecho fundamental, la confidencialidad exige una debida fundamentación y motivación acorde a lo establecido en el artículo 16</w:t>
      </w:r>
      <w:r w:rsidRPr="00726415">
        <w:rPr>
          <w:rFonts w:ascii="AvantGarde Bk BT" w:eastAsia="Arial Unicode MS" w:hAnsi="AvantGarde Bk BT" w:cs="Arial"/>
          <w:sz w:val="24"/>
          <w:szCs w:val="24"/>
          <w:vertAlign w:val="superscript"/>
          <w:lang w:eastAsia="es-ES"/>
        </w:rPr>
        <w:footnoteReference w:id="5"/>
      </w:r>
      <w:r w:rsidRPr="00726415">
        <w:rPr>
          <w:rFonts w:ascii="AvantGarde Bk BT" w:eastAsia="Arial Unicode MS" w:hAnsi="AvantGarde Bk BT" w:cs="Arial"/>
          <w:sz w:val="24"/>
          <w:szCs w:val="24"/>
          <w:lang w:eastAsia="es-ES"/>
        </w:rPr>
        <w:t xml:space="preserve"> de la Constitución Política de los Estados Unidos Mexicanos. Es oportuno señalar que –en lo que aquí interesa-, de la interpretación armónica de los artículos 164</w:t>
      </w:r>
      <w:r w:rsidRPr="00726415">
        <w:rPr>
          <w:rFonts w:ascii="AvantGarde Bk BT" w:eastAsia="Arial Unicode MS" w:hAnsi="AvantGarde Bk BT" w:cs="Arial"/>
          <w:sz w:val="24"/>
          <w:szCs w:val="24"/>
          <w:vertAlign w:val="superscript"/>
          <w:lang w:eastAsia="es-ES"/>
        </w:rPr>
        <w:footnoteReference w:id="6"/>
      </w:r>
      <w:r w:rsidRPr="00726415">
        <w:rPr>
          <w:rFonts w:ascii="AvantGarde Bk BT" w:eastAsia="Arial Unicode MS" w:hAnsi="AvantGarde Bk BT" w:cs="Arial"/>
          <w:sz w:val="24"/>
          <w:szCs w:val="24"/>
          <w:lang w:eastAsia="es-ES"/>
        </w:rPr>
        <w:t xml:space="preserve"> y 165</w:t>
      </w:r>
      <w:r w:rsidRPr="00726415">
        <w:rPr>
          <w:rFonts w:ascii="AvantGarde Bk BT" w:eastAsia="Arial Unicode MS" w:hAnsi="AvantGarde Bk BT" w:cs="Arial"/>
          <w:sz w:val="24"/>
          <w:szCs w:val="24"/>
          <w:vertAlign w:val="superscript"/>
          <w:lang w:eastAsia="es-ES"/>
        </w:rPr>
        <w:footnoteReference w:id="7"/>
      </w:r>
      <w:r w:rsidRPr="00726415">
        <w:rPr>
          <w:rFonts w:ascii="AvantGarde Bk BT" w:eastAsia="Arial Unicode MS" w:hAnsi="AvantGarde Bk BT" w:cs="Arial"/>
          <w:sz w:val="24"/>
          <w:szCs w:val="24"/>
          <w:lang w:eastAsia="es-ES"/>
        </w:rPr>
        <w:t xml:space="preserve"> del Código Procesal Administrativo para el Estado de San Luis Potosí, de aplicación supletoria de la Ley de Transparencia Local, la fundamentación y motivación posee dos acepciones: </w:t>
      </w:r>
    </w:p>
    <w:p w14:paraId="5DC2841D"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0A532B53" w14:textId="77777777" w:rsidR="004076F7" w:rsidRPr="00726415" w:rsidRDefault="004076F7" w:rsidP="004076F7">
      <w:pPr>
        <w:numPr>
          <w:ilvl w:val="0"/>
          <w:numId w:val="48"/>
        </w:numPr>
        <w:spacing w:after="0" w:line="360" w:lineRule="auto"/>
        <w:ind w:left="1134"/>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lastRenderedPageBreak/>
        <w:t>La existencia de estos como elementos, es decir, la mera citación de elementos normativos, así como el planteamiento de argumentos lógicos, dentro de la justificación del acto; y,</w:t>
      </w:r>
    </w:p>
    <w:p w14:paraId="33B1BA03" w14:textId="77777777" w:rsidR="004076F7" w:rsidRPr="00726415" w:rsidRDefault="004076F7" w:rsidP="004076F7">
      <w:pPr>
        <w:spacing w:after="0" w:line="360" w:lineRule="auto"/>
        <w:ind w:left="1134" w:firstLine="708"/>
        <w:jc w:val="both"/>
        <w:rPr>
          <w:rFonts w:ascii="AvantGarde Bk BT" w:eastAsia="Arial Unicode MS" w:hAnsi="AvantGarde Bk BT" w:cs="Arial"/>
          <w:sz w:val="24"/>
          <w:szCs w:val="24"/>
          <w:lang w:eastAsia="es-ES"/>
        </w:rPr>
      </w:pPr>
    </w:p>
    <w:p w14:paraId="4439DB08" w14:textId="77777777" w:rsidR="004076F7" w:rsidRPr="00726415" w:rsidRDefault="004076F7" w:rsidP="004076F7">
      <w:pPr>
        <w:numPr>
          <w:ilvl w:val="0"/>
          <w:numId w:val="48"/>
        </w:numPr>
        <w:spacing w:after="0" w:line="360" w:lineRule="auto"/>
        <w:ind w:left="1134"/>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 La materialidad como requisito, de manera que, por lo que hace a la citación de los preceptos normativos, sean correctos, precisos y suficientes para delimitar la circunstancia jurídica a resolver; y, por su parte, los argumentos lógicos, deberán lograr en sus extremos, adminicular las circunstancias de hecho, con los preceptos normativos, para generar certeza del apego de la autoridad, a la normativa concreta.</w:t>
      </w:r>
    </w:p>
    <w:p w14:paraId="7A94A8DB" w14:textId="77777777" w:rsidR="004076F7" w:rsidRPr="00726415" w:rsidRDefault="004076F7" w:rsidP="004076F7">
      <w:pPr>
        <w:spacing w:after="0" w:line="360" w:lineRule="auto"/>
        <w:ind w:left="1134" w:firstLine="708"/>
        <w:jc w:val="both"/>
        <w:rPr>
          <w:rFonts w:ascii="AvantGarde Bk BT" w:eastAsia="Arial Unicode MS" w:hAnsi="AvantGarde Bk BT" w:cs="Arial"/>
          <w:sz w:val="24"/>
          <w:szCs w:val="24"/>
          <w:lang w:eastAsia="es-ES"/>
        </w:rPr>
      </w:pPr>
    </w:p>
    <w:p w14:paraId="341EC96D" w14:textId="77777777" w:rsidR="004076F7" w:rsidRPr="00726415" w:rsidRDefault="004076F7" w:rsidP="004076F7">
      <w:pPr>
        <w:pStyle w:val="Prrafodelista"/>
        <w:autoSpaceDE w:val="0"/>
        <w:autoSpaceDN w:val="0"/>
        <w:adjustRightInd w:val="0"/>
        <w:spacing w:after="0" w:line="360" w:lineRule="auto"/>
        <w:ind w:left="0" w:firstLine="709"/>
        <w:jc w:val="both"/>
        <w:rPr>
          <w:rFonts w:ascii="AvantGarde Bk BT" w:eastAsia="Arial Unicode MS" w:hAnsi="AvantGarde Bk BT" w:cs="Arial"/>
          <w:sz w:val="24"/>
          <w:szCs w:val="24"/>
          <w:lang w:eastAsia="es-ES"/>
        </w:rPr>
      </w:pPr>
      <w:r w:rsidRPr="00726415">
        <w:rPr>
          <w:rFonts w:ascii="AvantGarde Bk BT" w:hAnsi="AvantGarde Bk BT" w:cs="Arial"/>
          <w:sz w:val="24"/>
          <w:szCs w:val="24"/>
        </w:rPr>
        <w:t xml:space="preserve">En lo tocante, el sujeto obligado, con la finalidad de realizar el cumplimiento al elemento formal de fundamentación y motivación, </w:t>
      </w:r>
      <w:r w:rsidRPr="00726415">
        <w:rPr>
          <w:rFonts w:ascii="AvantGarde Bk BT" w:eastAsia="Arial Unicode MS" w:hAnsi="AvantGarde Bk BT" w:cs="Arial"/>
          <w:sz w:val="24"/>
          <w:szCs w:val="24"/>
          <w:lang w:eastAsia="es-ES"/>
        </w:rPr>
        <w:t xml:space="preserve">señaló que, de conformidad con lo dispuesto en los artículos 138 y 142 de la Ley de Transparencia y Acceso a la Información Pública del Estado, se relaciona con datos personales relacionados, por lo que, al no contar con el consentimiento del titular de dicha información, no es de considerarse información pública que pueda otorgarse. </w:t>
      </w:r>
    </w:p>
    <w:p w14:paraId="1C223BC8" w14:textId="77777777" w:rsidR="004076F7" w:rsidRPr="00726415" w:rsidRDefault="004076F7" w:rsidP="004076F7">
      <w:pPr>
        <w:pStyle w:val="Prrafodelista"/>
        <w:autoSpaceDE w:val="0"/>
        <w:autoSpaceDN w:val="0"/>
        <w:adjustRightInd w:val="0"/>
        <w:spacing w:after="0" w:line="360" w:lineRule="auto"/>
        <w:ind w:left="0" w:firstLine="709"/>
        <w:jc w:val="both"/>
        <w:rPr>
          <w:rFonts w:ascii="AvantGarde Bk BT" w:eastAsia="Arial Unicode MS" w:hAnsi="AvantGarde Bk BT" w:cs="Arial"/>
          <w:sz w:val="24"/>
          <w:szCs w:val="24"/>
          <w:lang w:eastAsia="es-ES"/>
        </w:rPr>
      </w:pPr>
    </w:p>
    <w:p w14:paraId="685C31AF"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Asimismo, realizó el pronunciamiento de argumentos, por los cuales pretende acreditar la adecuada </w:t>
      </w:r>
      <w:proofErr w:type="spellStart"/>
      <w:r w:rsidRPr="00726415">
        <w:rPr>
          <w:rFonts w:ascii="AvantGarde Bk BT" w:hAnsi="AvantGarde Bk BT" w:cs="Arial"/>
          <w:sz w:val="24"/>
          <w:szCs w:val="24"/>
        </w:rPr>
        <w:t>adminiculación</w:t>
      </w:r>
      <w:proofErr w:type="spellEnd"/>
      <w:r w:rsidRPr="00726415">
        <w:rPr>
          <w:rFonts w:ascii="AvantGarde Bk BT" w:hAnsi="AvantGarde Bk BT" w:cs="Arial"/>
          <w:sz w:val="24"/>
          <w:szCs w:val="24"/>
        </w:rPr>
        <w:t xml:space="preserve"> del caso en concreto, con las disposiciones normativas aplicables al caso; razón por la cual, por lo que hace al presente elemento </w:t>
      </w:r>
      <w:r w:rsidRPr="00726415">
        <w:rPr>
          <w:rFonts w:ascii="AvantGarde Bk BT" w:hAnsi="AvantGarde Bk BT" w:cs="Arial"/>
          <w:b/>
          <w:sz w:val="24"/>
          <w:szCs w:val="24"/>
          <w:u w:val="single"/>
        </w:rPr>
        <w:t>formal,</w:t>
      </w:r>
      <w:r w:rsidRPr="00726415">
        <w:rPr>
          <w:rFonts w:ascii="AvantGarde Bk BT" w:hAnsi="AvantGarde Bk BT" w:cs="Arial"/>
          <w:sz w:val="24"/>
          <w:szCs w:val="24"/>
        </w:rPr>
        <w:t xml:space="preserve"> resulta dable determinar que se encuentra satisfecho conforme a lo establecido en la ley de la materia.</w:t>
      </w:r>
    </w:p>
    <w:p w14:paraId="33EAF219"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p>
    <w:p w14:paraId="575675A8"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No </w:t>
      </w:r>
      <w:proofErr w:type="gramStart"/>
      <w:r w:rsidRPr="00726415">
        <w:rPr>
          <w:rFonts w:ascii="AvantGarde Bk BT" w:hAnsi="AvantGarde Bk BT" w:cs="Arial"/>
          <w:sz w:val="24"/>
          <w:szCs w:val="24"/>
        </w:rPr>
        <w:t>obstante</w:t>
      </w:r>
      <w:proofErr w:type="gramEnd"/>
      <w:r w:rsidRPr="00726415">
        <w:rPr>
          <w:rFonts w:ascii="AvantGarde Bk BT" w:hAnsi="AvantGarde Bk BT" w:cs="Arial"/>
          <w:sz w:val="24"/>
          <w:szCs w:val="24"/>
        </w:rPr>
        <w:t xml:space="preserve"> lo anterior, como se precisó con antelación, la fundamentación y motivación de los actos administrativos, no se satisface sólo a través de su requisito formal, sino que requiere a su vez, de la satisfacción del requisito de adecuación; es decir, que la fundamentación sea: </w:t>
      </w:r>
    </w:p>
    <w:p w14:paraId="2AECA04C"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p>
    <w:p w14:paraId="52CE5D86"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1. Exacta; 2. Aplicable al caso en concreto; y, 3. Suficiente; considerando para ello, la normativa que, por una parte, dota a la autoridad administrativa en cuestión, de la competencia para la emisión del acto; y, por otra, regula en su totalidad los </w:t>
      </w:r>
      <w:r w:rsidRPr="00726415">
        <w:rPr>
          <w:rFonts w:ascii="AvantGarde Bk BT" w:hAnsi="AvantGarde Bk BT" w:cs="Arial"/>
          <w:sz w:val="24"/>
          <w:szCs w:val="24"/>
        </w:rPr>
        <w:lastRenderedPageBreak/>
        <w:t>aspectos de interés en el caso en concreto, sin que se esté en posibilidad de causar confusión o imprecisión.</w:t>
      </w:r>
    </w:p>
    <w:p w14:paraId="51E6B652"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p>
    <w:p w14:paraId="1AED3D0F"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Mientras que, la motivación, requiere que se realice una serie de argumentos que, por su expresión, sea posible adminicular de manera congruente, lógica y precisa, las circunstancias de hecho y de derecho, para producir un efecto jurídico determinado. Sirve de apoyo la Jurisprudencia, cuyo rubro y texto señalan: </w:t>
      </w:r>
    </w:p>
    <w:p w14:paraId="1A4C370D"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p>
    <w:p w14:paraId="78E8B5F3" w14:textId="77777777" w:rsidR="004076F7" w:rsidRPr="00726415" w:rsidRDefault="004076F7" w:rsidP="004076F7">
      <w:pPr>
        <w:autoSpaceDE w:val="0"/>
        <w:autoSpaceDN w:val="0"/>
        <w:adjustRightInd w:val="0"/>
        <w:spacing w:after="0" w:line="240" w:lineRule="auto"/>
        <w:ind w:left="1134" w:right="1185"/>
        <w:jc w:val="both"/>
        <w:rPr>
          <w:rFonts w:ascii="AvantGarde Bk BT" w:hAnsi="AvantGarde Bk BT" w:cs="Arial"/>
        </w:rPr>
      </w:pPr>
      <w:r w:rsidRPr="00726415">
        <w:rPr>
          <w:rFonts w:ascii="AvantGarde Bk BT" w:hAnsi="AvantGarde Bk BT" w:cs="Arial"/>
          <w:b/>
        </w:rPr>
        <w:t xml:space="preserve">“FUNDAMENTACION Y MOTIVACION DE LOS ACTOS ADMINISTRATIVOS. </w:t>
      </w:r>
      <w:r w:rsidRPr="00726415">
        <w:rPr>
          <w:rFonts w:ascii="AvantGarde Bk BT" w:hAnsi="AvantGarde Bk BT" w:cs="Arial"/>
        </w:rPr>
        <w:t xml:space="preserve">De acuerdo con el artículo 16 constitucional,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w:t>
      </w:r>
      <w:proofErr w:type="spellStart"/>
      <w:r w:rsidRPr="00726415">
        <w:rPr>
          <w:rFonts w:ascii="AvantGarde Bk BT" w:hAnsi="AvantGarde Bk BT" w:cs="Arial"/>
        </w:rPr>
        <w:t>subincisos</w:t>
      </w:r>
      <w:proofErr w:type="spellEnd"/>
      <w:r w:rsidRPr="00726415">
        <w:rPr>
          <w:rFonts w:ascii="AvantGarde Bk BT" w:hAnsi="AvantGarde Bk BT" w:cs="Arial"/>
        </w:rPr>
        <w:t>, fracciones y preceptos aplicables, y b).- Los cuerpos legales, y preceptos que otorgan competencia o facultades a las autoridades para emitir el acto en agravio del gobernado.</w:t>
      </w:r>
      <w:r w:rsidRPr="00726415">
        <w:rPr>
          <w:rFonts w:ascii="AvantGarde Bk BT" w:eastAsia="Arial Unicode MS" w:hAnsi="AvantGarde Bk BT" w:cs="Arial"/>
          <w:lang w:eastAsia="es-ES"/>
        </w:rPr>
        <w:t>”</w:t>
      </w:r>
      <w:r w:rsidRPr="00726415">
        <w:rPr>
          <w:rStyle w:val="Refdenotaalpie"/>
          <w:rFonts w:ascii="AvantGarde Bk BT" w:eastAsia="Arial Unicode MS" w:hAnsi="AvantGarde Bk BT" w:cs="Arial"/>
        </w:rPr>
        <w:footnoteReference w:id="8"/>
      </w:r>
    </w:p>
    <w:p w14:paraId="12992F61" w14:textId="77777777" w:rsidR="004076F7" w:rsidRPr="00726415" w:rsidRDefault="004076F7" w:rsidP="004076F7">
      <w:pPr>
        <w:autoSpaceDE w:val="0"/>
        <w:autoSpaceDN w:val="0"/>
        <w:adjustRightInd w:val="0"/>
        <w:spacing w:after="0" w:line="360" w:lineRule="auto"/>
        <w:ind w:right="49"/>
        <w:jc w:val="both"/>
        <w:rPr>
          <w:rFonts w:ascii="AvantGarde Bk BT" w:hAnsi="AvantGarde Bk BT" w:cs="Arial"/>
          <w:sz w:val="24"/>
          <w:szCs w:val="24"/>
        </w:rPr>
      </w:pPr>
    </w:p>
    <w:p w14:paraId="19BB58B5"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el régimen Constitucional del Estado</w:t>
      </w:r>
      <w:r w:rsidRPr="00726415">
        <w:rPr>
          <w:rStyle w:val="Refdenotaalpie"/>
          <w:rFonts w:ascii="AvantGarde Bk BT" w:eastAsia="Arial Unicode MS" w:hAnsi="AvantGarde Bk BT" w:cs="Arial"/>
        </w:rPr>
        <w:footnoteReference w:id="9"/>
      </w:r>
      <w:r w:rsidRPr="00726415">
        <w:rPr>
          <w:rFonts w:ascii="AvantGarde Bk BT" w:eastAsia="Arial Unicode MS" w:hAnsi="AvantGarde Bk BT" w:cs="Arial"/>
          <w:sz w:val="24"/>
          <w:szCs w:val="24"/>
          <w:lang w:eastAsia="es-ES"/>
        </w:rPr>
        <w:t xml:space="preserve">, se establecen los fundamentos para el ejercicio del derecho de toda persona para conocer y acceder a la información pública, así como el imperativo de proteger a las personas contra cualquier lesión en </w:t>
      </w:r>
      <w:r w:rsidRPr="00726415">
        <w:rPr>
          <w:rFonts w:ascii="AvantGarde Bk BT" w:eastAsia="Arial Unicode MS" w:hAnsi="AvantGarde Bk BT" w:cs="Arial"/>
          <w:sz w:val="24"/>
          <w:szCs w:val="24"/>
          <w:lang w:eastAsia="es-ES"/>
        </w:rPr>
        <w:lastRenderedPageBreak/>
        <w:t>sus derechos, resultante del tratamiento de sus datos personales, conforme a los principios y bases establecidos por el artículo 6º de la Constitución Federal.</w:t>
      </w:r>
    </w:p>
    <w:p w14:paraId="4346E1A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114AE171" w14:textId="77777777" w:rsidR="004076F7" w:rsidRPr="00726415" w:rsidRDefault="004076F7" w:rsidP="004076F7">
      <w:pPr>
        <w:spacing w:after="0" w:line="360" w:lineRule="auto"/>
        <w:ind w:firstLine="708"/>
        <w:jc w:val="both"/>
        <w:rPr>
          <w:rFonts w:ascii="AvantGarde Bk BT" w:eastAsia="Times New Roman" w:hAnsi="AvantGarde Bk BT" w:cs="Arial"/>
          <w:sz w:val="24"/>
          <w:szCs w:val="24"/>
          <w:lang w:eastAsia="es-ES"/>
        </w:rPr>
      </w:pPr>
      <w:r w:rsidRPr="00726415">
        <w:rPr>
          <w:rFonts w:ascii="AvantGarde Bk BT" w:eastAsia="Arial Unicode MS" w:hAnsi="AvantGarde Bk BT" w:cs="Arial"/>
          <w:sz w:val="24"/>
          <w:szCs w:val="24"/>
          <w:lang w:eastAsia="es-ES"/>
        </w:rPr>
        <w:t xml:space="preserve">En esa tesitura, en el ámbito local se encuentran </w:t>
      </w:r>
      <w:r w:rsidRPr="00726415">
        <w:rPr>
          <w:rFonts w:ascii="AvantGarde Bk BT" w:eastAsia="Times New Roman" w:hAnsi="AvantGarde Bk BT" w:cs="Arial"/>
          <w:sz w:val="24"/>
          <w:szCs w:val="24"/>
          <w:lang w:eastAsia="es-ES"/>
        </w:rPr>
        <w:t xml:space="preserve">las bases generales para garantizar el derecho de acceso a la información en la Ley de Transparencia y Acceso a la Información Pública. </w:t>
      </w:r>
    </w:p>
    <w:p w14:paraId="00B75A83" w14:textId="77777777" w:rsidR="004076F7" w:rsidRPr="00726415" w:rsidRDefault="004076F7" w:rsidP="004076F7">
      <w:pPr>
        <w:autoSpaceDE w:val="0"/>
        <w:autoSpaceDN w:val="0"/>
        <w:adjustRightInd w:val="0"/>
        <w:spacing w:after="0" w:line="360" w:lineRule="auto"/>
        <w:ind w:firstLine="709"/>
        <w:jc w:val="both"/>
        <w:rPr>
          <w:rFonts w:ascii="AvantGarde Bk BT" w:eastAsia="Times New Roman" w:hAnsi="AvantGarde Bk BT" w:cs="Arial"/>
          <w:sz w:val="24"/>
          <w:szCs w:val="24"/>
          <w:lang w:eastAsia="es-ES"/>
        </w:rPr>
      </w:pPr>
    </w:p>
    <w:p w14:paraId="1517F862" w14:textId="77777777" w:rsidR="004076F7" w:rsidRPr="00726415" w:rsidRDefault="004076F7" w:rsidP="004076F7">
      <w:pPr>
        <w:autoSpaceDE w:val="0"/>
        <w:autoSpaceDN w:val="0"/>
        <w:adjustRightInd w:val="0"/>
        <w:spacing w:after="0" w:line="360" w:lineRule="auto"/>
        <w:ind w:firstLine="709"/>
        <w:jc w:val="both"/>
        <w:rPr>
          <w:rFonts w:ascii="AvantGarde Bk BT" w:eastAsia="Times New Roman" w:hAnsi="AvantGarde Bk BT" w:cs="Arial"/>
          <w:sz w:val="24"/>
          <w:szCs w:val="24"/>
          <w:lang w:val="es-ES_tradnl" w:eastAsia="es-ES"/>
        </w:rPr>
      </w:pPr>
      <w:r w:rsidRPr="00726415">
        <w:rPr>
          <w:rFonts w:ascii="AvantGarde Bk BT" w:eastAsia="Times New Roman" w:hAnsi="AvantGarde Bk BT" w:cs="Arial"/>
          <w:sz w:val="24"/>
          <w:szCs w:val="24"/>
          <w:lang w:eastAsia="es-ES"/>
        </w:rPr>
        <w:t>En dicho cuerpo normativo, se establece: “toda información en posesión de cualquier autoridad, entidad, órgano y organismos de los poderes Ejecutivo, Legislativo y Judicial, órganos autónomos, partidos políticos, fideicomisos y fondos públicos, así como cualquier persona física, moral o sindicato que reciba y ejerza recursos públicos o realice actos de autoridad en el ámbito estatal y municipal, es pública,</w:t>
      </w:r>
      <w:r w:rsidRPr="00726415">
        <w:rPr>
          <w:rStyle w:val="Refdenotaalpie"/>
          <w:rFonts w:ascii="AvantGarde Bk BT" w:hAnsi="AvantGarde Bk BT" w:cs="Arial"/>
        </w:rPr>
        <w:footnoteReference w:id="10"/>
      </w:r>
      <w:r w:rsidRPr="00726415">
        <w:rPr>
          <w:rFonts w:ascii="AvantGarde Bk BT" w:eastAsia="Times New Roman" w:hAnsi="AvantGarde Bk BT" w:cs="Arial"/>
          <w:sz w:val="24"/>
          <w:szCs w:val="24"/>
          <w:lang w:eastAsia="es-ES"/>
        </w:rPr>
        <w:t xml:space="preserve"> </w:t>
      </w:r>
      <w:r w:rsidRPr="00726415">
        <w:rPr>
          <w:rFonts w:ascii="AvantGarde Bk BT" w:eastAsia="Times New Roman" w:hAnsi="AvantGarde Bk BT" w:cs="Arial"/>
          <w:sz w:val="24"/>
          <w:szCs w:val="24"/>
          <w:lang w:val="es-ES_tradnl" w:eastAsia="es-ES"/>
        </w:rPr>
        <w:t>salvo las restricciones que defina la Ley</w:t>
      </w:r>
      <w:r w:rsidRPr="00726415">
        <w:rPr>
          <w:rStyle w:val="Refdenotaalpie"/>
          <w:rFonts w:ascii="AvantGarde Bk BT" w:hAnsi="AvantGarde Bk BT" w:cs="Arial"/>
          <w:lang w:val="es-ES_tradnl"/>
        </w:rPr>
        <w:footnoteReference w:id="11"/>
      </w:r>
      <w:r w:rsidRPr="00726415">
        <w:rPr>
          <w:rFonts w:ascii="AvantGarde Bk BT" w:eastAsia="Times New Roman" w:hAnsi="AvantGarde Bk BT" w:cs="Arial"/>
          <w:sz w:val="24"/>
          <w:szCs w:val="24"/>
          <w:lang w:val="es-ES_tradnl" w:eastAsia="es-ES"/>
        </w:rPr>
        <w:t>.</w:t>
      </w:r>
    </w:p>
    <w:p w14:paraId="53A08232" w14:textId="77777777" w:rsidR="004076F7" w:rsidRPr="00726415" w:rsidRDefault="004076F7" w:rsidP="004076F7">
      <w:pPr>
        <w:autoSpaceDE w:val="0"/>
        <w:autoSpaceDN w:val="0"/>
        <w:adjustRightInd w:val="0"/>
        <w:spacing w:after="0" w:line="360" w:lineRule="auto"/>
        <w:ind w:firstLine="709"/>
        <w:jc w:val="both"/>
        <w:rPr>
          <w:rFonts w:ascii="AvantGarde Bk BT" w:eastAsia="Times New Roman" w:hAnsi="AvantGarde Bk BT" w:cs="Arial"/>
          <w:sz w:val="24"/>
          <w:szCs w:val="24"/>
          <w:lang w:val="es-ES_tradnl" w:eastAsia="es-ES"/>
        </w:rPr>
      </w:pPr>
    </w:p>
    <w:p w14:paraId="4FAF9F27" w14:textId="77777777" w:rsidR="004076F7" w:rsidRPr="00726415" w:rsidRDefault="004076F7" w:rsidP="004076F7">
      <w:pPr>
        <w:autoSpaceDE w:val="0"/>
        <w:autoSpaceDN w:val="0"/>
        <w:adjustRightInd w:val="0"/>
        <w:spacing w:after="0" w:line="360" w:lineRule="auto"/>
        <w:ind w:firstLine="709"/>
        <w:jc w:val="both"/>
        <w:rPr>
          <w:rFonts w:ascii="AvantGarde Bk BT" w:hAnsi="AvantGarde Bk BT" w:cs="Arial"/>
          <w:bCs/>
          <w:sz w:val="24"/>
          <w:szCs w:val="24"/>
        </w:rPr>
      </w:pPr>
      <w:r w:rsidRPr="00726415">
        <w:rPr>
          <w:rFonts w:ascii="AvantGarde Bk BT" w:eastAsia="Times New Roman" w:hAnsi="AvantGarde Bk BT" w:cs="Arial"/>
          <w:sz w:val="24"/>
          <w:szCs w:val="24"/>
          <w:lang w:eastAsia="es-ES"/>
        </w:rPr>
        <w:t xml:space="preserve">De esta forma, se tiene que </w:t>
      </w:r>
      <w:r w:rsidRPr="00726415">
        <w:rPr>
          <w:rFonts w:ascii="AvantGarde Bk BT" w:hAnsi="AvantGarde Bk BT" w:cs="Arial"/>
          <w:bCs/>
          <w:sz w:val="24"/>
          <w:szCs w:val="24"/>
        </w:rPr>
        <w:t>en el ejercicio del derecho de acceso a la información pública, se deberá atender siempre al principio de máxima publicidad</w:t>
      </w:r>
      <w:r w:rsidRPr="00726415">
        <w:rPr>
          <w:rStyle w:val="Refdenotaalpie"/>
          <w:rFonts w:ascii="AvantGarde Bk BT" w:hAnsi="AvantGarde Bk BT" w:cs="Arial"/>
          <w:bCs/>
        </w:rPr>
        <w:footnoteReference w:id="12"/>
      </w:r>
      <w:r w:rsidRPr="00726415">
        <w:rPr>
          <w:rFonts w:ascii="AvantGarde Bk BT" w:hAnsi="AvantGarde Bk BT" w:cs="Arial"/>
          <w:bCs/>
          <w:sz w:val="24"/>
          <w:szCs w:val="24"/>
        </w:rPr>
        <w:t xml:space="preserve"> como eje rector en la interpretación de este derecho.</w:t>
      </w:r>
    </w:p>
    <w:p w14:paraId="1F797B61" w14:textId="77777777" w:rsidR="004076F7" w:rsidRPr="00726415" w:rsidRDefault="004076F7" w:rsidP="004076F7">
      <w:pPr>
        <w:autoSpaceDE w:val="0"/>
        <w:autoSpaceDN w:val="0"/>
        <w:adjustRightInd w:val="0"/>
        <w:spacing w:after="0" w:line="360" w:lineRule="auto"/>
        <w:ind w:firstLine="709"/>
        <w:jc w:val="both"/>
        <w:rPr>
          <w:rFonts w:ascii="AvantGarde Bk BT" w:hAnsi="AvantGarde Bk BT" w:cs="Arial"/>
          <w:bCs/>
          <w:sz w:val="24"/>
          <w:szCs w:val="24"/>
        </w:rPr>
      </w:pPr>
    </w:p>
    <w:p w14:paraId="127EF469" w14:textId="10157ABD" w:rsidR="004076F7" w:rsidRPr="00726415" w:rsidRDefault="004076F7" w:rsidP="004076F7">
      <w:pPr>
        <w:autoSpaceDE w:val="0"/>
        <w:autoSpaceDN w:val="0"/>
        <w:adjustRightInd w:val="0"/>
        <w:spacing w:after="0" w:line="360" w:lineRule="auto"/>
        <w:ind w:firstLine="709"/>
        <w:jc w:val="both"/>
        <w:rPr>
          <w:rFonts w:ascii="AvantGarde Bk BT" w:eastAsia="Arial Unicode MS" w:hAnsi="AvantGarde Bk BT" w:cs="Arial"/>
          <w:b/>
          <w:sz w:val="24"/>
          <w:szCs w:val="24"/>
          <w:u w:val="single"/>
          <w:lang w:eastAsia="es-ES"/>
        </w:rPr>
      </w:pPr>
      <w:r w:rsidRPr="00726415">
        <w:rPr>
          <w:rFonts w:ascii="AvantGarde Bk BT" w:hAnsi="AvantGarde Bk BT" w:cs="Arial"/>
          <w:bCs/>
          <w:sz w:val="24"/>
          <w:szCs w:val="24"/>
        </w:rPr>
        <w:t xml:space="preserve"> </w:t>
      </w:r>
      <w:r w:rsidRPr="00726415">
        <w:rPr>
          <w:rFonts w:ascii="AvantGarde Bk BT" w:eastAsia="Times New Roman" w:hAnsi="AvantGarde Bk BT" w:cs="Arial"/>
          <w:sz w:val="24"/>
          <w:szCs w:val="24"/>
          <w:lang w:val="es-ES_tradnl" w:eastAsia="es-ES"/>
        </w:rPr>
        <w:t xml:space="preserve">No obstante, la información anteriormente mencionada, podrá ser negada por las autoridades cuando encuadre en los supuestos contemplados en el artículo </w:t>
      </w:r>
      <w:r w:rsidRPr="00726415">
        <w:rPr>
          <w:rFonts w:ascii="AvantGarde Bk BT" w:eastAsia="Arial Unicode MS" w:hAnsi="AvantGarde Bk BT" w:cs="Arial"/>
          <w:sz w:val="24"/>
          <w:szCs w:val="24"/>
          <w:lang w:eastAsia="es-ES"/>
        </w:rPr>
        <w:t>113</w:t>
      </w:r>
      <w:r w:rsidRPr="00726415">
        <w:rPr>
          <w:rStyle w:val="Refdenotaalpie"/>
          <w:rFonts w:ascii="AvantGarde Bk BT" w:eastAsia="Arial Unicode MS" w:hAnsi="AvantGarde Bk BT" w:cs="Arial"/>
        </w:rPr>
        <w:footnoteReference w:id="13"/>
      </w:r>
      <w:r w:rsidRPr="00726415">
        <w:rPr>
          <w:rFonts w:ascii="AvantGarde Bk BT" w:eastAsia="Arial Unicode MS" w:hAnsi="AvantGarde Bk BT" w:cs="Arial"/>
          <w:sz w:val="24"/>
          <w:szCs w:val="24"/>
          <w:lang w:eastAsia="es-ES"/>
        </w:rPr>
        <w:t xml:space="preserve"> de la Ley de Transparencia y Acceso a la Información Pública del Estado de San Luis Potosí; así, los sujetos obligados podrán determinar que</w:t>
      </w:r>
      <w:r w:rsidR="00F0140D" w:rsidRPr="00726415">
        <w:rPr>
          <w:rFonts w:ascii="AvantGarde Bk BT" w:eastAsia="Arial Unicode MS" w:hAnsi="AvantGarde Bk BT" w:cs="Arial"/>
          <w:sz w:val="24"/>
          <w:szCs w:val="24"/>
          <w:lang w:eastAsia="es-ES"/>
        </w:rPr>
        <w:t>,</w:t>
      </w:r>
      <w:r w:rsidRPr="00726415">
        <w:rPr>
          <w:rFonts w:ascii="AvantGarde Bk BT" w:eastAsia="Arial Unicode MS" w:hAnsi="AvantGarde Bk BT" w:cs="Arial"/>
          <w:sz w:val="24"/>
          <w:szCs w:val="24"/>
          <w:lang w:eastAsia="es-ES"/>
        </w:rPr>
        <w:t xml:space="preserve"> respecto a la entrega de la </w:t>
      </w:r>
      <w:r w:rsidRPr="00726415">
        <w:rPr>
          <w:rFonts w:ascii="AvantGarde Bk BT" w:eastAsia="Arial Unicode MS" w:hAnsi="AvantGarde Bk BT" w:cs="Arial"/>
          <w:sz w:val="24"/>
          <w:szCs w:val="24"/>
          <w:lang w:eastAsia="es-ES"/>
        </w:rPr>
        <w:lastRenderedPageBreak/>
        <w:t xml:space="preserve">información, se actualice una excepción al derecho de acceso a la información pública: </w:t>
      </w:r>
      <w:r w:rsidRPr="00726415">
        <w:rPr>
          <w:rFonts w:ascii="AvantGarde Bk BT" w:eastAsia="Arial Unicode MS" w:hAnsi="AvantGarde Bk BT" w:cs="Arial"/>
          <w:b/>
          <w:sz w:val="24"/>
          <w:szCs w:val="24"/>
          <w:u w:val="single"/>
          <w:lang w:eastAsia="es-ES"/>
        </w:rPr>
        <w:t xml:space="preserve">información reservada e información confidencial. </w:t>
      </w:r>
    </w:p>
    <w:p w14:paraId="2B730E27" w14:textId="77777777" w:rsidR="004076F7" w:rsidRPr="00726415" w:rsidRDefault="004076F7" w:rsidP="004076F7">
      <w:pPr>
        <w:autoSpaceDE w:val="0"/>
        <w:autoSpaceDN w:val="0"/>
        <w:adjustRightInd w:val="0"/>
        <w:spacing w:after="0" w:line="360" w:lineRule="auto"/>
        <w:ind w:firstLine="709"/>
        <w:jc w:val="both"/>
        <w:rPr>
          <w:rFonts w:ascii="AvantGarde Bk BT" w:eastAsia="Arial Unicode MS" w:hAnsi="AvantGarde Bk BT" w:cs="Arial"/>
          <w:b/>
          <w:sz w:val="24"/>
          <w:szCs w:val="24"/>
          <w:u w:val="single"/>
          <w:lang w:eastAsia="es-ES"/>
        </w:rPr>
      </w:pPr>
    </w:p>
    <w:p w14:paraId="77F2B5DF" w14:textId="77777777" w:rsidR="004076F7" w:rsidRPr="00726415" w:rsidRDefault="004076F7" w:rsidP="004076F7">
      <w:pPr>
        <w:spacing w:after="0" w:line="360" w:lineRule="auto"/>
        <w:ind w:firstLine="708"/>
        <w:jc w:val="both"/>
        <w:rPr>
          <w:rFonts w:ascii="AvantGarde Bk BT" w:eastAsia="Arial Unicode MS" w:hAnsi="AvantGarde Bk BT" w:cs="Arial"/>
          <w:b/>
          <w:sz w:val="24"/>
          <w:szCs w:val="24"/>
          <w:u w:val="single"/>
          <w:lang w:eastAsia="es-ES"/>
        </w:rPr>
      </w:pPr>
      <w:r w:rsidRPr="00726415">
        <w:rPr>
          <w:rFonts w:ascii="AvantGarde Bk BT" w:eastAsia="Arial Unicode MS" w:hAnsi="AvantGarde Bk BT" w:cs="Arial"/>
          <w:sz w:val="24"/>
          <w:szCs w:val="24"/>
          <w:lang w:eastAsia="es-ES"/>
        </w:rPr>
        <w:t xml:space="preserve">Supuestos los anteriores que se diferencian en tanto que, la </w:t>
      </w:r>
      <w:r w:rsidRPr="00726415">
        <w:rPr>
          <w:rFonts w:ascii="AvantGarde Bk BT" w:eastAsia="Arial Unicode MS" w:hAnsi="AvantGarde Bk BT" w:cs="Arial"/>
          <w:b/>
          <w:bCs/>
          <w:i/>
          <w:iCs/>
          <w:sz w:val="24"/>
          <w:szCs w:val="24"/>
          <w:u w:val="single"/>
          <w:lang w:eastAsia="es-ES"/>
        </w:rPr>
        <w:t>información confidencial</w:t>
      </w:r>
      <w:r w:rsidRPr="00726415">
        <w:rPr>
          <w:rStyle w:val="Refdenotaalpie"/>
          <w:rFonts w:ascii="AvantGarde Bk BT" w:eastAsia="Arial Unicode MS" w:hAnsi="AvantGarde Bk BT" w:cs="Arial"/>
        </w:rPr>
        <w:footnoteReference w:id="14"/>
      </w:r>
      <w:r w:rsidRPr="00726415">
        <w:rPr>
          <w:rFonts w:ascii="AvantGarde Bk BT" w:eastAsia="Arial Unicode MS" w:hAnsi="AvantGarde Bk BT" w:cs="Arial"/>
          <w:sz w:val="24"/>
          <w:szCs w:val="24"/>
          <w:lang w:eastAsia="es-ES"/>
        </w:rPr>
        <w:t xml:space="preserve">, se compone de datos que son inherentes a una persona identificada o identificable; la protección de dichos datos, no se encuentra sujeta a un plazo de tiempo determinado y </w:t>
      </w:r>
      <w:r w:rsidRPr="00726415">
        <w:rPr>
          <w:rFonts w:ascii="AvantGarde Bk BT" w:eastAsia="Arial Unicode MS" w:hAnsi="AvantGarde Bk BT" w:cs="Arial"/>
          <w:b/>
          <w:sz w:val="24"/>
          <w:szCs w:val="24"/>
          <w:u w:val="single"/>
          <w:lang w:eastAsia="es-ES"/>
        </w:rPr>
        <w:t>sólo podrán tener acceso a ella los titulares de la misma, sus representantes y los servidores públicos facultados para ello.</w:t>
      </w:r>
    </w:p>
    <w:p w14:paraId="353825B2" w14:textId="77777777" w:rsidR="004076F7" w:rsidRPr="00726415" w:rsidRDefault="004076F7" w:rsidP="004076F7">
      <w:pPr>
        <w:spacing w:after="0" w:line="360" w:lineRule="auto"/>
        <w:ind w:firstLine="708"/>
        <w:jc w:val="both"/>
        <w:rPr>
          <w:rFonts w:ascii="AvantGarde Bk BT" w:eastAsia="Arial Unicode MS" w:hAnsi="AvantGarde Bk BT" w:cs="Arial"/>
          <w:b/>
          <w:sz w:val="24"/>
          <w:szCs w:val="24"/>
          <w:u w:val="single"/>
          <w:lang w:eastAsia="es-ES"/>
        </w:rPr>
      </w:pPr>
    </w:p>
    <w:p w14:paraId="460AF6E7"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el catálogo de datos con carácter confidencial, la Ley de la materia, de manera enunciativa más no limitativa, establece que se considera información confidencial</w:t>
      </w:r>
      <w:r w:rsidRPr="00726415">
        <w:rPr>
          <w:rStyle w:val="Refdenotaalpie"/>
          <w:rFonts w:ascii="AvantGarde Bk BT" w:eastAsia="Arial Unicode MS" w:hAnsi="AvantGarde Bk BT" w:cs="Arial"/>
        </w:rPr>
        <w:footnoteReference w:id="15"/>
      </w:r>
      <w:r w:rsidRPr="00726415">
        <w:rPr>
          <w:rFonts w:ascii="AvantGarde Bk BT" w:eastAsia="Arial Unicode MS" w:hAnsi="AvantGarde Bk BT" w:cs="Arial"/>
          <w:sz w:val="24"/>
          <w:szCs w:val="24"/>
          <w:lang w:eastAsia="es-ES"/>
        </w:rPr>
        <w:t xml:space="preserve">: los secretos bancario, fiduciario, industrial, comercial, fiscal, bursátil y postal, cuya titularidad corresponda a particulares, sujetos de derecho internacional o a sujetos obligados </w:t>
      </w:r>
      <w:r w:rsidRPr="00726415">
        <w:rPr>
          <w:rFonts w:ascii="AvantGarde Bk BT" w:eastAsia="Arial Unicode MS" w:hAnsi="AvantGarde Bk BT" w:cs="Arial"/>
          <w:b/>
          <w:sz w:val="24"/>
          <w:szCs w:val="24"/>
          <w:u w:val="single"/>
          <w:lang w:eastAsia="es-ES"/>
        </w:rPr>
        <w:t>cuando no involucren el ejercicio de recursos públicos. Asimismo, será información confidencial aquella que presenten los particulares a los sujetos obligados,</w:t>
      </w:r>
      <w:r w:rsidRPr="00726415">
        <w:rPr>
          <w:rFonts w:ascii="AvantGarde Bk BT" w:eastAsia="Arial Unicode MS" w:hAnsi="AvantGarde Bk BT" w:cs="Arial"/>
          <w:sz w:val="24"/>
          <w:szCs w:val="24"/>
          <w:lang w:eastAsia="es-ES"/>
        </w:rPr>
        <w:t xml:space="preserve"> siempre que tengan el derecho a ello, de conformidad con lo dispuesto por las leyes o los tratados internacionales.</w:t>
      </w:r>
    </w:p>
    <w:p w14:paraId="2DAEE29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2936CF09"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Por su parte, la </w:t>
      </w:r>
      <w:r w:rsidRPr="00726415">
        <w:rPr>
          <w:rFonts w:ascii="AvantGarde Bk BT" w:eastAsia="Arial Unicode MS" w:hAnsi="AvantGarde Bk BT" w:cs="Arial"/>
          <w:bCs/>
          <w:i/>
          <w:iCs/>
          <w:sz w:val="24"/>
          <w:szCs w:val="24"/>
          <w:lang w:eastAsia="es-ES"/>
        </w:rPr>
        <w:t>información reservada</w:t>
      </w:r>
      <w:r w:rsidRPr="00726415">
        <w:rPr>
          <w:rStyle w:val="Refdenotaalpie"/>
          <w:rFonts w:ascii="AvantGarde Bk BT" w:eastAsia="Arial Unicode MS" w:hAnsi="AvantGarde Bk BT" w:cs="Arial"/>
        </w:rPr>
        <w:footnoteReference w:id="16"/>
      </w:r>
      <w:r w:rsidRPr="00726415">
        <w:rPr>
          <w:rFonts w:ascii="AvantGarde Bk BT" w:eastAsia="Arial Unicode MS" w:hAnsi="AvantGarde Bk BT" w:cs="Arial"/>
          <w:sz w:val="24"/>
          <w:szCs w:val="24"/>
          <w:lang w:eastAsia="es-ES"/>
        </w:rPr>
        <w:t>, es toda aquella que, una vez acreditados los elementos necesarios, los sujetos obligados determinan necesaria la restricción de su acceso al público, por un tiempo determinado; lo anterior en tanto que, con su publicación se pudiera causar una lesión al interés público. Como información reservada, podrá clasificarse aquella que actualice alguno de los supuestos del artículo 129 de la Ley de Transparencia Local</w:t>
      </w:r>
      <w:r w:rsidRPr="00726415">
        <w:rPr>
          <w:rStyle w:val="Refdenotaalpie"/>
          <w:rFonts w:ascii="AvantGarde Bk BT" w:eastAsia="Arial Unicode MS" w:hAnsi="AvantGarde Bk BT" w:cs="Arial"/>
        </w:rPr>
        <w:footnoteReference w:id="17"/>
      </w:r>
      <w:r w:rsidRPr="00726415">
        <w:rPr>
          <w:rFonts w:ascii="AvantGarde Bk BT" w:eastAsia="Arial Unicode MS" w:hAnsi="AvantGarde Bk BT" w:cs="Arial"/>
          <w:sz w:val="24"/>
          <w:szCs w:val="24"/>
          <w:lang w:eastAsia="es-ES"/>
        </w:rPr>
        <w:t>.</w:t>
      </w:r>
    </w:p>
    <w:p w14:paraId="36B15780"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4C768B10" w14:textId="77777777" w:rsidR="004076F7" w:rsidRPr="00726415" w:rsidRDefault="004076F7" w:rsidP="004076F7">
      <w:pPr>
        <w:spacing w:after="0" w:line="360" w:lineRule="auto"/>
        <w:ind w:firstLine="708"/>
        <w:jc w:val="both"/>
        <w:rPr>
          <w:rFonts w:ascii="AvantGarde Bk BT" w:hAnsi="AvantGarde Bk BT" w:cs="Arial"/>
          <w:sz w:val="24"/>
          <w:szCs w:val="24"/>
          <w:u w:val="single"/>
          <w:lang w:val="es-ES_tradnl"/>
        </w:rPr>
      </w:pPr>
      <w:r w:rsidRPr="00726415">
        <w:rPr>
          <w:rFonts w:ascii="AvantGarde Bk BT" w:eastAsia="Arial Unicode MS" w:hAnsi="AvantGarde Bk BT" w:cs="Arial"/>
          <w:sz w:val="24"/>
          <w:szCs w:val="24"/>
          <w:lang w:eastAsia="es-ES"/>
        </w:rPr>
        <w:t xml:space="preserve">A criterio de este Órgano Garante, </w:t>
      </w:r>
      <w:r w:rsidRPr="00726415">
        <w:rPr>
          <w:rFonts w:ascii="AvantGarde Bk BT" w:hAnsi="AvantGarde Bk BT" w:cs="Arial"/>
          <w:sz w:val="24"/>
          <w:szCs w:val="24"/>
        </w:rPr>
        <w:t xml:space="preserve">se arriba a la convicción de que </w:t>
      </w:r>
      <w:r w:rsidRPr="00726415">
        <w:rPr>
          <w:rFonts w:ascii="AvantGarde Bk BT" w:hAnsi="AvantGarde Bk BT" w:cs="Arial"/>
          <w:b/>
          <w:sz w:val="24"/>
          <w:szCs w:val="24"/>
        </w:rPr>
        <w:t xml:space="preserve">el sujeto </w:t>
      </w:r>
      <w:r w:rsidRPr="00726415">
        <w:rPr>
          <w:rFonts w:ascii="AvantGarde Bk BT" w:eastAsia="Arial Unicode MS" w:hAnsi="AvantGarde Bk BT" w:cs="Arial"/>
          <w:b/>
          <w:sz w:val="24"/>
          <w:szCs w:val="24"/>
          <w:lang w:eastAsia="es-ES"/>
        </w:rPr>
        <w:t>obligado fue omiso en aplicar de manera restrictiva y limitada, la negativa al acceso a la información,</w:t>
      </w:r>
      <w:r w:rsidRPr="00726415">
        <w:rPr>
          <w:rFonts w:ascii="AvantGarde Bk BT" w:eastAsia="Arial Unicode MS" w:hAnsi="AvantGarde Bk BT" w:cs="Arial"/>
          <w:sz w:val="24"/>
          <w:szCs w:val="24"/>
          <w:lang w:eastAsia="es-ES"/>
        </w:rPr>
        <w:t xml:space="preserve"> aduciendo únicamente que lo requerido es considerado información confidencial, </w:t>
      </w:r>
      <w:r w:rsidRPr="00726415">
        <w:rPr>
          <w:rFonts w:ascii="AvantGarde Bk BT" w:eastAsia="Arial Unicode MS" w:hAnsi="AvantGarde Bk BT" w:cs="Arial"/>
          <w:sz w:val="24"/>
          <w:szCs w:val="24"/>
          <w:u w:val="single"/>
          <w:lang w:eastAsia="es-ES"/>
        </w:rPr>
        <w:t xml:space="preserve">inobservando los preceptos legales 114, 119, 120, 123, 128, 138, 142 y 159 de la Ley de Transparencia y Acceso a la Información Pública, así como lo previsto en los </w:t>
      </w:r>
      <w:r w:rsidRPr="00726415">
        <w:rPr>
          <w:rFonts w:ascii="AvantGarde Bk BT" w:hAnsi="AvantGarde Bk BT" w:cs="Arial"/>
          <w:sz w:val="24"/>
          <w:szCs w:val="24"/>
          <w:u w:val="single"/>
          <w:lang w:val="es-ES_tradnl"/>
        </w:rPr>
        <w:t>Lineamientos Generales en Materia de Clasificación y Desclasificación de la Información, así como para la Elaboración de Versiones Públicas.</w:t>
      </w:r>
    </w:p>
    <w:p w14:paraId="7AC1BC2D"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u w:val="single"/>
          <w:lang w:eastAsia="es-ES"/>
        </w:rPr>
      </w:pPr>
    </w:p>
    <w:p w14:paraId="755D029B"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u w:val="single"/>
          <w:lang w:eastAsia="es-ES"/>
        </w:rPr>
      </w:pPr>
      <w:r w:rsidRPr="00726415">
        <w:rPr>
          <w:rFonts w:ascii="AvantGarde Bk BT" w:eastAsia="Arial Unicode MS" w:hAnsi="AvantGarde Bk BT" w:cs="Arial"/>
          <w:sz w:val="24"/>
          <w:szCs w:val="24"/>
          <w:lang w:eastAsia="es-ES"/>
        </w:rPr>
        <w:t>Existe aseveración de lo anterior, toda vez que, la autoridad no justificó la negativa de acceso a la información conforme lo previsto en el artículo 119</w:t>
      </w:r>
      <w:r w:rsidRPr="00726415">
        <w:rPr>
          <w:rStyle w:val="Refdenotaalpie"/>
          <w:rFonts w:ascii="AvantGarde Bk BT" w:eastAsia="Arial Unicode MS" w:hAnsi="AvantGarde Bk BT" w:cs="Arial"/>
        </w:rPr>
        <w:footnoteReference w:id="18"/>
      </w:r>
      <w:r w:rsidRPr="00726415">
        <w:rPr>
          <w:rFonts w:ascii="AvantGarde Bk BT" w:eastAsia="Arial Unicode MS" w:hAnsi="AvantGarde Bk BT" w:cs="Arial"/>
          <w:sz w:val="24"/>
          <w:szCs w:val="24"/>
          <w:lang w:eastAsia="es-ES"/>
        </w:rPr>
        <w:t xml:space="preserve"> del ordenamiento legal en comento; ello, debido a que tal restricción fue aplicada de manera amplía, puesto que el obligado únicamente se limitó a señalar la situación prevista en el artículo 138 de la Ley de la materia es decir, la confidencialidad de lo solicitado, sin que se haya encuadrado conforme la naturaleza de la información, esto es, acorde a lo previsto en el lineamiento</w:t>
      </w:r>
      <w:r w:rsidRPr="00726415">
        <w:rPr>
          <w:rStyle w:val="Refdenotaalpie"/>
          <w:rFonts w:ascii="AvantGarde Bk BT" w:eastAsia="Arial Unicode MS" w:hAnsi="AvantGarde Bk BT" w:cs="Arial"/>
        </w:rPr>
        <w:footnoteReference w:id="19"/>
      </w:r>
      <w:r w:rsidRPr="00726415">
        <w:rPr>
          <w:rFonts w:ascii="AvantGarde Bk BT" w:eastAsia="Arial Unicode MS" w:hAnsi="AvantGarde Bk BT" w:cs="Arial"/>
          <w:sz w:val="24"/>
          <w:szCs w:val="24"/>
          <w:lang w:eastAsia="es-ES"/>
        </w:rPr>
        <w:t xml:space="preserve"> trigésimo octavo</w:t>
      </w:r>
      <w:r w:rsidRPr="00726415">
        <w:rPr>
          <w:rStyle w:val="Refdenotaalpie"/>
          <w:rFonts w:ascii="AvantGarde Bk BT" w:eastAsia="Arial Unicode MS" w:hAnsi="AvantGarde Bk BT" w:cs="Arial"/>
        </w:rPr>
        <w:footnoteReference w:id="20"/>
      </w:r>
      <w:r w:rsidRPr="00726415">
        <w:rPr>
          <w:rFonts w:ascii="AvantGarde Bk BT" w:eastAsia="Arial Unicode MS" w:hAnsi="AvantGarde Bk BT" w:cs="Arial"/>
          <w:sz w:val="24"/>
          <w:szCs w:val="24"/>
          <w:lang w:eastAsia="es-ES"/>
        </w:rPr>
        <w:t xml:space="preserve"> de los </w:t>
      </w:r>
      <w:r w:rsidRPr="00726415">
        <w:rPr>
          <w:rFonts w:ascii="AvantGarde Bk BT" w:hAnsi="AvantGarde Bk BT" w:cs="Arial"/>
          <w:sz w:val="24"/>
          <w:szCs w:val="24"/>
          <w:lang w:val="es-ES_tradnl"/>
        </w:rPr>
        <w:t xml:space="preserve">Lineamientos </w:t>
      </w:r>
      <w:r w:rsidRPr="00726415">
        <w:rPr>
          <w:rFonts w:ascii="AvantGarde Bk BT" w:hAnsi="AvantGarde Bk BT" w:cs="Arial"/>
          <w:sz w:val="24"/>
          <w:szCs w:val="24"/>
          <w:lang w:val="es-ES_tradnl"/>
        </w:rPr>
        <w:lastRenderedPageBreak/>
        <w:t xml:space="preserve">Generales en Materia de Clasificación y Desclasificación de la Información, así como para la Elaboración de Versiones Públicas, </w:t>
      </w:r>
      <w:r w:rsidRPr="00726415">
        <w:rPr>
          <w:rFonts w:ascii="AvantGarde Bk BT" w:hAnsi="AvantGarde Bk BT" w:cs="Arial"/>
          <w:sz w:val="24"/>
          <w:szCs w:val="24"/>
          <w:u w:val="single"/>
          <w:lang w:val="es-ES_tradnl"/>
        </w:rPr>
        <w:t xml:space="preserve">a través de la justificación </w:t>
      </w:r>
      <w:r w:rsidRPr="00726415">
        <w:rPr>
          <w:rFonts w:ascii="AvantGarde Bk BT" w:eastAsia="Arial Unicode MS" w:hAnsi="AvantGarde Bk BT" w:cs="Arial"/>
          <w:sz w:val="24"/>
          <w:szCs w:val="24"/>
          <w:u w:val="single"/>
          <w:lang w:eastAsia="es-ES"/>
        </w:rPr>
        <w:t>de manera fundada y motivada, la negativa de acceso a la información concedida en la respuesta que por este medio se impugna.</w:t>
      </w:r>
    </w:p>
    <w:p w14:paraId="0C39E2AE"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23B9F61E"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correlación con lo anterior, se tiene que la Ley de Transparencia y Acceso a la Información Pública del Estado de San Luis Potosí, vigente, a través de su artículo 123</w:t>
      </w:r>
      <w:r w:rsidRPr="00726415">
        <w:rPr>
          <w:rStyle w:val="Refdenotaalpie"/>
          <w:rFonts w:ascii="AvantGarde Bk BT" w:eastAsia="Arial Unicode MS" w:hAnsi="AvantGarde Bk BT" w:cs="Arial"/>
        </w:rPr>
        <w:footnoteReference w:id="21"/>
      </w:r>
      <w:r w:rsidRPr="00726415">
        <w:rPr>
          <w:rFonts w:ascii="AvantGarde Bk BT" w:eastAsia="Arial Unicode MS" w:hAnsi="AvantGarde Bk BT" w:cs="Arial"/>
          <w:sz w:val="24"/>
          <w:szCs w:val="24"/>
          <w:lang w:eastAsia="es-ES"/>
        </w:rPr>
        <w:t>, contempla la obligatoriedad en la observancia y aplicación de los Lineamientos que en materia de clasificación de la información, emitió el Sistema Nacional de Transparencia, a que hacía referencia la Ley General de Transparencia y Acceso a la Información Pública publicada en la Edición Vespertina del Diario Oficial de la Federación, el lunes 04 cuatro de mayo de 2015 dos mil quince.</w:t>
      </w:r>
    </w:p>
    <w:p w14:paraId="3023ACA0"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3A233C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Sin embargo, no pasa inadvertido para este Órgano </w:t>
      </w:r>
      <w:proofErr w:type="spellStart"/>
      <w:r w:rsidRPr="00726415">
        <w:rPr>
          <w:rFonts w:ascii="AvantGarde Bk BT" w:eastAsia="Arial Unicode MS" w:hAnsi="AvantGarde Bk BT" w:cs="Arial"/>
          <w:sz w:val="24"/>
          <w:szCs w:val="24"/>
          <w:lang w:eastAsia="es-ES"/>
        </w:rPr>
        <w:t>Resolutor</w:t>
      </w:r>
      <w:proofErr w:type="spellEnd"/>
      <w:r w:rsidRPr="00726415">
        <w:rPr>
          <w:rFonts w:ascii="AvantGarde Bk BT" w:eastAsia="Arial Unicode MS" w:hAnsi="AvantGarde Bk BT" w:cs="Arial"/>
          <w:sz w:val="24"/>
          <w:szCs w:val="24"/>
          <w:lang w:eastAsia="es-ES"/>
        </w:rPr>
        <w:t>, que mediante publicación en el Diario Oficial de 20 veinte de marzo de 2025 dos mil veinticinco, se expidió la Ley General de Transparencia y Acceso a la Información Pública; y, entre otras circunstancias, abrogó la Ley General publicada en el Diario Oficial de la Federación, el 04 cuatro de mayo de 2015 dos mil quince; sin que, a través de los artículos transitorios determinara el destino de las Leyes y Reglamentos secundarios, derivados de la Ley extinta.</w:t>
      </w:r>
    </w:p>
    <w:p w14:paraId="60A9B907"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A2C29E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A este respecto, es importante destacar que, los lineamientos comparten naturaleza con los reglamentos, mismos que son disposiciones generales, imperativas y abstractas que detallan las hipótesis y supuestos normativos de aplicación de una ley expedida por el Congreso de la Unión.</w:t>
      </w:r>
    </w:p>
    <w:p w14:paraId="3B50F72F"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lastRenderedPageBreak/>
        <w:t xml:space="preserve"> </w:t>
      </w:r>
    </w:p>
    <w:p w14:paraId="2C27A59C" w14:textId="77777777" w:rsidR="004076F7" w:rsidRPr="00726415" w:rsidRDefault="004076F7" w:rsidP="004076F7">
      <w:pPr>
        <w:spacing w:after="0" w:line="240" w:lineRule="auto"/>
        <w:ind w:left="1134" w:right="616"/>
        <w:jc w:val="both"/>
        <w:rPr>
          <w:rFonts w:ascii="AvantGarde Bk BT" w:eastAsia="Arial Unicode MS" w:hAnsi="AvantGarde Bk BT" w:cs="Arial"/>
          <w:lang w:eastAsia="es-ES"/>
        </w:rPr>
      </w:pPr>
      <w:r w:rsidRPr="00726415">
        <w:rPr>
          <w:rFonts w:ascii="AvantGarde Bk BT" w:eastAsia="Arial Unicode MS" w:hAnsi="AvantGarde Bk BT" w:cs="Arial"/>
          <w:lang w:eastAsia="es-ES"/>
        </w:rPr>
        <w:t>“I. (De reglar y éste. a su vez. del latín regulare.) Es una norma de carácter general, abstracta e impersonal expedida por el titular del Poder Ejecutivo, con la finalidad de lograr la aplicación de una ley previa. El reglamento es producto de la facultad reglamentaria contenida en el artículo 89, fracción I de la Constitución que encomienda al presidente de la República la facultad para proveer, en la esfera administrativa, a la exacta observancia de la ley.”</w:t>
      </w:r>
      <w:r w:rsidRPr="00726415">
        <w:rPr>
          <w:rStyle w:val="Refdenotaalpie"/>
          <w:rFonts w:ascii="AvantGarde Bk BT" w:eastAsia="Arial Unicode MS" w:hAnsi="AvantGarde Bk BT" w:cs="Arial"/>
        </w:rPr>
        <w:footnoteReference w:id="22"/>
      </w:r>
      <w:r w:rsidRPr="00726415">
        <w:rPr>
          <w:rFonts w:ascii="AvantGarde Bk BT" w:eastAsia="Arial Unicode MS" w:hAnsi="AvantGarde Bk BT" w:cs="Arial"/>
          <w:lang w:eastAsia="es-ES"/>
        </w:rPr>
        <w:t xml:space="preserve"> </w:t>
      </w:r>
    </w:p>
    <w:p w14:paraId="08091BDB"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07E4D4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Desde el punto de vista formal, el reglamento es un acto administrativo al provenir del Poder Ejecutivo y desde el punto de vista material es un acto legislativo, atento a que mediante el reglamento se crean disposiciones generales abstractas e impersonales que tienen por Objeto la ejecución pormenorizada de una ley emitida formal y materialmente por el Congreso de la Unión, pero sin que sea posible que el reglamento exceda del alcance del precepto reglamentado, contraríe o altere sus disposiciones por ser precisamente dicho precepto su medida y justificación. </w:t>
      </w:r>
    </w:p>
    <w:p w14:paraId="70E2B586" w14:textId="3E42657E" w:rsidR="004076F7" w:rsidRPr="00726415" w:rsidRDefault="004076F7" w:rsidP="00F0140D">
      <w:pPr>
        <w:spacing w:after="0" w:line="360" w:lineRule="auto"/>
        <w:jc w:val="both"/>
        <w:rPr>
          <w:rFonts w:ascii="AvantGarde Bk BT" w:eastAsia="Arial Unicode MS" w:hAnsi="AvantGarde Bk BT" w:cs="Arial"/>
          <w:sz w:val="24"/>
          <w:szCs w:val="24"/>
          <w:lang w:eastAsia="es-ES"/>
        </w:rPr>
      </w:pPr>
    </w:p>
    <w:p w14:paraId="445AD1F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relación con lo anterior, puede afirmarse que la ley puede existir y tener plena validez sin que haya disposiciones que la reglamenten, en tanto que el reglamento supone siempre la preexistencia de una ley cuyos principios desarrolla y a los cuales está subordinado. </w:t>
      </w:r>
    </w:p>
    <w:p w14:paraId="6B36979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2861B2E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lo referente al reglamento, el tratadista Andrés Serra Rojas, establece un amplio concepto al señalar: </w:t>
      </w:r>
    </w:p>
    <w:p w14:paraId="47181883" w14:textId="77777777" w:rsidR="004076F7" w:rsidRPr="00726415" w:rsidRDefault="004076F7" w:rsidP="004076F7">
      <w:pPr>
        <w:spacing w:after="0" w:line="240" w:lineRule="auto"/>
        <w:ind w:left="1134" w:right="1183"/>
        <w:jc w:val="both"/>
        <w:rPr>
          <w:rFonts w:ascii="AvantGarde Bk BT" w:eastAsia="Arial Unicode MS" w:hAnsi="AvantGarde Bk BT" w:cs="Arial"/>
          <w:lang w:eastAsia="es-ES"/>
        </w:rPr>
      </w:pPr>
    </w:p>
    <w:p w14:paraId="02712AF7"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r w:rsidRPr="00726415">
        <w:rPr>
          <w:rFonts w:ascii="AvantGarde Bk BT" w:eastAsia="Arial Unicode MS" w:hAnsi="AvantGarde Bk BT" w:cs="Arial"/>
          <w:lang w:eastAsia="es-ES"/>
        </w:rPr>
        <w:t>"</w:t>
      </w:r>
      <w:r w:rsidRPr="00726415">
        <w:rPr>
          <w:rFonts w:ascii="AvantGarde Bk BT" w:eastAsia="Arial Unicode MS" w:hAnsi="AvantGarde Bk BT" w:cs="Arial"/>
          <w:i/>
          <w:lang w:eastAsia="es-ES"/>
        </w:rPr>
        <w:t>El reglamento es el conjunto de normas administrativas, subordinadas a la ley, obligatorias generales e impersonales, expedidas unilateral y espontáneamente por el Presidente de la República, o por la Asamblea de Representantes del Distrito Federal en virtud de facultades que le han sido expresamente conferidas por la Constitución o que resultan implícitamente del ejercicio del Poder Ejecutivo.</w:t>
      </w:r>
    </w:p>
    <w:p w14:paraId="4A8A033F"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p>
    <w:p w14:paraId="2BAB669A" w14:textId="77777777" w:rsidR="004076F7" w:rsidRPr="00726415" w:rsidRDefault="004076F7" w:rsidP="004076F7">
      <w:pPr>
        <w:spacing w:after="0" w:line="240" w:lineRule="auto"/>
        <w:ind w:left="1134" w:right="1183"/>
        <w:jc w:val="both"/>
        <w:rPr>
          <w:rFonts w:ascii="AvantGarde Bk BT" w:eastAsia="Arial Unicode MS" w:hAnsi="AvantGarde Bk BT" w:cs="Arial"/>
          <w:lang w:eastAsia="es-ES"/>
        </w:rPr>
      </w:pPr>
      <w:r w:rsidRPr="00726415">
        <w:rPr>
          <w:rFonts w:ascii="AvantGarde Bk BT" w:eastAsia="Arial Unicode MS" w:hAnsi="AvantGarde Bk BT" w:cs="Arial"/>
          <w:i/>
          <w:lang w:eastAsia="es-ES"/>
        </w:rPr>
        <w:t>Ese conjunto de normas en número superior al de las leyes son creadoras de una situación jurídica general, abstracta, que en ningún caso regula una situación jurídica concreta y son dictadas para la atención pormenorizada de los servicios públicos, para la ejecución de una ley, y para los demás fines de la Administración Pública</w:t>
      </w:r>
      <w:r w:rsidRPr="00726415">
        <w:rPr>
          <w:rFonts w:ascii="AvantGarde Bk BT" w:eastAsia="Arial Unicode MS" w:hAnsi="AvantGarde Bk BT" w:cs="Arial"/>
          <w:lang w:eastAsia="es-ES"/>
        </w:rPr>
        <w:t>"</w:t>
      </w:r>
      <w:r w:rsidRPr="00726415">
        <w:rPr>
          <w:rStyle w:val="Refdenotaalpie"/>
          <w:rFonts w:ascii="AvantGarde Bk BT" w:eastAsia="Arial Unicode MS" w:hAnsi="AvantGarde Bk BT" w:cs="Arial"/>
        </w:rPr>
        <w:footnoteReference w:id="23"/>
      </w:r>
    </w:p>
    <w:p w14:paraId="698BDCD6" w14:textId="77777777" w:rsidR="004076F7" w:rsidRPr="00726415" w:rsidRDefault="004076F7" w:rsidP="004076F7">
      <w:pPr>
        <w:spacing w:after="0" w:line="360" w:lineRule="auto"/>
        <w:ind w:firstLine="708"/>
        <w:jc w:val="both"/>
        <w:rPr>
          <w:rFonts w:ascii="AvantGarde Bk BT" w:eastAsia="Arial Unicode MS" w:hAnsi="AvantGarde Bk BT" w:cs="Arial"/>
          <w:i/>
          <w:sz w:val="24"/>
          <w:szCs w:val="24"/>
          <w:lang w:eastAsia="es-ES"/>
        </w:rPr>
      </w:pPr>
    </w:p>
    <w:p w14:paraId="35A3F51B"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lastRenderedPageBreak/>
        <w:t xml:space="preserve">Todo </w:t>
      </w:r>
      <w:r w:rsidRPr="00726415">
        <w:rPr>
          <w:rFonts w:ascii="AvantGarde Bk BT" w:eastAsia="Arial Unicode MS" w:hAnsi="AvantGarde Bk BT" w:cs="Arial"/>
          <w:sz w:val="24"/>
          <w:szCs w:val="24"/>
          <w:u w:val="single"/>
          <w:lang w:eastAsia="es-ES"/>
        </w:rPr>
        <w:t>reglamento es una norma que complementa y amplía el contenido de una ley</w:t>
      </w:r>
      <w:r w:rsidRPr="00726415">
        <w:rPr>
          <w:rFonts w:ascii="AvantGarde Bk BT" w:eastAsia="Arial Unicode MS" w:hAnsi="AvantGarde Bk BT" w:cs="Arial"/>
          <w:sz w:val="24"/>
          <w:szCs w:val="24"/>
          <w:lang w:eastAsia="es-ES"/>
        </w:rPr>
        <w:t xml:space="preserve">, por lo que jerárquicamente aquél está subordinado a ésta y corre la misma suerte, de tal manera que si una leyes reformada, derogada o abrogada, el reglamento se verá afectado con las mismas consecuencias a pesar de que no se hubiere reformado, derogado o abrogado expresamente por otro reglamento, ya que éste no goza de la autoridad formal de una ley. </w:t>
      </w:r>
    </w:p>
    <w:p w14:paraId="6DFECDD8"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32BCAC8"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El Dr. Ignacio Burgoa Orihuela en su obra “Derecho Constitucional Mexicano", al definir al reglamento sostiene: </w:t>
      </w:r>
    </w:p>
    <w:p w14:paraId="220F497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F829999" w14:textId="77777777" w:rsidR="004076F7" w:rsidRPr="00726415" w:rsidRDefault="004076F7" w:rsidP="004076F7">
      <w:pPr>
        <w:spacing w:after="0" w:line="240" w:lineRule="auto"/>
        <w:ind w:left="1134" w:right="616"/>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 ... </w:t>
      </w:r>
      <w:r w:rsidRPr="00726415">
        <w:rPr>
          <w:rFonts w:ascii="AvantGarde Bk BT" w:eastAsia="Arial Unicode MS" w:hAnsi="AvantGarde Bk BT" w:cs="Arial"/>
          <w:i/>
          <w:lang w:eastAsia="es-ES"/>
        </w:rPr>
        <w:t>se manifiesta en la expedición de normas jurídicas abstractas, generales e impersonales cuyo objetivo estriba en pormenorizar o detallar las leyes de contenido administrativo que dicte el Congreso de la Unión para conseguir su mejor y más adecuada aplicación en los diferentes ramos que regulan</w:t>
      </w:r>
      <w:r w:rsidRPr="00726415">
        <w:rPr>
          <w:rFonts w:ascii="AvantGarde Bk BT" w:eastAsia="Arial Unicode MS" w:hAnsi="AvantGarde Bk BT" w:cs="Arial"/>
          <w:lang w:eastAsia="es-ES"/>
        </w:rPr>
        <w:t xml:space="preserve">." </w:t>
      </w:r>
      <w:r w:rsidRPr="00726415">
        <w:rPr>
          <w:rStyle w:val="Refdenotaalpie"/>
          <w:rFonts w:ascii="AvantGarde Bk BT" w:eastAsia="Arial Unicode MS" w:hAnsi="AvantGarde Bk BT" w:cs="Arial"/>
        </w:rPr>
        <w:footnoteReference w:id="24"/>
      </w:r>
    </w:p>
    <w:p w14:paraId="104B58F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5A132DB"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consecuencia, puede afirmarse que el reglamento es una manifestación unilateral de la voluntad del Poder Ejecutivo, ya sea federal o local, según el ámbito de competencia correspondiente a cada uno de ellos, creadora de normas jurídicas generales que desarrollan los principios de una ley a fin de facilitar su ejecución y observancia en la esfera administrativa. </w:t>
      </w:r>
    </w:p>
    <w:p w14:paraId="0428D2B4"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2D28006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Existen dos diferencias esenciales entre la ley y el reglamento, consistentes en el procedimiento de creación de ambos ordenamientos y en la jerarquía; los reglamentos son exclusivamente promulgados por los titulares del Poder Ejecutivo federal o local y son de menor jerarquía que las leyes a las cuales no deben contravenir ni desbordar. Los reglamentos son actos facultados al Poder Ejecutivo por razones lógicas, ya que la atribución genérica de crear las leyes conlleva el reconocimiento de permitirle cómo ejecutarlas. </w:t>
      </w:r>
    </w:p>
    <w:p w14:paraId="72A383E5"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0607CF4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Sobre este particular, el jurista mexicano Mariano Coronado señala refiriéndose a la Constitución de 1857 que la diferencia sustancial entre la ley y el reglamento: </w:t>
      </w:r>
    </w:p>
    <w:p w14:paraId="74A847AF" w14:textId="77777777" w:rsidR="004076F7" w:rsidRPr="00726415" w:rsidRDefault="004076F7" w:rsidP="004076F7">
      <w:pPr>
        <w:spacing w:after="0" w:line="240" w:lineRule="auto"/>
        <w:ind w:left="1134" w:right="1183"/>
        <w:jc w:val="both"/>
        <w:rPr>
          <w:rFonts w:ascii="AvantGarde Bk BT" w:eastAsia="Arial Unicode MS" w:hAnsi="AvantGarde Bk BT" w:cs="Arial"/>
          <w:lang w:eastAsia="es-ES"/>
        </w:rPr>
      </w:pPr>
      <w:r w:rsidRPr="00726415">
        <w:rPr>
          <w:rFonts w:ascii="AvantGarde Bk BT" w:eastAsia="Arial Unicode MS" w:hAnsi="AvantGarde Bk BT" w:cs="Arial"/>
          <w:lang w:eastAsia="es-ES"/>
        </w:rPr>
        <w:t>"</w:t>
      </w:r>
      <w:r w:rsidRPr="00726415">
        <w:rPr>
          <w:rFonts w:ascii="AvantGarde Bk BT" w:eastAsia="Arial Unicode MS" w:hAnsi="AvantGarde Bk BT" w:cs="Arial"/>
          <w:i/>
          <w:lang w:eastAsia="es-ES"/>
        </w:rPr>
        <w:t xml:space="preserve">El reglamento difiere de la ley en que ésta establece principios, y aquél los desarrolla; ésta es perpetua, aquél varía según las circunstancias; </w:t>
      </w:r>
      <w:r w:rsidRPr="00726415">
        <w:rPr>
          <w:rFonts w:ascii="AvantGarde Bk BT" w:eastAsia="Arial Unicode MS" w:hAnsi="AvantGarde Bk BT" w:cs="Arial"/>
          <w:i/>
          <w:lang w:eastAsia="es-ES"/>
        </w:rPr>
        <w:lastRenderedPageBreak/>
        <w:t>ésta manda, aquél obedece; el reglamento, por lo tanto, no puede usurpar el dominio de la ley, imponiendo penas, creando impuestos, organizando los poderes públicos, etcétera. Se limita a desenvolver los principios de la ley, a fijar los pormenores que directamente se derivan de sus preceptos. En suma, el Presidente, como jefe supremo de la Administración Federal, dispone y resuelve lo conveniente para el buen despacho de ella. Por descontado se entiende que los reglamentos y demás disposiciones del Ejecutivo no han de contrariar la ley, puesto que tiene que proveer a su exacta observancia</w:t>
      </w:r>
      <w:r w:rsidRPr="00726415">
        <w:rPr>
          <w:rFonts w:ascii="AvantGarde Bk BT" w:eastAsia="Arial Unicode MS" w:hAnsi="AvantGarde Bk BT" w:cs="Arial"/>
          <w:lang w:eastAsia="es-ES"/>
        </w:rPr>
        <w:t xml:space="preserve">." </w:t>
      </w:r>
      <w:r w:rsidRPr="00726415">
        <w:rPr>
          <w:rStyle w:val="Refdenotaalpie"/>
          <w:rFonts w:ascii="AvantGarde Bk BT" w:eastAsia="Arial Unicode MS" w:hAnsi="AvantGarde Bk BT" w:cs="Arial"/>
        </w:rPr>
        <w:footnoteReference w:id="25"/>
      </w:r>
    </w:p>
    <w:p w14:paraId="76D303CD"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1845B9C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El reglamento encuentra sustento en el hecho de que las leyes por su propia naturaleza no pueden prever todos los supuestos posibles, debido en gran manera a que su grado de generalidad y abstracción debe ser amplio, por lo tanto, los reglamentos tienden a detallar los supuestos previstos en la ley para que la individualización y aplicación del orden jurídico sea clara y efectiva. </w:t>
      </w:r>
    </w:p>
    <w:p w14:paraId="45F5975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9BC6C80"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Los reglamentos son de naturaleza secundaria, toda vez </w:t>
      </w:r>
      <w:proofErr w:type="gramStart"/>
      <w:r w:rsidRPr="00726415">
        <w:rPr>
          <w:rFonts w:ascii="AvantGarde Bk BT" w:eastAsia="Arial Unicode MS" w:hAnsi="AvantGarde Bk BT" w:cs="Arial"/>
          <w:sz w:val="24"/>
          <w:szCs w:val="24"/>
          <w:lang w:eastAsia="es-ES"/>
        </w:rPr>
        <w:t>que</w:t>
      </w:r>
      <w:proofErr w:type="gramEnd"/>
      <w:r w:rsidRPr="00726415">
        <w:rPr>
          <w:rFonts w:ascii="AvantGarde Bk BT" w:eastAsia="Arial Unicode MS" w:hAnsi="AvantGarde Bk BT" w:cs="Arial"/>
          <w:sz w:val="24"/>
          <w:szCs w:val="24"/>
          <w:lang w:eastAsia="es-ES"/>
        </w:rPr>
        <w:t xml:space="preserve"> en el esquema de la jerarquía de las leyes, se ubican en rango inferior tanto de la Constitución como de las leyes que expide el Congreso de la Unión, y son accesorios en cuanto a que su vida depende del principal, es decir la ley que pormenorizan, por lo cual el reglamento estará vigente mientras la ley conserve su vigencia. </w:t>
      </w:r>
    </w:p>
    <w:p w14:paraId="4C9B60A9"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FD81E77" w14:textId="4D3C615F"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Así, puede afirmarse que es competencia exclusiva de la ley la determinación del qué, quién, dónde y cuándo de una situación jurídica general, hipotética y abstracta, al reglamento de ejecución competerá, por consecuencia, el “cómo” de esos mismos supuestos, es decir, </w:t>
      </w:r>
      <w:r w:rsidRPr="00726415">
        <w:rPr>
          <w:rFonts w:ascii="AvantGarde Bk BT" w:eastAsia="Arial Unicode MS" w:hAnsi="AvantGarde Bk BT" w:cs="Arial"/>
          <w:sz w:val="24"/>
          <w:szCs w:val="24"/>
          <w:u w:val="single"/>
          <w:lang w:eastAsia="es-ES"/>
        </w:rPr>
        <w:t>el reglamento desenvuelve su obligatoriedad a partir de un principio definido por la ley</w:t>
      </w:r>
      <w:r w:rsidRPr="00726415">
        <w:rPr>
          <w:rFonts w:ascii="AvantGarde Bk BT" w:eastAsia="Arial Unicode MS" w:hAnsi="AvantGarde Bk BT" w:cs="Arial"/>
          <w:sz w:val="24"/>
          <w:szCs w:val="24"/>
          <w:lang w:eastAsia="es-ES"/>
        </w:rPr>
        <w:t xml:space="preserve"> y, por tanto, no puede ir más allá de ella, ni extenderla a supuestos distintos, ni mucho menos contradecirla; luego entonces, el reglamento no puede ser utilizado como instrumento para llenar lagunas de la ley, ni para reformarla o, tampoco, para remediar el olvido o la omisión. Por tal motivo, si el reglamento debe contraerse a indicar los medios para cumplir la ley, no está entonces permitido</w:t>
      </w:r>
      <w:r w:rsidR="00F0140D" w:rsidRPr="00726415">
        <w:rPr>
          <w:rFonts w:ascii="AvantGarde Bk BT" w:eastAsia="Arial Unicode MS" w:hAnsi="AvantGarde Bk BT" w:cs="Arial"/>
          <w:sz w:val="24"/>
          <w:szCs w:val="24"/>
          <w:lang w:eastAsia="es-ES"/>
        </w:rPr>
        <w:t>,</w:t>
      </w:r>
      <w:r w:rsidRPr="00726415">
        <w:rPr>
          <w:rFonts w:ascii="AvantGarde Bk BT" w:eastAsia="Arial Unicode MS" w:hAnsi="AvantGarde Bk BT" w:cs="Arial"/>
          <w:sz w:val="24"/>
          <w:szCs w:val="24"/>
          <w:lang w:eastAsia="es-ES"/>
        </w:rPr>
        <w:t xml:space="preserve"> </w:t>
      </w:r>
      <w:proofErr w:type="gramStart"/>
      <w:r w:rsidRPr="00726415">
        <w:rPr>
          <w:rFonts w:ascii="AvantGarde Bk BT" w:eastAsia="Arial Unicode MS" w:hAnsi="AvantGarde Bk BT" w:cs="Arial"/>
          <w:sz w:val="24"/>
          <w:szCs w:val="24"/>
          <w:lang w:eastAsia="es-ES"/>
        </w:rPr>
        <w:t>que</w:t>
      </w:r>
      <w:proofErr w:type="gramEnd"/>
      <w:r w:rsidRPr="00726415">
        <w:rPr>
          <w:rFonts w:ascii="AvantGarde Bk BT" w:eastAsia="Arial Unicode MS" w:hAnsi="AvantGarde Bk BT" w:cs="Arial"/>
          <w:sz w:val="24"/>
          <w:szCs w:val="24"/>
          <w:lang w:eastAsia="es-ES"/>
        </w:rPr>
        <w:t xml:space="preserve"> a través de la facultad reglamentaria del ejecutivo, se cree una disposición que otorgue mayores alcances o imponga diversas ¡imitantes que la propia norma que se pretende reglamentar. </w:t>
      </w:r>
    </w:p>
    <w:p w14:paraId="2115AAB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57435FD6"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lo concerniente a la fuerza jurídica del reglamento y la ley, la doctrina sostiene que ésta es la expresión de la soberanía del pueblo y su aplicación es incondicional por no estar ligada a norma alguna que no sea la constitución, en cambio el reglamento se encuentra subordinado a la ley, por lo que la aplicación del mismo no tiene el carácter de incondicional sino que por el contrario se encuentra limitado por la norma emitida con sujeción al proceso legislativo, de donde se sigue, que si bien tanto el reglamento como la ley producen situaciones de carácter general y abstracto, ésta es en esencia superior a las disposiciones del reglamento, dado que el mismo no puede modificar o derogar el orden creado por la ley, toda vez que la existencia de las disposiciones reglamentarias se encuentra condicionada a la ley y su finalidad consiste en desarrollar las disposiciones de ésta. </w:t>
      </w:r>
    </w:p>
    <w:p w14:paraId="4EC06C68"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470BBF8D"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Según ha sostenido el Poder Judicial de la Federación en numerosos precedentes, el reglamento tiene su origen en el artículo 89, fracción I, Constitucional, mismo que faculta al Presidente de la República para expedir normas reglamentarias de las leyes emanadas del Congreso de la Unión, que aunque desde el punto de vista material ambas normas son similares, aquellas se distinguen de estas básicamente, en que provienen de un órgano que al emitirlas no expresa la voluntad general, sino que está instituido para acatarla, de donde se sigue que los preceptos reglamentarios son normas subordinadas, lo que se traduce en que el ejercicio de la facultad reglamentaria se encuentra regido por el principio de subordinación jerárquica a la ley. </w:t>
      </w:r>
    </w:p>
    <w:p w14:paraId="28C06209"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77DB6A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Por cuanto hace a la finalidad del reglamento, ésta es la de facilitar la aplicación de la ley, detallándola y operando como instrumento idóneo para llevar a efecto su contenido, en atención de que en el Poder Legislativo no se está en contacto directo con la realidad social del país por lo que resulta más lógico que se le encomiende al Poder Ejecutivo la elaboración de los reglamentos, ya que las dependencias cuentan con personal más especializado y que están en contacto con la realidad a la que se aplican las leyes emanadas del propio Congreso de la Unión. </w:t>
      </w:r>
    </w:p>
    <w:p w14:paraId="2CD423A5"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1682CCF" w14:textId="3F4A789F"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lastRenderedPageBreak/>
        <w:t>Aunado a lo anterior, es de resaltarse que la finalidad del reglamento no se limita al ámbito administrativo, dado que la observancia de lodo reglamento corresponde a todo individuo que se coloque en el supuesto previsto por el mismo, el cual puede referirse a materias de distinta naturaleza, como puede ser</w:t>
      </w:r>
      <w:r w:rsidR="00F0140D" w:rsidRPr="00726415">
        <w:rPr>
          <w:rFonts w:ascii="AvantGarde Bk BT" w:eastAsia="Arial Unicode MS" w:hAnsi="AvantGarde Bk BT" w:cs="Arial"/>
          <w:sz w:val="24"/>
          <w:szCs w:val="24"/>
          <w:lang w:eastAsia="es-ES"/>
        </w:rPr>
        <w:t>,</w:t>
      </w:r>
      <w:r w:rsidRPr="00726415">
        <w:rPr>
          <w:rFonts w:ascii="AvantGarde Bk BT" w:eastAsia="Arial Unicode MS" w:hAnsi="AvantGarde Bk BT" w:cs="Arial"/>
          <w:sz w:val="24"/>
          <w:szCs w:val="24"/>
          <w:lang w:eastAsia="es-ES"/>
        </w:rPr>
        <w:t xml:space="preserve"> por ejemplo, la mercantil, laboral, registral, electoral, etc. </w:t>
      </w:r>
    </w:p>
    <w:p w14:paraId="748BE00E"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51F77A4"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Conforme a nuestro derecho, no sólo el presidente de la República emite reglamentos, sino que también pueden hacerlo en su ámbito de competencia los Gobernadores de las Entidades Federativas, así como el Jefe de Gobierno del Distrito Federal, los Ayuntamientos de los Municipios, así como las Secretarias de Estado o Departamentos Administrativos.</w:t>
      </w:r>
    </w:p>
    <w:p w14:paraId="133DA07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E423040"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cuanto a la vigencia de los reglamentos, por regla general si una ley es reformada, derogada o abrogada, el reglamento que la detalla, se verá afectado de la misma manera, en atención de que la existencia de éste, depende de aquella, incluso en el supuesto de que la ley no se hubiese reformado, derogado o abrogado expresamente, sin embargo, ello admite una excepción que es cuando en la nueva ley se establezca que los reglamentos de la ley abrogada continuarán vigentes “en lo que no se opongan a la nueva ley", en cuyo caso, tales disposiciones reglamentarias continúan siendo válidas, es decir, si el legislador recupera de manera transitoria la preceptiva reglamentaria de la anterior ley, hasta en tanto se expide el reglamento de la nueva, actúa dentro de sus facultades y esto no implica invasión de la esfera de atribuciones del ejecutivo, toda vez que en ese supuesto, el legislador no ejercita la facultad reglamentaria que es exclusiva del titular del ejecutivo en términos de lo dispuesto por el artículo 89, fracción I constitucional, dado que no existe el impedimento para que el legislador dentro de la ley establezca las reglas minuciosas y de detalle que hagan posible la aplicación de ésta. </w:t>
      </w:r>
    </w:p>
    <w:p w14:paraId="0C41EF7B"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588CE83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Por regla general, los reglamentos expedidos por el Poder Ejecutivo tienen la finalidad de desarrollar y pormenorizar el contenido de una ley previamente expedida por el Congreso de la Unión, sin embargo, ello admite una excepción que constituye lo que la doctrina ha denominado "reglamentos autónomos", los cuales son aquellos </w:t>
      </w:r>
      <w:r w:rsidRPr="00726415">
        <w:rPr>
          <w:rFonts w:ascii="AvantGarde Bk BT" w:eastAsia="Arial Unicode MS" w:hAnsi="AvantGarde Bk BT" w:cs="Arial"/>
          <w:sz w:val="24"/>
          <w:szCs w:val="24"/>
          <w:lang w:eastAsia="es-ES"/>
        </w:rPr>
        <w:lastRenderedPageBreak/>
        <w:t>que no son emitidos para desarrollar o ampliar el contenido de una ley, ni su validez está condicionada por norma alguna emitida por el Congreso de la Unión.</w:t>
      </w:r>
    </w:p>
    <w:p w14:paraId="30B4ADF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1E81BFF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Este tipo de reglamentos, que no está expresamente previsto en las leyes ni en la constitución, estaría constituido por aquellos dictados para regir una materia en la que precisamente no hay normas legales aplicables (de ahí justamente lo de autónomo).</w:t>
      </w:r>
      <w:r w:rsidRPr="00726415">
        <w:rPr>
          <w:rStyle w:val="Refdenotaalpie"/>
          <w:rFonts w:ascii="AvantGarde Bk BT" w:eastAsia="Arial Unicode MS" w:hAnsi="AvantGarde Bk BT" w:cs="Arial"/>
        </w:rPr>
        <w:footnoteReference w:id="26"/>
      </w:r>
      <w:r w:rsidRPr="00726415">
        <w:rPr>
          <w:rFonts w:ascii="AvantGarde Bk BT" w:eastAsia="Arial Unicode MS" w:hAnsi="AvantGarde Bk BT" w:cs="Arial"/>
          <w:sz w:val="24"/>
          <w:szCs w:val="24"/>
          <w:lang w:eastAsia="es-ES"/>
        </w:rPr>
        <w:t xml:space="preserve"> </w:t>
      </w:r>
    </w:p>
    <w:p w14:paraId="72AEDA5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8FA6956"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Atento a lo anterior, es menester traer a contexto los criterios adoptados por el Poder Judicial, en los que se aborda la aplicación de cuerpos normativos secundarios emanados de una Ley; por medio de los cuales se rigen circunstancias específicas emanadas de los cuerpos primarios; así como la vigencia, validez y límites de estos, tal como se aprecia a continuación: </w:t>
      </w:r>
    </w:p>
    <w:p w14:paraId="79A7D14B"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6152E45"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r w:rsidRPr="00726415">
        <w:rPr>
          <w:rFonts w:ascii="AvantGarde Bk BT" w:eastAsia="Arial Unicode MS" w:hAnsi="AvantGarde Bk BT" w:cs="Arial"/>
          <w:b/>
          <w:i/>
          <w:lang w:eastAsia="es-ES"/>
        </w:rPr>
        <w:t xml:space="preserve">REGLAMENTOS ADMINISTRATIVOS. SUS LIMITES. </w:t>
      </w:r>
      <w:r w:rsidRPr="00726415">
        <w:rPr>
          <w:rFonts w:ascii="AvantGarde Bk BT" w:eastAsia="Arial Unicode MS" w:hAnsi="AvantGarde Bk BT" w:cs="Arial"/>
          <w:i/>
          <w:lang w:eastAsia="es-ES"/>
        </w:rPr>
        <w:t xml:space="preserve">Mediante el ejercicio de la facultad reglamentaria, el titular del Ejecutivo Federal puede, para mejor proveer en la esfera administrativa el cumplimiento de las leyes, dictar ordenamientos que faciliten a los destinatarios la observancia de las mismas, a través de disposiciones generales, imperativas y abstractas que detallen sus hipótesis y supuestos normativos de aplicación. Sin embargo, tal facultad (que no sólo se deduce de la fracción I del artículo 89 constitucional, sino que a la vez se confirma expresamente el contenido de la fracción VIII, inciso a), del artículo 107 de la propia Carta Suprema), por útil y necesaria que sea, debe realizarse única y exclusivamente dentro de la esfera de atribuciones propia del Poder Ejecutivo, esto es, la norma reglamentaria actúa por facultades explícitas o implícitas que se precisan en la ley, siendo únicamente esa zona donde pueden y deben expedirse reglamentos que provean a la exacta observancia de aquélla y que, por ello, compartan además su obligatoriedad. De ahí que, siendo competencia exclusiva de la ley la determinación del qué, quién, dónde y cuándo de una situación jurídica general, hipotética y abstracta, al reglamento de ejecución competerá, por consecuencia, el cómo de esos mismos supuestos, por tal virtud, si el reglamento sólo encuentra operatividad en el renglón del cómo, sus disposiciones sólo podrán referirse a las otras preguntas (qué, quién, dónde y cuándo), siempre que éstas ya estén contestadas por la ley, es decir, el reglamento desenvuelve su obligatoriedad a partir de un principio definido por la ley y, por tanto, no puede ir más allá de ella, ni extenderla a supuestos distintos, ni mucho menos, contradecirla; luego entonces, la facultad reglamentaria no puede ser utilizada como instrumento para llenar lagunas de la ley, ni para reformarla o, tampoco, </w:t>
      </w:r>
      <w:r w:rsidRPr="00726415">
        <w:rPr>
          <w:rFonts w:ascii="AvantGarde Bk BT" w:eastAsia="Arial Unicode MS" w:hAnsi="AvantGarde Bk BT" w:cs="Arial"/>
          <w:i/>
          <w:lang w:eastAsia="es-ES"/>
        </w:rPr>
        <w:lastRenderedPageBreak/>
        <w:t>para remediar el olvido o la omisión. Por tal motivo, si el reglamento debe contraerse a indicar los medios para cumplir la ley, no está entonces permitido que a través de dicha facultad, una disposición de tal naturaleza otorgue mayores alcances o imponga diversas limitantes que la propia norma que busca reglamentar, por ejemplo, creando y obligando a los particulares a agotar un recurso administrativo, cuando la ley que reglamenta nada previene a ese respecto.</w:t>
      </w:r>
      <w:r w:rsidRPr="00726415">
        <w:rPr>
          <w:rStyle w:val="Refdenotaalpie"/>
          <w:rFonts w:ascii="AvantGarde Bk BT" w:eastAsia="Arial Unicode MS" w:hAnsi="AvantGarde Bk BT" w:cs="Arial"/>
          <w:i/>
        </w:rPr>
        <w:footnoteReference w:id="27"/>
      </w:r>
    </w:p>
    <w:p w14:paraId="659CE900"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p>
    <w:p w14:paraId="4FA3A055"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r w:rsidRPr="00726415">
        <w:rPr>
          <w:rFonts w:ascii="AvantGarde Bk BT" w:eastAsia="Arial Unicode MS" w:hAnsi="AvantGarde Bk BT" w:cs="Arial"/>
          <w:b/>
          <w:i/>
          <w:lang w:eastAsia="es-ES"/>
        </w:rPr>
        <w:t xml:space="preserve">REGLAMENTOS, NO CABE SUPLENCIA DE LA QUEJA EN MATERIA DE. </w:t>
      </w:r>
      <w:r w:rsidRPr="00726415">
        <w:rPr>
          <w:rFonts w:ascii="AvantGarde Bk BT" w:eastAsia="Arial Unicode MS" w:hAnsi="AvantGarde Bk BT" w:cs="Arial"/>
          <w:i/>
          <w:lang w:eastAsia="es-ES"/>
        </w:rPr>
        <w:t>Aun cuando una ley y un reglamento tienen de semejanza un carácter abstracto, impersonal, general y coercitivo, sin embargo, el órgano creador de tales ordenamientos es completamente diferente, puesto que la ley emana de un acto legislativo ejecutado por el Poder cuya facultad esencial radica en la expedición de leyes, mientras que el segundo tiene la distinción formal de ser expedido por el Ejecutivo en el ejercicio de una facultad reglamentaria establecida para la mayor eficacia en aplicación y cumplimiento de la ley, por lo que este último no tiene la autoridad formal de aquélla. Así pues, no se está en el caso de suplir la deficiencia de la queja establecida por el artículo 76 de la Ley de Amparo, ni es aplicable, por lo tanto, la tesis 212 del Apéndice al Tomo XCVII del Semanario Judicial de la Federación</w:t>
      </w:r>
      <w:r w:rsidRPr="00726415">
        <w:rPr>
          <w:rStyle w:val="Refdenotaalpie"/>
          <w:rFonts w:ascii="AvantGarde Bk BT" w:eastAsia="Arial Unicode MS" w:hAnsi="AvantGarde Bk BT" w:cs="Arial"/>
          <w:i/>
        </w:rPr>
        <w:footnoteReference w:id="28"/>
      </w:r>
      <w:r w:rsidRPr="00726415">
        <w:rPr>
          <w:rFonts w:ascii="AvantGarde Bk BT" w:eastAsia="Arial Unicode MS" w:hAnsi="AvantGarde Bk BT" w:cs="Arial"/>
          <w:i/>
          <w:lang w:eastAsia="es-ES"/>
        </w:rPr>
        <w:t>.</w:t>
      </w:r>
    </w:p>
    <w:p w14:paraId="534AB5F8"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p>
    <w:p w14:paraId="7433C3CE"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r w:rsidRPr="00726415">
        <w:rPr>
          <w:rFonts w:ascii="AvantGarde Bk BT" w:eastAsia="Arial Unicode MS" w:hAnsi="AvantGarde Bk BT" w:cs="Arial"/>
          <w:b/>
          <w:i/>
          <w:lang w:eastAsia="es-ES"/>
        </w:rPr>
        <w:t xml:space="preserve">REGLAMENTOS. CESAN DE ESTAR VIGENTES CUANDO ES ABROGADA LA LEY EN QUE SE SUSTENTAN Y CUYOS PRECEPTOS PORMENORIZAN. </w:t>
      </w:r>
      <w:r w:rsidRPr="00726415">
        <w:rPr>
          <w:rFonts w:ascii="AvantGarde Bk BT" w:eastAsia="Arial Unicode MS" w:hAnsi="AvantGarde Bk BT" w:cs="Arial"/>
          <w:i/>
          <w:lang w:eastAsia="es-ES"/>
        </w:rPr>
        <w:t xml:space="preserve">Según lo previene el artículo 9o. del Código Civil, la vigencia de una ley no sólo puede cesar en cuanto a una parte de sus disposiciones, si son contrarias a las normas de la nueva ley (derogación), sino también de manera total (abrogación). Ahora bien, el artículo 2o. transitorio de la Ley Federal del Trabajo promulgada el 23 de diciembre de 1969, declara explícitamente que "se abroga" la ley anterior, lo que significa que dejan de regir todos y cada uno de sus preceptos (aun aquellos que no pugnaran en nada con ninguna de las normas que contiene el nuevo ordenamiento, ni con el sistema de éste), y dicha situación trae asimismo aparejada la insubsistencia del Reglamento de Higiene del Trabajo que se expidió sobre la base de la ley del 18 de agosto de 1931. De conformidad con lo que se concluye de las enseñanzas de los tratadistas Gabino Fraga y Felipe Tena Ramírez (y salvo casos excepcionales; por ejemplo, los "reglamentos autónomos", como lo son los denominados gubernativos y de policía), el reglamento supone siempre la preexistencia de una ley cuyas disposiciones desarrolla y pormenoriza. El concepto mismo del reglamento exige por necesidad, como requisito esencial e ineludible, la previa existencia de la ley a que aquél se refiere, y es, por tanto, lógicamente inadmisible pensar en un reglamento que desenvolviera los preceptos de una futura ley. El reglamento tiene su medida, su único fundamento y su sola justificación, en la respectiva ley, a cuyo espíritu y a cuya estructura debe apegarse estrictamente, dado que la única función de aquél consiste en determinar, de manera general y abstracta, los medios que han de emplearse para llevar a la práctica las prescripciones de la ley, </w:t>
      </w:r>
      <w:r w:rsidRPr="00726415">
        <w:rPr>
          <w:rFonts w:ascii="AvantGarde Bk BT" w:eastAsia="Arial Unicode MS" w:hAnsi="AvantGarde Bk BT" w:cs="Arial"/>
          <w:i/>
          <w:lang w:eastAsia="es-ES"/>
        </w:rPr>
        <w:lastRenderedPageBreak/>
        <w:t>desenvolviendo y detallando éstas. Así, se reitera que el reglamento debe apoyarse, específicamente, en una determinada ley, que se haya emitido con anterioridad, y que continúe en vigor cuando pretende aplicarse el propio reglamento. Por su parte, otro autor, Alberto Trueba Urbina, ha aclarado que "la abrogación de la Ley Federal del Trabajo de 18 de agosto de 1931 trae consigo, no sólo la derogación de todos sus preceptos y, disposiciones conexas, sino de los reglamentos expedidos en relación con la misma, como son los reglamentos de inspección del trabajo, de higiene del trabajo ... y otros más, que pierden su vigencia a partir del 1o. de mayo de 1970", razón por la cual "se deberán dictar los reglamentos que sean menester", referidos al nuevo ordenamiento legal. En estas condiciones, y puesto que el presidente de la República no ha expedido, con posterioridad al 1o. de mayo de 1970, ninguna disposición por la que decidiera mantener en vigor el Reglamento de Higiene del Trabajo a que se alude, cabe reiterar que es indebida la pretensión de aplicar, en perjuicio de la promovente, el mencionado reglamento.</w:t>
      </w:r>
      <w:r w:rsidRPr="00726415">
        <w:rPr>
          <w:rStyle w:val="Refdenotaalpie"/>
          <w:rFonts w:ascii="AvantGarde Bk BT" w:eastAsia="Arial Unicode MS" w:hAnsi="AvantGarde Bk BT" w:cs="Arial"/>
          <w:i/>
        </w:rPr>
        <w:footnoteReference w:id="29"/>
      </w:r>
    </w:p>
    <w:p w14:paraId="00EBB871" w14:textId="77777777" w:rsidR="004076F7" w:rsidRPr="00726415" w:rsidRDefault="004076F7" w:rsidP="004076F7">
      <w:pPr>
        <w:spacing w:after="0" w:line="240" w:lineRule="auto"/>
        <w:ind w:left="1134" w:right="1183"/>
        <w:jc w:val="both"/>
        <w:rPr>
          <w:rFonts w:ascii="AvantGarde Bk BT" w:eastAsia="Arial Unicode MS" w:hAnsi="AvantGarde Bk BT" w:cs="Arial"/>
          <w:b/>
          <w:i/>
          <w:lang w:eastAsia="es-ES"/>
        </w:rPr>
      </w:pPr>
    </w:p>
    <w:p w14:paraId="6E0F6B3D"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r w:rsidRPr="00726415">
        <w:rPr>
          <w:rFonts w:ascii="AvantGarde Bk BT" w:eastAsia="Arial Unicode MS" w:hAnsi="AvantGarde Bk BT" w:cs="Arial"/>
          <w:b/>
          <w:i/>
          <w:lang w:eastAsia="es-ES"/>
        </w:rPr>
        <w:t xml:space="preserve">REGLAMENTOS. CASO EN QUE SIGUEN VIGENTES A PESAR DE QUE SE ABROGUE LA LEY EN QUE SE SUSTENTAN. </w:t>
      </w:r>
      <w:r w:rsidRPr="00726415">
        <w:rPr>
          <w:rFonts w:ascii="AvantGarde Bk BT" w:eastAsia="Arial Unicode MS" w:hAnsi="AvantGarde Bk BT" w:cs="Arial"/>
          <w:i/>
          <w:lang w:eastAsia="es-ES"/>
        </w:rPr>
        <w:t>Aun cuando es válido concluir que, por regla general, si una ley es reformada, derogada o abrogada, el reglamento que la detalle, se verá afectado de la misma manera, incluso en el supuesto de que no se hubiese reformado, derogado o abrogado expresamente; sin embargo, cuando en la nueva ley se establezca que los reglamentos de la ley abrogada continuarán vigentes "en lo que no se opongan a la nueva ley", tales disposiciones son válidas conforme con el principio que reza que quien puede lo más puede lo menos, ya que si el legislador está facultado para poner en vigencia nuevas leyes, resultaría incongruente que no pudiera mantener la de los reglamentos.</w:t>
      </w:r>
      <w:r w:rsidRPr="00726415">
        <w:rPr>
          <w:rStyle w:val="Refdenotaalpie"/>
          <w:rFonts w:ascii="AvantGarde Bk BT" w:eastAsia="Arial Unicode MS" w:hAnsi="AvantGarde Bk BT" w:cs="Arial"/>
          <w:i/>
        </w:rPr>
        <w:footnoteReference w:id="30"/>
      </w:r>
    </w:p>
    <w:p w14:paraId="6091F919" w14:textId="77777777" w:rsidR="004076F7" w:rsidRPr="00726415" w:rsidRDefault="004076F7" w:rsidP="004076F7">
      <w:pPr>
        <w:spacing w:after="0" w:line="240" w:lineRule="auto"/>
        <w:ind w:left="1134" w:right="1183"/>
        <w:jc w:val="both"/>
        <w:rPr>
          <w:rFonts w:ascii="AvantGarde Bk BT" w:eastAsia="Arial Unicode MS" w:hAnsi="AvantGarde Bk BT" w:cs="Arial"/>
          <w:i/>
          <w:lang w:eastAsia="es-ES"/>
        </w:rPr>
      </w:pPr>
    </w:p>
    <w:p w14:paraId="5B0E15B6" w14:textId="77777777" w:rsidR="004076F7" w:rsidRPr="00726415" w:rsidRDefault="004076F7" w:rsidP="004076F7">
      <w:pPr>
        <w:spacing w:after="0" w:line="240" w:lineRule="auto"/>
        <w:ind w:left="1134" w:right="1183"/>
        <w:jc w:val="both"/>
        <w:rPr>
          <w:rFonts w:ascii="AvantGarde Bk BT" w:eastAsia="Arial Unicode MS" w:hAnsi="AvantGarde Bk BT" w:cs="Arial"/>
          <w:b/>
          <w:i/>
          <w:szCs w:val="24"/>
          <w:lang w:eastAsia="es-ES"/>
        </w:rPr>
      </w:pPr>
      <w:r w:rsidRPr="00726415">
        <w:rPr>
          <w:rFonts w:ascii="AvantGarde Bk BT" w:eastAsia="Arial Unicode MS" w:hAnsi="AvantGarde Bk BT" w:cs="Arial"/>
          <w:b/>
          <w:i/>
          <w:szCs w:val="24"/>
          <w:lang w:eastAsia="es-ES"/>
        </w:rPr>
        <w:t xml:space="preserve">REGLAMENTOS. EL LEGISLADOR ESTA FACULTADO PARA MANTENER TRANSITORIAMENTE SU VIGENCIA, AUN CUANDO LA LEY QUE DETALLABAN HUBIESE SIDO DEROGADA O ABROGADA. </w:t>
      </w:r>
    </w:p>
    <w:p w14:paraId="4663DAF5" w14:textId="77777777" w:rsidR="004076F7" w:rsidRPr="00726415" w:rsidRDefault="004076F7" w:rsidP="004076F7">
      <w:pPr>
        <w:spacing w:after="0" w:line="240" w:lineRule="auto"/>
        <w:ind w:left="1134" w:right="1183"/>
        <w:jc w:val="both"/>
        <w:rPr>
          <w:rFonts w:ascii="AvantGarde Bk BT" w:eastAsia="Arial Unicode MS" w:hAnsi="AvantGarde Bk BT" w:cs="Arial"/>
          <w:szCs w:val="24"/>
          <w:lang w:eastAsia="es-ES"/>
        </w:rPr>
      </w:pPr>
      <w:r w:rsidRPr="00726415">
        <w:rPr>
          <w:rFonts w:ascii="AvantGarde Bk BT" w:eastAsia="Arial Unicode MS" w:hAnsi="AvantGarde Bk BT" w:cs="Arial"/>
          <w:b/>
          <w:i/>
          <w:szCs w:val="24"/>
          <w:lang w:eastAsia="es-ES"/>
        </w:rPr>
        <w:t>Cuando el legislador recupera de manera transitoria la preceptiva reglamentaria de la anterior ley</w:t>
      </w:r>
      <w:r w:rsidRPr="00726415">
        <w:rPr>
          <w:rFonts w:ascii="AvantGarde Bk BT" w:eastAsia="Arial Unicode MS" w:hAnsi="AvantGarde Bk BT" w:cs="Arial"/>
          <w:i/>
          <w:szCs w:val="24"/>
          <w:lang w:eastAsia="es-ES"/>
        </w:rPr>
        <w:t xml:space="preserve">, </w:t>
      </w:r>
      <w:r w:rsidRPr="00726415">
        <w:rPr>
          <w:rFonts w:ascii="AvantGarde Bk BT" w:eastAsia="Arial Unicode MS" w:hAnsi="AvantGarde Bk BT" w:cs="Arial"/>
          <w:b/>
          <w:i/>
          <w:szCs w:val="24"/>
          <w:lang w:eastAsia="es-ES"/>
        </w:rPr>
        <w:t>hasta en tanto se expide el reglamento de la nueva</w:t>
      </w:r>
      <w:r w:rsidRPr="00726415">
        <w:rPr>
          <w:rFonts w:ascii="AvantGarde Bk BT" w:eastAsia="Arial Unicode MS" w:hAnsi="AvantGarde Bk BT" w:cs="Arial"/>
          <w:i/>
          <w:szCs w:val="24"/>
          <w:lang w:eastAsia="es-ES"/>
        </w:rPr>
        <w:t xml:space="preserve">, actúa dentro de sus facultades y no invade la esfera de atribuciones del Ejecutivo, </w:t>
      </w:r>
      <w:r w:rsidRPr="00726415">
        <w:rPr>
          <w:rFonts w:ascii="AvantGarde Bk BT" w:eastAsia="Arial Unicode MS" w:hAnsi="AvantGarde Bk BT" w:cs="Arial"/>
          <w:i/>
          <w:szCs w:val="24"/>
          <w:u w:val="single"/>
          <w:lang w:eastAsia="es-ES"/>
        </w:rPr>
        <w:t>toda vez que en ese supuesto</w:t>
      </w:r>
      <w:r w:rsidRPr="00726415">
        <w:rPr>
          <w:rFonts w:ascii="AvantGarde Bk BT" w:eastAsia="Arial Unicode MS" w:hAnsi="AvantGarde Bk BT" w:cs="Arial"/>
          <w:i/>
          <w:szCs w:val="24"/>
          <w:lang w:eastAsia="es-ES"/>
        </w:rPr>
        <w:t xml:space="preserve">, el legislador no ejercita la facultad reglamentaria que es exclusiva del titular del Ejecutivo en términos de lo dispuesto por el artículo 89, fracción I constitucional, sino que </w:t>
      </w:r>
      <w:r w:rsidRPr="00726415">
        <w:rPr>
          <w:rFonts w:ascii="AvantGarde Bk BT" w:eastAsia="Arial Unicode MS" w:hAnsi="AvantGarde Bk BT" w:cs="Arial"/>
          <w:b/>
          <w:i/>
          <w:szCs w:val="24"/>
          <w:lang w:eastAsia="es-ES"/>
        </w:rPr>
        <w:t>está legislando con el carácter provisional del artículo transitorio</w:t>
      </w:r>
      <w:r w:rsidRPr="00726415">
        <w:rPr>
          <w:rFonts w:ascii="AvantGarde Bk BT" w:eastAsia="Arial Unicode MS" w:hAnsi="AvantGarde Bk BT" w:cs="Arial"/>
          <w:i/>
          <w:szCs w:val="24"/>
          <w:lang w:eastAsia="es-ES"/>
        </w:rPr>
        <w:t xml:space="preserve">, en el entendido de que </w:t>
      </w:r>
      <w:r w:rsidRPr="00726415">
        <w:rPr>
          <w:rFonts w:ascii="AvantGarde Bk BT" w:eastAsia="Arial Unicode MS" w:hAnsi="AvantGarde Bk BT" w:cs="Arial"/>
          <w:b/>
          <w:i/>
          <w:szCs w:val="24"/>
          <w:lang w:eastAsia="es-ES"/>
        </w:rPr>
        <w:t>no existe el impedimento para que el legislador, dentro de la ley, establezca las reglas minuciosas y de detalle que caracterizan a los reglamentos, y que hacen posible la aplicación de aquélla.</w:t>
      </w:r>
      <w:r w:rsidRPr="00726415">
        <w:rPr>
          <w:rStyle w:val="Refdenotaalpie"/>
          <w:rFonts w:ascii="AvantGarde Bk BT" w:eastAsia="Arial Unicode MS" w:hAnsi="AvantGarde Bk BT" w:cs="Arial"/>
        </w:rPr>
        <w:footnoteReference w:id="31"/>
      </w:r>
    </w:p>
    <w:p w14:paraId="7FD3BBCC" w14:textId="77777777" w:rsidR="004076F7" w:rsidRPr="00726415" w:rsidRDefault="004076F7" w:rsidP="004076F7">
      <w:pPr>
        <w:spacing w:after="0" w:line="240" w:lineRule="auto"/>
        <w:ind w:left="1134" w:right="1183"/>
        <w:jc w:val="right"/>
        <w:rPr>
          <w:rFonts w:ascii="AvantGarde Bk BT" w:eastAsia="Arial Unicode MS" w:hAnsi="AvantGarde Bk BT" w:cs="Arial"/>
          <w:b/>
          <w:szCs w:val="24"/>
          <w:lang w:eastAsia="es-ES"/>
        </w:rPr>
      </w:pPr>
      <w:r w:rsidRPr="00726415">
        <w:rPr>
          <w:rFonts w:ascii="AvantGarde Bk BT" w:eastAsia="Arial Unicode MS" w:hAnsi="AvantGarde Bk BT" w:cs="Arial"/>
          <w:b/>
          <w:szCs w:val="24"/>
          <w:lang w:eastAsia="es-ES"/>
        </w:rPr>
        <w:t>[Énfasis añadido]</w:t>
      </w:r>
    </w:p>
    <w:p w14:paraId="78D8764B" w14:textId="77777777" w:rsidR="004076F7" w:rsidRPr="00726415" w:rsidRDefault="004076F7" w:rsidP="004076F7">
      <w:pPr>
        <w:spacing w:after="0" w:line="240" w:lineRule="auto"/>
        <w:ind w:left="1134" w:right="1183"/>
        <w:jc w:val="right"/>
        <w:rPr>
          <w:rFonts w:ascii="AvantGarde Bk BT" w:eastAsia="Arial Unicode MS" w:hAnsi="AvantGarde Bk BT" w:cs="Arial"/>
          <w:b/>
          <w:szCs w:val="24"/>
          <w:lang w:eastAsia="es-ES"/>
        </w:rPr>
      </w:pPr>
    </w:p>
    <w:p w14:paraId="233F1EBF" w14:textId="77777777" w:rsidR="004076F7" w:rsidRPr="00726415" w:rsidRDefault="004076F7" w:rsidP="004076F7">
      <w:pPr>
        <w:spacing w:after="0" w:line="240" w:lineRule="auto"/>
        <w:ind w:left="1134" w:right="1183"/>
        <w:jc w:val="right"/>
        <w:rPr>
          <w:rFonts w:ascii="AvantGarde Bk BT" w:eastAsia="Arial Unicode MS" w:hAnsi="AvantGarde Bk BT" w:cs="Arial"/>
          <w:szCs w:val="24"/>
          <w:lang w:eastAsia="es-ES"/>
        </w:rPr>
      </w:pPr>
    </w:p>
    <w:p w14:paraId="478B56D5" w14:textId="77777777" w:rsidR="004076F7" w:rsidRPr="00726415" w:rsidRDefault="004076F7" w:rsidP="004076F7">
      <w:pPr>
        <w:spacing w:after="0" w:line="240" w:lineRule="auto"/>
        <w:ind w:left="1134" w:right="1183"/>
        <w:jc w:val="both"/>
        <w:rPr>
          <w:rFonts w:ascii="AvantGarde Bk BT" w:eastAsia="Arial Unicode MS" w:hAnsi="AvantGarde Bk BT" w:cs="Arial"/>
          <w:szCs w:val="24"/>
          <w:lang w:eastAsia="es-ES"/>
        </w:rPr>
      </w:pPr>
      <w:r w:rsidRPr="00726415">
        <w:rPr>
          <w:rFonts w:ascii="AvantGarde Bk BT" w:eastAsia="Arial Unicode MS" w:hAnsi="AvantGarde Bk BT" w:cs="Arial"/>
          <w:b/>
          <w:i/>
          <w:szCs w:val="24"/>
          <w:lang w:eastAsia="es-ES"/>
        </w:rPr>
        <w:t>REGLAMENTOS, VALIDEZ Y VIGENCIA DE LOS.</w:t>
      </w:r>
      <w:r w:rsidRPr="00726415">
        <w:rPr>
          <w:rFonts w:ascii="AvantGarde Bk BT" w:eastAsia="Arial Unicode MS" w:hAnsi="AvantGarde Bk BT" w:cs="Arial"/>
          <w:i/>
          <w:szCs w:val="24"/>
          <w:lang w:eastAsia="es-ES"/>
        </w:rPr>
        <w:t xml:space="preserve"> La facultad reglamentaria del presidente de la República se ha desprendido tradicionalmente de la fracción I del artículo 89 de la Constitución Federal, que lo faculta para proveer en la esfera administrativa a la observancia de las leyes. Ahora bien, de esto se desprende, a su vez, que esa facultad no le es otorgada por el legislador ordinario, pero también que no puede expedirse un reglamento sin que se refiera a una ley, y se funde precisamente en ella para proveer en forma general y abstracta en lo necesario a la aplicación de dicha ley a los casos concretos que surjan. O sea, que sin ley no puede haber reglamentos, en principio, excepto en aquellos casos en que la propia Constitución Federal autoriza al presidente a usar en forma autónoma su facultad reglamentaria, como lo es, por ejemplo, el caso de los reglamentos gubernativos y de policía a que se refiere el artículo 21 constitucional. Pero fuera de esos casos de excepción, el estimar que el presidente está facultado para dictar disposiciones reglamentarias generales, con características materiales de leyes, aun cuando estos reglamentos no estén precisamente apoyados o dirigidos a reglamentar precisamente una ley que lo sea también en sentido formal, es decir, emanada de Congreso, equivaldría dar facultades legislativas al presidente de la República, en contravención a lo dispuesto por los artículos 49, 73 y relativos y de la mencionada Constitución. Así pues, un reglamento sólo puede tener validez legal cuando está dirigido a proveer a la aplicación de una ley concreta, a cuyos mandamientos deberá ceñirse, por lo demás, sin poderlo suprimir, modificar ni ampliar, en su sustancia. Y, en </w:t>
      </w:r>
      <w:proofErr w:type="gramStart"/>
      <w:r w:rsidRPr="00726415">
        <w:rPr>
          <w:rFonts w:ascii="AvantGarde Bk BT" w:eastAsia="Arial Unicode MS" w:hAnsi="AvantGarde Bk BT" w:cs="Arial"/>
          <w:i/>
          <w:szCs w:val="24"/>
          <w:lang w:eastAsia="es-ES"/>
        </w:rPr>
        <w:t>consecuencia</w:t>
      </w:r>
      <w:proofErr w:type="gramEnd"/>
      <w:r w:rsidRPr="00726415">
        <w:rPr>
          <w:rFonts w:ascii="AvantGarde Bk BT" w:eastAsia="Arial Unicode MS" w:hAnsi="AvantGarde Bk BT" w:cs="Arial"/>
          <w:i/>
          <w:szCs w:val="24"/>
          <w:lang w:eastAsia="es-ES"/>
        </w:rPr>
        <w:t xml:space="preserve"> al ser abrogada la ley en que se apoya la validez de un reglamento, éste queda también automáticamente sin materia y, por ende, sin vigencia, pues no podría subsistir un reglamento al abrogarse la ley reglamentada ya que ese reglamento vendría a implicar una facultad legislativa autónoma del presidente de la República, que la Constitución no le da. Por lo demás, si una ley es abrogada, quedan sin vigencia sus reglamentos. Y si se dicta una nueva ley, que es la que abrogó a la anterior, el presidente de la República deberá expedir un nuevo reglamento adecuado a la nueva ley o, si estima que subsiste parcialmente la materia legislativa, por contener la nueva ley disposiciones que en parte resulten iguales a las de la ley anterior abrogada, deberá decretarse en nuevo acto reglamentario a la vigencia del reglamento anterior, en lo que no contradiga a la nueva ley. Por otra parte, esto podría hacerlo el mismo Poder Legislativo, </w:t>
      </w:r>
      <w:proofErr w:type="gramStart"/>
      <w:r w:rsidRPr="00726415">
        <w:rPr>
          <w:rFonts w:ascii="AvantGarde Bk BT" w:eastAsia="Arial Unicode MS" w:hAnsi="AvantGarde Bk BT" w:cs="Arial"/>
          <w:i/>
          <w:szCs w:val="24"/>
          <w:lang w:eastAsia="es-ES"/>
        </w:rPr>
        <w:t>ya que</w:t>
      </w:r>
      <w:proofErr w:type="gramEnd"/>
      <w:r w:rsidRPr="00726415">
        <w:rPr>
          <w:rFonts w:ascii="AvantGarde Bk BT" w:eastAsia="Arial Unicode MS" w:hAnsi="AvantGarde Bk BT" w:cs="Arial"/>
          <w:i/>
          <w:szCs w:val="24"/>
          <w:lang w:eastAsia="es-ES"/>
        </w:rPr>
        <w:t xml:space="preserve"> si puede poner en vigencia las leyes, bien puede ordenar que se mantengan vivos los reglamentos anteriores en cuanto no contradigan a la nueva ley (y de hecho, así lo hizo en el artículo 3o. transitorio de la Ley de Seguro Social de 23 de febrero de 1973, que sustituyó a la anterior). Y la conclusión anterior es obligada cuando se trata de imponer cargas a los gobernados, con bases en un reglamento referente a una ley derogada, y no sólo de regular actos de trámite o de procedimiento, ya que éstos de cualquier manera habría de realizarlos, a menos que la ley deje su propia vigencia sujeta a la expedición de nuevos reglamentos. De lo contrario, si se aceptara que se impusieran a los gobernados cargas con bases en reglamentos expedidos para leyes que ya fueron abrogadas, aun cuando en la </w:t>
      </w:r>
      <w:r w:rsidRPr="00726415">
        <w:rPr>
          <w:rFonts w:ascii="AvantGarde Bk BT" w:eastAsia="Arial Unicode MS" w:hAnsi="AvantGarde Bk BT" w:cs="Arial"/>
          <w:i/>
          <w:szCs w:val="24"/>
          <w:lang w:eastAsia="es-ES"/>
        </w:rPr>
        <w:lastRenderedPageBreak/>
        <w:t>nueva ley se contengan las disposiciones en partes iguales o semejantes, se estaría violando la seguridad jurídica de los gobernados, y no podría decirse que los actos de aplicación del viejo reglamento, al imponerles cargas o causarle molestias en su persona, posesiones o patrimonio, estuviesen clara y manifiestamente fundados en disposiciones legales reglamentarias vigentes y aplicables, con lo cual se violarían las garantías de debido proceso legal y de fundamentación y motivación, en su aspecto material, que consagran los artículos 14 y 16 constitucionales.</w:t>
      </w:r>
      <w:r w:rsidRPr="00726415">
        <w:rPr>
          <w:rStyle w:val="Refdenotaalpie"/>
          <w:rFonts w:ascii="AvantGarde Bk BT" w:eastAsia="Arial Unicode MS" w:hAnsi="AvantGarde Bk BT" w:cs="Arial"/>
        </w:rPr>
        <w:footnoteReference w:id="32"/>
      </w:r>
    </w:p>
    <w:p w14:paraId="478F143A" w14:textId="77777777" w:rsidR="004076F7" w:rsidRPr="00726415" w:rsidRDefault="004076F7" w:rsidP="004076F7">
      <w:pPr>
        <w:spacing w:after="0" w:line="240" w:lineRule="auto"/>
        <w:ind w:left="1134" w:right="1183"/>
        <w:jc w:val="both"/>
        <w:rPr>
          <w:rFonts w:ascii="AvantGarde Bk BT" w:eastAsia="Arial Unicode MS" w:hAnsi="AvantGarde Bk BT" w:cs="Arial"/>
          <w:szCs w:val="24"/>
          <w:lang w:eastAsia="es-ES"/>
        </w:rPr>
      </w:pPr>
    </w:p>
    <w:p w14:paraId="5707CFA8"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Precisado lo anterior, es de resaltar que los Legisladores, al expedir normas o leyes, podrán disponer en los artículos de Transición (Transitorios), que las normas secundarias (aquellas que emanan de la anterior) podrán continuar con vigencia, esto es, que pueden ser ejercibles en tiempo y espacio; lo cual, en un sentido negativo, conduce a que la ausencia de disposición expresa de su vigencia transitoria (hasta en tanto se emiten los cuerpos normativos por parte de las autoridades competentes), resulta en la abrogación de éstas Leyes secundarias.</w:t>
      </w:r>
    </w:p>
    <w:p w14:paraId="61B65105"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2A4F29B9"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No obstante lo anterior, la Constitución Política de los Estados Unidos Mexicanos, a través del párrafo tercero</w:t>
      </w:r>
      <w:r w:rsidRPr="00726415">
        <w:rPr>
          <w:rStyle w:val="Refdenotaalpie"/>
          <w:rFonts w:ascii="AvantGarde Bk BT" w:eastAsia="Arial Unicode MS" w:hAnsi="AvantGarde Bk BT" w:cs="Arial"/>
        </w:rPr>
        <w:footnoteReference w:id="33"/>
      </w:r>
      <w:r w:rsidRPr="00726415">
        <w:rPr>
          <w:rFonts w:ascii="AvantGarde Bk BT" w:eastAsia="Arial Unicode MS" w:hAnsi="AvantGarde Bk BT" w:cs="Arial"/>
          <w:sz w:val="24"/>
          <w:szCs w:val="24"/>
          <w:lang w:eastAsia="es-ES"/>
        </w:rPr>
        <w:t xml:space="preserve"> de su artículo 1°, establece que todas las Autoridades en el Estado Mexicano, dentro de su ámbito de competencias, con la finalidad de proteger los derechos humanos, deben atender entre otros principios, al de progresividad; mismo que implica el progreso gradual para lograr su plena protección y que se encuentra en estrecha vinculación con la </w:t>
      </w:r>
      <w:r w:rsidRPr="00726415">
        <w:rPr>
          <w:rFonts w:ascii="AvantGarde Bk BT" w:eastAsia="Arial Unicode MS" w:hAnsi="AvantGarde Bk BT" w:cs="Arial"/>
          <w:i/>
          <w:sz w:val="24"/>
          <w:szCs w:val="24"/>
          <w:lang w:eastAsia="es-ES"/>
        </w:rPr>
        <w:t xml:space="preserve">“no regresividad” </w:t>
      </w:r>
      <w:r w:rsidRPr="00726415">
        <w:rPr>
          <w:rFonts w:ascii="AvantGarde Bk BT" w:eastAsia="Arial Unicode MS" w:hAnsi="AvantGarde Bk BT" w:cs="Arial"/>
          <w:sz w:val="24"/>
          <w:szCs w:val="24"/>
          <w:lang w:eastAsia="es-ES"/>
        </w:rPr>
        <w:t>en la protección y garantía de los derechos humanos, por la cual, las Autoridades poseen la prohibición de adoptar medidas regresivas en la protección de los derechos humanos (interpretación en sentido negativo del párrafo tercero del artículo 1° Constitucional).</w:t>
      </w:r>
    </w:p>
    <w:p w14:paraId="3A00702E"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3DDC639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Principio el anterior que no es absoluto, pues encuentra excepciones que se justifican conforme a las circunstancias de hecho que derivaron en la regresión en específico, debiendo acreditar en sus extremos la aplicación de los máximos recursos sin que pudiera satisfacerse a plenitud la tutela del derecho humano; ello sin que, con </w:t>
      </w:r>
      <w:r w:rsidRPr="00726415">
        <w:rPr>
          <w:rFonts w:ascii="AvantGarde Bk BT" w:eastAsia="Arial Unicode MS" w:hAnsi="AvantGarde Bk BT" w:cs="Arial"/>
          <w:sz w:val="24"/>
          <w:szCs w:val="24"/>
          <w:lang w:eastAsia="es-ES"/>
        </w:rPr>
        <w:lastRenderedPageBreak/>
        <w:t>el comportamiento (activo o pasivo) de las autoridades legislativas y administrativas, se encuentren en posibilidad de causar regresión alguna en la tutela de los derechos humanos</w:t>
      </w:r>
      <w:r w:rsidRPr="00726415">
        <w:rPr>
          <w:rStyle w:val="Refdenotaalpie"/>
          <w:rFonts w:ascii="AvantGarde Bk BT" w:eastAsia="Arial Unicode MS" w:hAnsi="AvantGarde Bk BT" w:cs="Arial"/>
        </w:rPr>
        <w:footnoteReference w:id="34"/>
      </w:r>
      <w:r w:rsidRPr="00726415">
        <w:rPr>
          <w:rFonts w:ascii="AvantGarde Bk BT" w:eastAsia="Arial Unicode MS" w:hAnsi="AvantGarde Bk BT" w:cs="Arial"/>
          <w:sz w:val="24"/>
          <w:szCs w:val="24"/>
          <w:lang w:eastAsia="es-ES"/>
        </w:rPr>
        <w:t xml:space="preserve">. </w:t>
      </w:r>
    </w:p>
    <w:p w14:paraId="4AE63BC7"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D900E8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las relatadas condiciones, es de observar que, si bien la Ley General de Transparencia y Acceso a la Información Pública (publicada el veinte de marzo de dos mil veinticinco en el Diario Oficial de la Federación), contempla la aplicación obligatoria de los Lineamientos específicos emitidos por el Sistema Nacional de Acceso a la Información y que por conducto de sus Transitorios, quedó cesada de validez la Ley General de Transparencia y Acceso a la Información Pública publicada el cuatro de mayo de dos mil quince; y, por ende, de sus normas secundarias.</w:t>
      </w:r>
    </w:p>
    <w:p w14:paraId="1A8ACEC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5A2A7716" w14:textId="77777777" w:rsidR="004076F7" w:rsidRPr="00726415" w:rsidRDefault="004076F7" w:rsidP="004076F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Lo cierto es que, a la fecha del presente, el Sistema Nacional de Acceso a la Información, ha sido omiso en expedir los Lineamientos en materia de clasificación de la información reservada y confidencial y, para la elaboración de versiones públicas; lo cual, genera un retroceso en la adecuada tutela del Derecho Humano de Acceso a la Información Pública.</w:t>
      </w:r>
    </w:p>
    <w:p w14:paraId="2A2770F1"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4624A13F"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Esto </w:t>
      </w:r>
      <w:proofErr w:type="gramStart"/>
      <w:r w:rsidRPr="00726415">
        <w:rPr>
          <w:rFonts w:ascii="AvantGarde Bk BT" w:eastAsia="Arial Unicode MS" w:hAnsi="AvantGarde Bk BT" w:cs="Arial"/>
          <w:sz w:val="24"/>
          <w:szCs w:val="24"/>
          <w:lang w:eastAsia="es-ES"/>
        </w:rPr>
        <w:t>es</w:t>
      </w:r>
      <w:proofErr w:type="gramEnd"/>
      <w:r w:rsidRPr="00726415">
        <w:rPr>
          <w:rFonts w:ascii="AvantGarde Bk BT" w:eastAsia="Arial Unicode MS" w:hAnsi="AvantGarde Bk BT" w:cs="Arial"/>
          <w:sz w:val="24"/>
          <w:szCs w:val="24"/>
          <w:lang w:eastAsia="es-ES"/>
        </w:rPr>
        <w:t xml:space="preserve"> así pues, como se precisó con antelación, la Clasificación de la Información, resulta en la excepción efectiva en el ejercicio del derecho de acceso a la información pública, obliga a las autoridades a atender todos aquellos elementos </w:t>
      </w:r>
      <w:r w:rsidRPr="00726415">
        <w:rPr>
          <w:rFonts w:ascii="AvantGarde Bk BT" w:eastAsia="Arial Unicode MS" w:hAnsi="AvantGarde Bk BT" w:cs="Arial"/>
          <w:sz w:val="24"/>
          <w:szCs w:val="24"/>
          <w:lang w:eastAsia="es-ES"/>
        </w:rPr>
        <w:lastRenderedPageBreak/>
        <w:t>que produzcan la menor restricción y que, además, brinden una tutela efectiva y más amplia.</w:t>
      </w:r>
    </w:p>
    <w:p w14:paraId="064AC39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D3EE35A"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ese sentido, los Lineamientos Generales en Materia de Clasificación y Desclasificación de la Información, así como para la Elaboración de Versiones Públicas, publicados en el Diario Oficial de la Federación el 15 quince de abril de 2016 dos mil dieciséis, establecían los criterios que los Sujetos Obligados debían atender, al momento de llevar a cabo la excepción al derecho de acceso a la información; de manera que ahondaba en los extremos que se debían satisfacer, tanto en la formalidad, como en la materialidad de la clasificación de la información. </w:t>
      </w:r>
    </w:p>
    <w:p w14:paraId="70A4EFE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0295373C"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este orden de ideas que se tiene establecido, se precisa que en la causa que nos ocupa, no se efectuó el procedimiento de clasificación conforme el marco legal de la materia, toda vez que, de las constancias que obran en autos, se evidencia que el titular de la unidad de transparencia del obligado, omitió en el momento procesal oportuno clasificar la información como confidencial atento lo previsto en el diverso 120</w:t>
      </w:r>
      <w:r w:rsidRPr="00726415">
        <w:rPr>
          <w:rFonts w:ascii="AvantGarde Bk BT" w:eastAsia="Arial Unicode MS" w:hAnsi="AvantGarde Bk BT" w:cs="Arial"/>
          <w:sz w:val="24"/>
          <w:szCs w:val="24"/>
          <w:vertAlign w:val="superscript"/>
          <w:lang w:eastAsia="es-ES"/>
        </w:rPr>
        <w:footnoteReference w:id="35"/>
      </w:r>
      <w:r w:rsidRPr="00726415">
        <w:rPr>
          <w:rFonts w:ascii="AvantGarde Bk BT" w:eastAsia="Arial Unicode MS" w:hAnsi="AvantGarde Bk BT" w:cs="Arial"/>
          <w:sz w:val="24"/>
          <w:szCs w:val="24"/>
          <w:lang w:eastAsia="es-ES"/>
        </w:rPr>
        <w:t xml:space="preserve"> de la Ley Estatal de la materia, puesto que la solicitud de acceso a la información por parte del particular, debe considerarse como un elemento que activa el análisis de la información y su posterior clasificación, puesto que ésta es la que indica cuál es la información que el sujeto obligado deberá analizar y sobre la cual deberá emitir una respuesta. </w:t>
      </w:r>
    </w:p>
    <w:p w14:paraId="3174AE1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6446C800" w14:textId="77777777" w:rsidR="004076F7" w:rsidRPr="00726415" w:rsidRDefault="004076F7" w:rsidP="004076F7">
      <w:pPr>
        <w:spacing w:after="0" w:line="360" w:lineRule="auto"/>
        <w:ind w:firstLine="708"/>
        <w:jc w:val="both"/>
        <w:rPr>
          <w:rFonts w:ascii="AvantGarde Bk BT" w:eastAsia="Arial Unicode MS" w:hAnsi="AvantGarde Bk BT" w:cs="Arial"/>
          <w:b/>
          <w:sz w:val="24"/>
          <w:szCs w:val="24"/>
          <w:u w:val="single"/>
          <w:lang w:eastAsia="es-ES"/>
        </w:rPr>
      </w:pPr>
      <w:r w:rsidRPr="00726415">
        <w:rPr>
          <w:rFonts w:ascii="AvantGarde Bk BT" w:eastAsia="Arial Unicode MS" w:hAnsi="AvantGarde Bk BT" w:cs="Arial"/>
          <w:sz w:val="24"/>
          <w:szCs w:val="24"/>
          <w:lang w:eastAsia="es-ES"/>
        </w:rPr>
        <w:t>De ahí que, se arriba a la convicción de que el obligado inobservó el proceso de clasificación previsto en el artículo 114</w:t>
      </w:r>
      <w:r w:rsidRPr="00726415">
        <w:rPr>
          <w:rStyle w:val="Refdenotaalpie"/>
          <w:rFonts w:ascii="AvantGarde Bk BT" w:eastAsia="Arial Unicode MS" w:hAnsi="AvantGarde Bk BT" w:cs="Arial"/>
        </w:rPr>
        <w:footnoteReference w:id="36"/>
      </w:r>
      <w:r w:rsidRPr="00726415">
        <w:rPr>
          <w:rFonts w:ascii="AvantGarde Bk BT" w:eastAsia="Arial Unicode MS" w:hAnsi="AvantGarde Bk BT" w:cs="Arial"/>
          <w:sz w:val="24"/>
          <w:szCs w:val="24"/>
          <w:lang w:eastAsia="es-ES"/>
        </w:rPr>
        <w:t xml:space="preserve"> de la Ley Local de Transparencia, puesto que el documento solicitado no fue valorado por el titular del área del sujeto obligado que posee la información, </w:t>
      </w:r>
      <w:r w:rsidRPr="00726415">
        <w:rPr>
          <w:rFonts w:ascii="AvantGarde Bk BT" w:eastAsia="Arial Unicode MS" w:hAnsi="AvantGarde Bk BT" w:cs="Arial"/>
          <w:b/>
          <w:sz w:val="24"/>
          <w:szCs w:val="24"/>
          <w:u w:val="single"/>
          <w:lang w:eastAsia="es-ES"/>
        </w:rPr>
        <w:t xml:space="preserve">remitiendo su solicitud de manera fundamentada y </w:t>
      </w:r>
      <w:r w:rsidRPr="00726415">
        <w:rPr>
          <w:rFonts w:ascii="AvantGarde Bk BT" w:eastAsia="Arial Unicode MS" w:hAnsi="AvantGarde Bk BT" w:cs="Arial"/>
          <w:b/>
          <w:sz w:val="24"/>
          <w:szCs w:val="24"/>
          <w:u w:val="single"/>
          <w:lang w:eastAsia="es-ES"/>
        </w:rPr>
        <w:lastRenderedPageBreak/>
        <w:t>motivada, al Comité de Transparencia del mismo, para que éste analice y de resultar oportuno, apruebe la clasificación de la información con carácter confidencial.</w:t>
      </w:r>
    </w:p>
    <w:p w14:paraId="0A738238"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0C574622"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Conforme lo anterior, se evidencia la inobservancia del precepto legal 159</w:t>
      </w:r>
      <w:r w:rsidRPr="00726415">
        <w:rPr>
          <w:rFonts w:ascii="AvantGarde Bk BT" w:eastAsia="Arial Unicode MS" w:hAnsi="AvantGarde Bk BT" w:cs="Arial"/>
          <w:sz w:val="24"/>
          <w:szCs w:val="24"/>
          <w:vertAlign w:val="superscript"/>
          <w:lang w:eastAsia="es-ES"/>
        </w:rPr>
        <w:footnoteReference w:id="37"/>
      </w:r>
      <w:r w:rsidRPr="00726415">
        <w:rPr>
          <w:rFonts w:ascii="AvantGarde Bk BT" w:eastAsia="Arial Unicode MS" w:hAnsi="AvantGarde Bk BT" w:cs="Arial"/>
          <w:sz w:val="24"/>
          <w:szCs w:val="24"/>
          <w:lang w:eastAsia="es-ES"/>
        </w:rPr>
        <w:t xml:space="preserve"> de la norma en cita, puesto que al configurarse una negativa al derecho de acceso a la información, el Comité de Transparencia de la autoridad, una vez analizada las circunstancias específicas del caso en concreto, debió emitir la resolución que conforme a derecho corresponda, señalando los motivos o circunstancias especiales que llevaron al Obligado a concluir que en el caso particular se ajusta al supuesto de confidencialidad previsto por la norma legal invocada como fundamento, en razón de configurarse una excepción al principio de máxima publicidad.</w:t>
      </w:r>
    </w:p>
    <w:p w14:paraId="0B2A4B24" w14:textId="77777777" w:rsidR="004076F7" w:rsidRPr="00726415" w:rsidRDefault="004076F7" w:rsidP="004076F7">
      <w:pPr>
        <w:spacing w:after="0" w:line="360" w:lineRule="auto"/>
        <w:ind w:firstLine="708"/>
        <w:jc w:val="both"/>
        <w:rPr>
          <w:rFonts w:ascii="AvantGarde Bk BT" w:eastAsia="Arial Unicode MS" w:hAnsi="AvantGarde Bk BT" w:cs="Arial"/>
          <w:sz w:val="24"/>
          <w:szCs w:val="24"/>
          <w:lang w:eastAsia="es-ES"/>
        </w:rPr>
      </w:pPr>
    </w:p>
    <w:p w14:paraId="70914DD0" w14:textId="77777777" w:rsidR="004076F7" w:rsidRPr="00726415" w:rsidRDefault="004076F7" w:rsidP="004076F7">
      <w:pPr>
        <w:autoSpaceDE w:val="0"/>
        <w:autoSpaceDN w:val="0"/>
        <w:adjustRightInd w:val="0"/>
        <w:spacing w:after="0" w:line="360" w:lineRule="auto"/>
        <w:ind w:firstLine="709"/>
        <w:jc w:val="both"/>
        <w:rPr>
          <w:rFonts w:ascii="AvantGarde Bk BT" w:eastAsia="Arial Unicode MS" w:hAnsi="AvantGarde Bk BT" w:cs="Arial"/>
          <w:sz w:val="24"/>
          <w:szCs w:val="24"/>
          <w:lang w:eastAsia="es-ES"/>
        </w:rPr>
      </w:pPr>
      <w:r w:rsidRPr="00726415">
        <w:rPr>
          <w:rFonts w:ascii="AvantGarde Bk BT" w:hAnsi="AvantGarde Bk BT" w:cs="Arial"/>
          <w:sz w:val="24"/>
          <w:szCs w:val="24"/>
        </w:rPr>
        <w:t xml:space="preserve">Es por lo antes señalado, que éste Órgano Garante considera menester precisar que si bien el sujeto obligado, a fin de acreditar la excepción de confidencialidad de la información, emitió argumentos con la intención de relacionarla con datos que conciernen </w:t>
      </w:r>
      <w:r w:rsidRPr="00726415">
        <w:rPr>
          <w:rFonts w:ascii="AvantGarde Bk BT" w:eastAsia="Arial Unicode MS" w:hAnsi="AvantGarde Bk BT" w:cs="Arial"/>
          <w:sz w:val="24"/>
          <w:szCs w:val="24"/>
          <w:lang w:eastAsia="es-ES"/>
        </w:rPr>
        <w:t xml:space="preserve">a una persona y ésta, se relaciona con datos personales relacionados con </w:t>
      </w:r>
      <w:r w:rsidRPr="00726415">
        <w:rPr>
          <w:rFonts w:ascii="AvantGarde Bk BT" w:eastAsia="Arial Unicode MS" w:hAnsi="AvantGarde Bk BT" w:cs="Arial"/>
          <w:b/>
          <w:sz w:val="24"/>
          <w:szCs w:val="24"/>
          <w:u w:val="single"/>
          <w:lang w:eastAsia="es-ES"/>
        </w:rPr>
        <w:t>la información en posesión de los sujetos obligados que refiera a datos personales</w:t>
      </w:r>
      <w:r w:rsidRPr="00726415">
        <w:rPr>
          <w:rFonts w:ascii="AvantGarde Bk BT" w:eastAsia="Arial Unicode MS" w:hAnsi="AvantGarde Bk BT" w:cs="Arial"/>
          <w:sz w:val="24"/>
          <w:szCs w:val="24"/>
          <w:lang w:eastAsia="es-ES"/>
        </w:rPr>
        <w:t>; cuya titularidad corresponde a particulares,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titulares o sus representantes legales.</w:t>
      </w:r>
    </w:p>
    <w:p w14:paraId="11630513" w14:textId="77777777" w:rsidR="004076F7" w:rsidRPr="00726415" w:rsidRDefault="004076F7" w:rsidP="004076F7">
      <w:pPr>
        <w:autoSpaceDE w:val="0"/>
        <w:autoSpaceDN w:val="0"/>
        <w:adjustRightInd w:val="0"/>
        <w:spacing w:after="0" w:line="360" w:lineRule="auto"/>
        <w:ind w:firstLine="709"/>
        <w:jc w:val="both"/>
        <w:rPr>
          <w:rFonts w:ascii="AvantGarde Bk BT" w:eastAsia="Arial Unicode MS" w:hAnsi="AvantGarde Bk BT" w:cs="Arial"/>
          <w:sz w:val="24"/>
          <w:szCs w:val="24"/>
          <w:u w:val="single"/>
          <w:lang w:eastAsia="es-ES"/>
        </w:rPr>
      </w:pPr>
    </w:p>
    <w:p w14:paraId="1EC65B95" w14:textId="77777777" w:rsidR="004076F7" w:rsidRPr="00726415" w:rsidRDefault="004076F7" w:rsidP="004076F7">
      <w:pPr>
        <w:autoSpaceDE w:val="0"/>
        <w:autoSpaceDN w:val="0"/>
        <w:adjustRightInd w:val="0"/>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Así, </w:t>
      </w:r>
      <w:r w:rsidRPr="00726415">
        <w:rPr>
          <w:rFonts w:ascii="AvantGarde Bk BT" w:hAnsi="AvantGarde Bk BT" w:cs="Arial"/>
          <w:sz w:val="24"/>
          <w:szCs w:val="24"/>
        </w:rPr>
        <w:t xml:space="preserve"> </w:t>
      </w:r>
      <w:r w:rsidRPr="00726415">
        <w:rPr>
          <w:rFonts w:ascii="AvantGarde Bk BT" w:hAnsi="AvantGarde Bk BT" w:cs="Arial"/>
          <w:b/>
          <w:bCs/>
          <w:sz w:val="24"/>
          <w:szCs w:val="24"/>
        </w:rPr>
        <w:t xml:space="preserve">para acreditar la necesidad de clasificar la información, resultaba preciso que el sujeto obligado realizara el procedimiento de clasificación que refieren los artículos 114, 119, 120, 123, 128, 138, 142, 153 y 159 de la Ley de Transparencia y </w:t>
      </w:r>
      <w:r w:rsidRPr="00726415">
        <w:rPr>
          <w:rFonts w:ascii="AvantGarde Bk BT" w:hAnsi="AvantGarde Bk BT" w:cs="Arial"/>
          <w:b/>
          <w:bCs/>
          <w:sz w:val="24"/>
          <w:szCs w:val="24"/>
        </w:rPr>
        <w:lastRenderedPageBreak/>
        <w:t xml:space="preserve">Acceso a la Información Pública, así como las disposiciones contenidas en los </w:t>
      </w:r>
      <w:r w:rsidRPr="00726415">
        <w:rPr>
          <w:rFonts w:ascii="AvantGarde Bk BT" w:hAnsi="AvantGarde Bk BT" w:cs="Arial"/>
          <w:b/>
          <w:bCs/>
          <w:sz w:val="24"/>
          <w:szCs w:val="24"/>
          <w:lang w:val="es-ES_tradnl"/>
        </w:rPr>
        <w:t xml:space="preserve">Lineamientos Generales en Materia de Clasificación y Desclasificación de la Información, así como para la Elaboración de Versiones Públicas, a través de la justificación </w:t>
      </w:r>
      <w:r w:rsidRPr="00726415">
        <w:rPr>
          <w:rFonts w:ascii="AvantGarde Bk BT" w:hAnsi="AvantGarde Bk BT" w:cs="Arial"/>
          <w:b/>
          <w:bCs/>
          <w:sz w:val="24"/>
          <w:szCs w:val="24"/>
        </w:rPr>
        <w:t xml:space="preserve">de manera fundada y motivada, la negativa de acceso a la información concedida en la respuesta que por este medio se impugna, </w:t>
      </w:r>
      <w:r w:rsidRPr="00726415">
        <w:rPr>
          <w:rFonts w:ascii="AvantGarde Bk BT" w:hAnsi="AvantGarde Bk BT" w:cs="Arial"/>
          <w:bCs/>
          <w:sz w:val="24"/>
          <w:szCs w:val="24"/>
        </w:rPr>
        <w:t xml:space="preserve">por lo que </w:t>
      </w:r>
      <w:r w:rsidRPr="00726415">
        <w:rPr>
          <w:rFonts w:ascii="AvantGarde Bk BT" w:eastAsia="Arial Unicode MS" w:hAnsi="AvantGarde Bk BT" w:cs="Arial"/>
          <w:sz w:val="24"/>
          <w:szCs w:val="24"/>
          <w:lang w:eastAsia="es-ES"/>
        </w:rPr>
        <w:t xml:space="preserve">por lo que se concluye que </w:t>
      </w:r>
      <w:r w:rsidRPr="00726415">
        <w:rPr>
          <w:rFonts w:ascii="AvantGarde Bk BT" w:eastAsia="Arial Unicode MS" w:hAnsi="AvantGarde Bk BT" w:cs="Arial"/>
          <w:b/>
          <w:sz w:val="24"/>
          <w:szCs w:val="24"/>
          <w:u w:val="single"/>
          <w:lang w:eastAsia="es-ES"/>
        </w:rPr>
        <w:t>la clasificación de la información no fue llevada conforme al derecho positivo vigente que regula las limitantes y/o restricciones del derecho de acceso a la información pública en su carácter de confidencial.</w:t>
      </w:r>
      <w:r w:rsidRPr="00726415">
        <w:rPr>
          <w:rFonts w:ascii="AvantGarde Bk BT" w:eastAsia="Arial Unicode MS" w:hAnsi="AvantGarde Bk BT" w:cs="Arial"/>
          <w:sz w:val="24"/>
          <w:szCs w:val="24"/>
          <w:lang w:eastAsia="es-ES"/>
        </w:rPr>
        <w:t xml:space="preserve"> </w:t>
      </w:r>
    </w:p>
    <w:p w14:paraId="3AB42704" w14:textId="77777777" w:rsidR="004076F7" w:rsidRPr="00726415" w:rsidRDefault="004076F7" w:rsidP="004076F7">
      <w:pPr>
        <w:spacing w:after="0" w:line="360" w:lineRule="auto"/>
        <w:ind w:right="-93" w:firstLine="708"/>
        <w:jc w:val="both"/>
        <w:rPr>
          <w:rFonts w:ascii="AvantGarde Bk BT" w:eastAsia="Arial Unicode MS" w:hAnsi="AvantGarde Bk BT" w:cs="Arial"/>
          <w:sz w:val="24"/>
          <w:szCs w:val="24"/>
          <w:lang w:eastAsia="es-ES"/>
        </w:rPr>
      </w:pPr>
    </w:p>
    <w:p w14:paraId="2C498DA9" w14:textId="053E42B4"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b/>
          <w:sz w:val="24"/>
          <w:szCs w:val="24"/>
          <w:u w:val="single"/>
        </w:rPr>
      </w:pPr>
      <w:r w:rsidRPr="00726415">
        <w:rPr>
          <w:rFonts w:ascii="AvantGarde Bk BT" w:hAnsi="AvantGarde Bk BT" w:cs="Arial"/>
          <w:sz w:val="24"/>
          <w:szCs w:val="24"/>
        </w:rPr>
        <w:t xml:space="preserve">Por lo antes vertido, resulta dable determinar que el sujeto obligado </w:t>
      </w:r>
      <w:r w:rsidRPr="00726415">
        <w:rPr>
          <w:rFonts w:ascii="AvantGarde Bk BT" w:hAnsi="AvantGarde Bk BT" w:cs="Arial"/>
          <w:b/>
          <w:sz w:val="24"/>
          <w:szCs w:val="24"/>
          <w:u w:val="single"/>
        </w:rPr>
        <w:t>no satisfizo los elementos y requisitos para acreditar la procedencia de la clasificación de la información,</w:t>
      </w:r>
      <w:r w:rsidRPr="00726415">
        <w:rPr>
          <w:rFonts w:ascii="AvantGarde Bk BT" w:hAnsi="AvantGarde Bk BT" w:cs="Arial"/>
          <w:sz w:val="24"/>
          <w:szCs w:val="24"/>
        </w:rPr>
        <w:t xml:space="preserve"> en tanto que </w:t>
      </w:r>
      <w:r w:rsidRPr="00726415">
        <w:rPr>
          <w:rFonts w:ascii="AvantGarde Bk BT" w:hAnsi="AvantGarde Bk BT" w:cs="Arial"/>
          <w:b/>
          <w:bCs/>
          <w:sz w:val="24"/>
          <w:szCs w:val="24"/>
          <w:u w:val="single"/>
        </w:rPr>
        <w:t>se hizo visible la omisión de proceder conforme lo previsto en la normatividad referida en párrafos que anteceden, incumpliendo los elementos de la adecuada fundamentación y motivación de los actos administrativos; ello toda vez que, al actualizarse una excepción al derecho de acceso a la información, se debió acreditar en sus extremos, la procedencia de la confidencialidad respecto de la documentación</w:t>
      </w:r>
      <w:r w:rsidR="00F0140D" w:rsidRPr="00726415">
        <w:rPr>
          <w:rFonts w:ascii="AvantGarde Bk BT" w:hAnsi="AvantGarde Bk BT" w:cs="Arial"/>
          <w:b/>
          <w:bCs/>
          <w:sz w:val="24"/>
          <w:szCs w:val="24"/>
          <w:u w:val="single"/>
        </w:rPr>
        <w:t xml:space="preserve"> peticionada</w:t>
      </w:r>
      <w:r w:rsidRPr="00726415">
        <w:rPr>
          <w:rFonts w:ascii="AvantGarde Bk BT" w:hAnsi="AvantGarde Bk BT" w:cs="Arial"/>
          <w:b/>
          <w:bCs/>
          <w:sz w:val="24"/>
          <w:szCs w:val="24"/>
          <w:u w:val="single"/>
        </w:rPr>
        <w:t xml:space="preserve"> </w:t>
      </w:r>
      <w:r w:rsidR="00F0140D" w:rsidRPr="00726415">
        <w:rPr>
          <w:rFonts w:ascii="AvantGarde Bk BT" w:hAnsi="AvantGarde Bk BT" w:cs="Arial"/>
          <w:b/>
          <w:bCs/>
          <w:sz w:val="24"/>
          <w:szCs w:val="24"/>
          <w:u w:val="single"/>
        </w:rPr>
        <w:t>por el</w:t>
      </w:r>
      <w:r w:rsidRPr="00726415">
        <w:rPr>
          <w:rFonts w:ascii="AvantGarde Bk BT" w:hAnsi="AvantGarde Bk BT" w:cs="Arial"/>
          <w:b/>
          <w:bCs/>
          <w:sz w:val="24"/>
          <w:szCs w:val="24"/>
          <w:u w:val="single"/>
        </w:rPr>
        <w:t xml:space="preserve"> aquí recurrente, a través de su justificación con el discurso lógico correspondiente</w:t>
      </w:r>
      <w:r w:rsidRPr="00726415">
        <w:rPr>
          <w:rFonts w:ascii="AvantGarde Bk BT" w:hAnsi="AvantGarde Bk BT" w:cs="Arial"/>
          <w:b/>
          <w:sz w:val="24"/>
          <w:szCs w:val="24"/>
          <w:u w:val="single"/>
        </w:rPr>
        <w:t>.</w:t>
      </w:r>
    </w:p>
    <w:p w14:paraId="1CCC51A1"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p>
    <w:p w14:paraId="65646108" w14:textId="77777777" w:rsidR="004076F7" w:rsidRPr="00726415" w:rsidRDefault="004076F7" w:rsidP="004076F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Ello pues, la clasificación de la información, como elemento restrictivo del ejercicio de acceso a la información pública, debe aplicarse de manera precisa, sin causar una lesividad a los particulares que ejercitan su derecho de acceso a la información pública.</w:t>
      </w:r>
    </w:p>
    <w:p w14:paraId="50271F70" w14:textId="70AC83D9" w:rsidR="004076F7" w:rsidRPr="00726415" w:rsidRDefault="004076F7" w:rsidP="002C1AF3">
      <w:pPr>
        <w:pStyle w:val="corte4fondo"/>
        <w:tabs>
          <w:tab w:val="left" w:pos="567"/>
        </w:tabs>
        <w:spacing w:after="240"/>
        <w:ind w:firstLine="680"/>
        <w:rPr>
          <w:rFonts w:ascii="AvantGarde Bk BT" w:hAnsi="AvantGarde Bk BT" w:cs="Arial"/>
          <w:sz w:val="24"/>
          <w:szCs w:val="24"/>
        </w:rPr>
      </w:pPr>
    </w:p>
    <w:p w14:paraId="250C47D7" w14:textId="77777777" w:rsidR="00F0140D" w:rsidRPr="00726415" w:rsidRDefault="00F0140D" w:rsidP="00F0140D">
      <w:pPr>
        <w:spacing w:after="0" w:line="360" w:lineRule="auto"/>
        <w:ind w:firstLine="709"/>
        <w:jc w:val="both"/>
        <w:rPr>
          <w:rFonts w:ascii="AvantGarde Bk BT" w:hAnsi="AvantGarde Bk BT" w:cs="Arial"/>
          <w:sz w:val="24"/>
          <w:szCs w:val="24"/>
        </w:rPr>
      </w:pPr>
      <w:r w:rsidRPr="00726415">
        <w:rPr>
          <w:rFonts w:ascii="AvantGarde Bk BT" w:eastAsia="Arial Unicode MS" w:hAnsi="AvantGarde Bk BT" w:cs="Arial"/>
          <w:sz w:val="24"/>
          <w:szCs w:val="24"/>
          <w:lang w:eastAsia="es-ES"/>
        </w:rPr>
        <w:t xml:space="preserve">Ahora bien, </w:t>
      </w:r>
      <w:r w:rsidRPr="00726415">
        <w:rPr>
          <w:rFonts w:ascii="AvantGarde Bk BT" w:hAnsi="AvantGarde Bk BT" w:cs="Arial"/>
          <w:sz w:val="24"/>
          <w:szCs w:val="24"/>
        </w:rPr>
        <w:t>este Organismo autónomo</w:t>
      </w:r>
      <w:r w:rsidRPr="00726415">
        <w:rPr>
          <w:rStyle w:val="Refdenotaalpie"/>
          <w:rFonts w:ascii="AvantGarde Bk BT" w:hAnsi="AvantGarde Bk BT" w:cs="Arial"/>
        </w:rPr>
        <w:footnoteReference w:id="38"/>
      </w:r>
      <w:r w:rsidRPr="00726415">
        <w:rPr>
          <w:rFonts w:ascii="AvantGarde Bk BT" w:hAnsi="AvantGarde Bk BT" w:cs="Arial"/>
          <w:sz w:val="24"/>
          <w:szCs w:val="24"/>
        </w:rPr>
        <w:t xml:space="preserve"> responsable de los procedimientos de revisión en materia de acceso a la información</w:t>
      </w:r>
      <w:r w:rsidRPr="00726415">
        <w:rPr>
          <w:rStyle w:val="Refdenotaalpie"/>
          <w:rFonts w:ascii="AvantGarde Bk BT" w:hAnsi="AvantGarde Bk BT" w:cs="Arial"/>
        </w:rPr>
        <w:footnoteReference w:id="39"/>
      </w:r>
      <w:r w:rsidRPr="00726415">
        <w:rPr>
          <w:rFonts w:ascii="AvantGarde Bk BT" w:hAnsi="AvantGarde Bk BT" w:cs="Arial"/>
          <w:sz w:val="24"/>
          <w:szCs w:val="24"/>
        </w:rPr>
        <w:t xml:space="preserve"> al regirse por el principio de </w:t>
      </w:r>
      <w:proofErr w:type="spellStart"/>
      <w:r w:rsidRPr="00726415">
        <w:rPr>
          <w:rFonts w:ascii="AvantGarde Bk BT" w:hAnsi="AvantGarde Bk BT" w:cs="Arial"/>
          <w:sz w:val="24"/>
          <w:szCs w:val="24"/>
        </w:rPr>
        <w:t>expeditez</w:t>
      </w:r>
      <w:proofErr w:type="spellEnd"/>
      <w:r w:rsidRPr="00726415">
        <w:rPr>
          <w:rFonts w:ascii="AvantGarde Bk BT" w:hAnsi="AvantGarde Bk BT" w:cs="Arial"/>
          <w:sz w:val="24"/>
          <w:szCs w:val="24"/>
        </w:rPr>
        <w:t xml:space="preserve">, conforme al artículo 6o., apartado A, fracción IV, de la Constitución Política de los Estados Unidos Mexicanos, mientras que el derecho fundamental de acceso a la justicia, tutelado por el artículo 17 de la Norma Fundamental, compele a los órganos </w:t>
      </w:r>
      <w:r w:rsidRPr="00726415">
        <w:rPr>
          <w:rFonts w:ascii="AvantGarde Bk BT" w:hAnsi="AvantGarde Bk BT" w:cs="Arial"/>
          <w:sz w:val="24"/>
          <w:szCs w:val="24"/>
        </w:rPr>
        <w:lastRenderedPageBreak/>
        <w:t>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Pr="00726415">
        <w:rPr>
          <w:rStyle w:val="Refdenotaalpie"/>
          <w:rFonts w:ascii="AvantGarde Bk BT" w:hAnsi="AvantGarde Bk BT" w:cs="Arial"/>
        </w:rPr>
        <w:footnoteReference w:id="40"/>
      </w:r>
      <w:r w:rsidRPr="00726415">
        <w:rPr>
          <w:rFonts w:ascii="AvantGarde Bk BT" w:hAnsi="AvantGarde Bk BT" w:cs="Arial"/>
          <w:sz w:val="24"/>
          <w:szCs w:val="24"/>
        </w:rPr>
        <w:t xml:space="preserve">. </w:t>
      </w:r>
    </w:p>
    <w:p w14:paraId="632CDBD2" w14:textId="77777777" w:rsidR="00F0140D" w:rsidRPr="00726415" w:rsidRDefault="00F0140D" w:rsidP="00F0140D">
      <w:pPr>
        <w:spacing w:after="0" w:line="360" w:lineRule="auto"/>
        <w:ind w:firstLine="709"/>
        <w:jc w:val="both"/>
        <w:rPr>
          <w:rFonts w:ascii="AvantGarde Bk BT" w:hAnsi="AvantGarde Bk BT" w:cs="Arial"/>
          <w:sz w:val="24"/>
          <w:szCs w:val="24"/>
        </w:rPr>
      </w:pPr>
    </w:p>
    <w:p w14:paraId="4AF9E387" w14:textId="77777777" w:rsidR="00F0140D" w:rsidRPr="00726415" w:rsidRDefault="00F0140D" w:rsidP="00F0140D">
      <w:pPr>
        <w:spacing w:after="0" w:line="360" w:lineRule="auto"/>
        <w:ind w:firstLine="709"/>
        <w:jc w:val="both"/>
        <w:rPr>
          <w:rFonts w:ascii="AvantGarde Bk BT" w:hAnsi="AvantGarde Bk BT" w:cs="Arial"/>
          <w:sz w:val="24"/>
          <w:szCs w:val="24"/>
        </w:rPr>
      </w:pPr>
      <w:r w:rsidRPr="00726415">
        <w:rPr>
          <w:rFonts w:ascii="AvantGarde Bk BT" w:hAnsi="AvantGarde Bk BT" w:cs="Arial"/>
          <w:sz w:val="24"/>
          <w:szCs w:val="24"/>
        </w:rPr>
        <w:t>Con apoyo en ese marco jurídico, en los casos en que, ante una solicitud de información, el Sujeto Obligado hace manifiesta la excepción en el ejercicio del derecho de acceso a la información, el particular puede impugnar la clasificación de la información, acudiendo al procedimiento de inconformidad</w:t>
      </w:r>
      <w:r w:rsidRPr="00726415">
        <w:rPr>
          <w:rStyle w:val="Refdenotaalpie"/>
          <w:rFonts w:ascii="AvantGarde Bk BT" w:hAnsi="AvantGarde Bk BT" w:cs="Arial"/>
        </w:rPr>
        <w:footnoteReference w:id="41"/>
      </w:r>
      <w:r w:rsidRPr="00726415">
        <w:rPr>
          <w:rFonts w:ascii="AvantGarde Bk BT" w:hAnsi="AvantGarde Bk BT" w:cs="Arial"/>
          <w:sz w:val="24"/>
          <w:szCs w:val="24"/>
        </w:rPr>
        <w:t xml:space="preserve"> bajo el supuesto de la fracción I</w:t>
      </w:r>
      <w:r w:rsidRPr="00726415">
        <w:rPr>
          <w:rStyle w:val="Refdenotaalpie"/>
          <w:rFonts w:ascii="AvantGarde Bk BT" w:hAnsi="AvantGarde Bk BT" w:cs="Arial"/>
        </w:rPr>
        <w:footnoteReference w:id="42"/>
      </w:r>
      <w:r w:rsidRPr="00726415">
        <w:rPr>
          <w:rFonts w:ascii="AvantGarde Bk BT" w:hAnsi="AvantGarde Bk BT" w:cs="Arial"/>
          <w:sz w:val="24"/>
          <w:szCs w:val="24"/>
        </w:rPr>
        <w:t xml:space="preserve"> del artículo 167</w:t>
      </w:r>
      <w:r w:rsidRPr="00726415">
        <w:rPr>
          <w:rStyle w:val="Refdenotaalpie"/>
          <w:rFonts w:ascii="AvantGarde Bk BT" w:hAnsi="AvantGarde Bk BT" w:cs="Arial"/>
        </w:rPr>
        <w:footnoteReference w:id="43"/>
      </w:r>
      <w:r w:rsidRPr="00726415">
        <w:rPr>
          <w:rFonts w:ascii="AvantGarde Bk BT" w:hAnsi="AvantGarde Bk BT" w:cs="Arial"/>
          <w:sz w:val="24"/>
          <w:szCs w:val="24"/>
        </w:rPr>
        <w:t xml:space="preserve"> de la Ley de Transparencia y Acceso a la Información Pública del Estado.</w:t>
      </w:r>
    </w:p>
    <w:p w14:paraId="6F9A7C85" w14:textId="77777777" w:rsidR="00F0140D" w:rsidRPr="00726415" w:rsidRDefault="00F0140D" w:rsidP="00F0140D">
      <w:pPr>
        <w:spacing w:after="0" w:line="360" w:lineRule="auto"/>
        <w:ind w:firstLine="709"/>
        <w:jc w:val="both"/>
        <w:rPr>
          <w:rFonts w:ascii="AvantGarde Bk BT" w:hAnsi="AvantGarde Bk BT" w:cs="Arial"/>
          <w:sz w:val="24"/>
          <w:szCs w:val="24"/>
        </w:rPr>
      </w:pPr>
    </w:p>
    <w:p w14:paraId="14A7E94A" w14:textId="77777777" w:rsidR="00F0140D" w:rsidRPr="00726415" w:rsidRDefault="00F0140D" w:rsidP="00F0140D">
      <w:pPr>
        <w:spacing w:after="0" w:line="360" w:lineRule="auto"/>
        <w:ind w:firstLine="709"/>
        <w:jc w:val="both"/>
        <w:rPr>
          <w:rFonts w:ascii="AvantGarde Bk BT" w:eastAsia="Arial Unicode MS" w:hAnsi="AvantGarde Bk BT" w:cs="Arial"/>
          <w:b/>
          <w:sz w:val="24"/>
          <w:szCs w:val="24"/>
          <w:lang w:eastAsia="es-ES"/>
        </w:rPr>
      </w:pPr>
      <w:r w:rsidRPr="00726415">
        <w:rPr>
          <w:rFonts w:ascii="AvantGarde Bk BT" w:hAnsi="AvantGarde Bk BT" w:cs="Arial"/>
          <w:sz w:val="24"/>
          <w:szCs w:val="24"/>
        </w:rPr>
        <w:t>Es de recordar que e</w:t>
      </w:r>
      <w:r w:rsidRPr="00726415">
        <w:rPr>
          <w:rFonts w:ascii="AvantGarde Bk BT" w:hAnsi="AvantGarde Bk BT" w:cs="Arial"/>
          <w:sz w:val="24"/>
          <w:szCs w:val="24"/>
          <w:lang w:val="es-ES_tradnl"/>
        </w:rPr>
        <w:t>l recurso de revisión nace como un medio de impugnación efectivo, sencillo y rápido, para remediar o impedir prácticas que limitan el ejercicio efectivo del derecho de acceso a la información, por lo que</w:t>
      </w:r>
      <w:r w:rsidRPr="00726415">
        <w:rPr>
          <w:rFonts w:ascii="AvantGarde Bk BT" w:eastAsia="Arial Unicode MS" w:hAnsi="AvantGarde Bk BT" w:cs="Arial"/>
          <w:sz w:val="24"/>
          <w:szCs w:val="24"/>
          <w:lang w:eastAsia="es-ES"/>
        </w:rPr>
        <w:t xml:space="preserve"> </w:t>
      </w:r>
      <w:r w:rsidRPr="00726415">
        <w:rPr>
          <w:rFonts w:ascii="AvantGarde Bk BT" w:eastAsia="Arial Unicode MS" w:hAnsi="AvantGarde Bk BT" w:cs="Arial"/>
          <w:b/>
          <w:sz w:val="24"/>
          <w:szCs w:val="24"/>
          <w:lang w:eastAsia="es-ES"/>
        </w:rPr>
        <w:t>esta Comisión, con fundamento en lo previsto en el artículo 173</w:t>
      </w:r>
      <w:r w:rsidRPr="00726415">
        <w:rPr>
          <w:rStyle w:val="Refdenotaalpie"/>
          <w:rFonts w:ascii="AvantGarde Bk BT" w:eastAsia="Arial Unicode MS" w:hAnsi="AvantGarde Bk BT" w:cs="Arial"/>
          <w:b/>
        </w:rPr>
        <w:footnoteReference w:id="44"/>
      </w:r>
      <w:r w:rsidRPr="00726415">
        <w:rPr>
          <w:rFonts w:ascii="AvantGarde Bk BT" w:eastAsia="Arial Unicode MS" w:hAnsi="AvantGarde Bk BT" w:cs="Arial"/>
          <w:b/>
          <w:sz w:val="24"/>
          <w:szCs w:val="24"/>
          <w:lang w:eastAsia="es-ES"/>
        </w:rPr>
        <w:t xml:space="preserve"> de la Ley de Transparencia y Acceso a la Información Pública del Estado, establecerá el deslinde de lo estrictamente privado, legítimamente sustraído a la observación pública, en la colisión de derechos que se ha permeado en la presente determinación a petición de la parte recurrente. </w:t>
      </w:r>
    </w:p>
    <w:p w14:paraId="08AD6FD0" w14:textId="77777777" w:rsidR="00F0140D" w:rsidRPr="00726415" w:rsidRDefault="00F0140D" w:rsidP="00F0140D">
      <w:pPr>
        <w:spacing w:after="0" w:line="360" w:lineRule="auto"/>
        <w:ind w:firstLine="709"/>
        <w:jc w:val="both"/>
        <w:rPr>
          <w:rFonts w:ascii="AvantGarde Bk BT" w:eastAsia="Arial Unicode MS" w:hAnsi="AvantGarde Bk BT" w:cs="Arial"/>
          <w:sz w:val="24"/>
          <w:szCs w:val="24"/>
          <w:lang w:eastAsia="es-ES"/>
        </w:rPr>
      </w:pPr>
    </w:p>
    <w:p w14:paraId="00A72D52" w14:textId="77777777" w:rsidR="00F0140D" w:rsidRPr="00726415" w:rsidRDefault="00F0140D" w:rsidP="00F0140D">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torno a los hechos presentados por las partes, subyace un conflicto entre el derecho de acceso a la información y la protección de los datos personales. En el </w:t>
      </w:r>
      <w:r w:rsidRPr="00726415">
        <w:rPr>
          <w:rFonts w:ascii="AvantGarde Bk BT" w:eastAsia="Arial Unicode MS" w:hAnsi="AvantGarde Bk BT" w:cs="Arial"/>
          <w:sz w:val="24"/>
          <w:szCs w:val="24"/>
          <w:lang w:eastAsia="es-ES"/>
        </w:rPr>
        <w:lastRenderedPageBreak/>
        <w:t>ámbito local, la Ley de Transparencia y Acceso a la Información, reconoce que, por parte de los sujetos obligados, se debe garantizar el ejercicio de ambos derechos.</w:t>
      </w:r>
      <w:r w:rsidRPr="00726415">
        <w:rPr>
          <w:rStyle w:val="Refdenotaalpie"/>
          <w:rFonts w:ascii="AvantGarde Bk BT" w:eastAsia="Arial Unicode MS" w:hAnsi="AvantGarde Bk BT" w:cs="Arial"/>
        </w:rPr>
        <w:footnoteReference w:id="45"/>
      </w:r>
    </w:p>
    <w:p w14:paraId="28826374" w14:textId="77777777" w:rsidR="00F0140D" w:rsidRPr="00726415" w:rsidRDefault="00F0140D" w:rsidP="00F0140D">
      <w:pPr>
        <w:spacing w:after="0" w:line="360" w:lineRule="auto"/>
        <w:ind w:firstLine="708"/>
        <w:jc w:val="both"/>
        <w:rPr>
          <w:rFonts w:ascii="AvantGarde Bk BT" w:eastAsia="Arial Unicode MS" w:hAnsi="AvantGarde Bk BT" w:cs="Arial"/>
          <w:sz w:val="24"/>
          <w:szCs w:val="24"/>
          <w:lang w:eastAsia="es-ES"/>
        </w:rPr>
      </w:pPr>
    </w:p>
    <w:p w14:paraId="2D2E299E" w14:textId="77777777" w:rsidR="00F0140D" w:rsidRPr="00726415" w:rsidRDefault="00F0140D" w:rsidP="00F0140D">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este sentido, la prevalencia de alguno en determinado caso dependerá de la ponderación que se haga a través de un juicio de proporcionalidad. La solución del conflicto que se presenta entre ciertos derechos requiere el examen de cada caso, conforme a sus características y circunstancias, para apreciar la existencia e intensidad de los elementos en que se sustenta dicho juicio.</w:t>
      </w:r>
    </w:p>
    <w:p w14:paraId="5EFF5485" w14:textId="77777777" w:rsidR="00F0140D" w:rsidRPr="00726415" w:rsidRDefault="00F0140D" w:rsidP="00F0140D">
      <w:pPr>
        <w:spacing w:after="0" w:line="360" w:lineRule="auto"/>
        <w:ind w:firstLine="708"/>
        <w:jc w:val="both"/>
        <w:rPr>
          <w:rFonts w:ascii="AvantGarde Bk BT" w:eastAsia="Arial Unicode MS" w:hAnsi="AvantGarde Bk BT" w:cs="Arial"/>
          <w:sz w:val="24"/>
          <w:szCs w:val="24"/>
          <w:lang w:eastAsia="es-ES"/>
        </w:rPr>
      </w:pPr>
    </w:p>
    <w:p w14:paraId="045A6AC5" w14:textId="77777777" w:rsidR="00F0140D" w:rsidRPr="00726415" w:rsidRDefault="00F0140D" w:rsidP="00F0140D">
      <w:pPr>
        <w:spacing w:after="0" w:line="360" w:lineRule="auto"/>
        <w:ind w:firstLine="709"/>
        <w:jc w:val="both"/>
        <w:rPr>
          <w:rFonts w:ascii="AvantGarde Bk BT" w:eastAsia="Arial Unicode MS" w:hAnsi="AvantGarde Bk BT" w:cs="Arial"/>
          <w:bCs/>
          <w:sz w:val="24"/>
          <w:szCs w:val="24"/>
          <w:lang w:eastAsia="es-ES"/>
        </w:rPr>
      </w:pPr>
      <w:r w:rsidRPr="00726415">
        <w:rPr>
          <w:rFonts w:ascii="AvantGarde Bk BT" w:eastAsia="Arial Unicode MS" w:hAnsi="AvantGarde Bk BT" w:cs="Arial"/>
          <w:bCs/>
          <w:sz w:val="24"/>
          <w:szCs w:val="24"/>
          <w:lang w:eastAsia="es-ES"/>
        </w:rPr>
        <w:t xml:space="preserve">Respecto al contenido del derecho de acceso a la información, la Ley de Transparencia y Acceso a la Información Pública del Estado, señala que esta prerrogativa comprende: </w:t>
      </w:r>
      <w:r w:rsidRPr="00726415">
        <w:rPr>
          <w:rFonts w:ascii="AvantGarde Bk BT" w:eastAsia="Arial Unicode MS" w:hAnsi="AvantGarde Bk BT" w:cs="Arial"/>
          <w:bCs/>
          <w:sz w:val="24"/>
          <w:szCs w:val="24"/>
          <w:u w:val="single"/>
          <w:lang w:eastAsia="es-ES"/>
        </w:rPr>
        <w:t>solicitar, investigar, difundir, buscar y recibir información</w:t>
      </w:r>
      <w:r w:rsidRPr="00726415">
        <w:rPr>
          <w:rFonts w:ascii="AvantGarde Bk BT" w:eastAsia="Arial Unicode MS" w:hAnsi="AvantGarde Bk BT" w:cs="Arial"/>
          <w:bCs/>
          <w:sz w:val="24"/>
          <w:szCs w:val="24"/>
          <w:lang w:eastAsia="es-ES"/>
        </w:rPr>
        <w:t xml:space="preserve">, en el entendido de que </w:t>
      </w:r>
      <w:r w:rsidRPr="00726415">
        <w:rPr>
          <w:rFonts w:ascii="AvantGarde Bk BT" w:eastAsia="Arial Unicode MS" w:hAnsi="AvantGarde Bk BT" w:cs="Arial"/>
          <w:bCs/>
          <w:sz w:val="24"/>
          <w:szCs w:val="24"/>
          <w:u w:val="single"/>
          <w:lang w:eastAsia="es-ES"/>
        </w:rPr>
        <w:t>toda la información generada, obtenida, adquirida, transformada o en posesión de los sujetos obligados es pública y accesible a cualquier persona en los términos y condiciones que se establezcan en la Ley</w:t>
      </w:r>
      <w:r w:rsidRPr="00726415">
        <w:rPr>
          <w:rFonts w:ascii="AvantGarde Bk BT" w:eastAsia="Arial Unicode MS" w:hAnsi="AvantGarde Bk BT" w:cs="Arial"/>
          <w:bCs/>
          <w:sz w:val="24"/>
          <w:szCs w:val="24"/>
          <w:lang w:eastAsia="es-ES"/>
        </w:rPr>
        <w:t>.</w:t>
      </w:r>
      <w:r w:rsidRPr="00726415">
        <w:rPr>
          <w:rStyle w:val="Refdenotaalpie"/>
          <w:rFonts w:ascii="AvantGarde Bk BT" w:eastAsia="Arial Unicode MS" w:hAnsi="AvantGarde Bk BT" w:cs="Arial"/>
          <w:bCs/>
        </w:rPr>
        <w:footnoteReference w:id="46"/>
      </w:r>
      <w:r w:rsidRPr="00726415">
        <w:rPr>
          <w:rFonts w:ascii="AvantGarde Bk BT" w:eastAsia="Arial Unicode MS" w:hAnsi="AvantGarde Bk BT" w:cs="Arial"/>
          <w:bCs/>
          <w:sz w:val="24"/>
          <w:szCs w:val="24"/>
          <w:lang w:eastAsia="es-ES"/>
        </w:rPr>
        <w:t xml:space="preserve"> Así, en opuesto extremo, los</w:t>
      </w:r>
      <w:r w:rsidRPr="00726415">
        <w:rPr>
          <w:rFonts w:ascii="AvantGarde Bk BT" w:eastAsia="Arial Unicode MS" w:hAnsi="AvantGarde Bk BT" w:cs="Arial"/>
          <w:bCs/>
          <w:sz w:val="24"/>
          <w:szCs w:val="24"/>
          <w:lang w:val="es-ES" w:eastAsia="es-ES"/>
        </w:rPr>
        <w:t xml:space="preserve"> “datos personales” son aquellos que conciernen a un</w:t>
      </w:r>
      <w:r w:rsidRPr="00726415">
        <w:rPr>
          <w:rFonts w:ascii="AvantGarde Bk BT" w:eastAsia="Arial Unicode MS" w:hAnsi="AvantGarde Bk BT" w:cs="Arial"/>
          <w:sz w:val="24"/>
          <w:szCs w:val="24"/>
          <w:lang w:eastAsia="es-ES"/>
        </w:rPr>
        <w:t>a persona identificada o identificable cuando su identidad pueda determinarse directa o indirectamente a través de cualquier información</w:t>
      </w:r>
      <w:r w:rsidRPr="00726415">
        <w:rPr>
          <w:rStyle w:val="Refdenotaalpie"/>
          <w:rFonts w:ascii="AvantGarde Bk BT" w:eastAsia="Arial Unicode MS" w:hAnsi="AvantGarde Bk BT" w:cs="Arial"/>
        </w:rPr>
        <w:footnoteReference w:id="47"/>
      </w:r>
      <w:r w:rsidRPr="00726415">
        <w:rPr>
          <w:rFonts w:ascii="AvantGarde Bk BT" w:eastAsia="Arial Unicode MS" w:hAnsi="AvantGarde Bk BT" w:cs="Arial"/>
          <w:sz w:val="24"/>
          <w:szCs w:val="24"/>
          <w:lang w:eastAsia="es-ES"/>
        </w:rPr>
        <w:t xml:space="preserve">. </w:t>
      </w:r>
    </w:p>
    <w:p w14:paraId="1BBEA757" w14:textId="77777777" w:rsidR="00F0140D" w:rsidRPr="00726415" w:rsidRDefault="00F0140D" w:rsidP="00F0140D">
      <w:pPr>
        <w:spacing w:after="0" w:line="360" w:lineRule="auto"/>
        <w:ind w:right="51" w:firstLine="709"/>
        <w:jc w:val="both"/>
        <w:rPr>
          <w:rFonts w:ascii="AvantGarde Bk BT" w:eastAsia="Arial Unicode MS" w:hAnsi="AvantGarde Bk BT" w:cs="Arial"/>
          <w:sz w:val="24"/>
          <w:szCs w:val="24"/>
          <w:lang w:eastAsia="es-ES"/>
        </w:rPr>
      </w:pPr>
    </w:p>
    <w:p w14:paraId="7C2668AD" w14:textId="77777777" w:rsidR="00F0140D" w:rsidRPr="00726415" w:rsidRDefault="00F0140D" w:rsidP="00F0140D">
      <w:pPr>
        <w:spacing w:after="0" w:line="360" w:lineRule="auto"/>
        <w:ind w:right="51"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Asimismo, la citada normatividad prevé que la información confidencial</w:t>
      </w:r>
      <w:r w:rsidRPr="00726415">
        <w:rPr>
          <w:rStyle w:val="Refdenotaalpie"/>
          <w:rFonts w:ascii="AvantGarde Bk BT" w:eastAsia="Arial Unicode MS" w:hAnsi="AvantGarde Bk BT" w:cs="Arial"/>
        </w:rPr>
        <w:footnoteReference w:id="48"/>
      </w:r>
      <w:r w:rsidRPr="00726415">
        <w:rPr>
          <w:rFonts w:ascii="AvantGarde Bk BT" w:eastAsia="Arial Unicode MS" w:hAnsi="AvantGarde Bk BT" w:cs="Arial"/>
          <w:sz w:val="24"/>
          <w:szCs w:val="24"/>
          <w:lang w:eastAsia="es-ES"/>
        </w:rPr>
        <w:t xml:space="preserve"> es aquella que: </w:t>
      </w:r>
    </w:p>
    <w:p w14:paraId="688ABE44" w14:textId="77777777" w:rsidR="00F0140D" w:rsidRPr="00726415" w:rsidRDefault="00F0140D" w:rsidP="00F0140D">
      <w:pPr>
        <w:pStyle w:val="Prrafodelista"/>
        <w:numPr>
          <w:ilvl w:val="0"/>
          <w:numId w:val="49"/>
        </w:numPr>
        <w:spacing w:after="0" w:line="360" w:lineRule="auto"/>
        <w:ind w:right="51"/>
        <w:jc w:val="both"/>
        <w:rPr>
          <w:rFonts w:ascii="AvantGarde Bk BT" w:eastAsia="Arial Unicode MS" w:hAnsi="AvantGarde Bk BT" w:cs="Arial"/>
          <w:sz w:val="24"/>
          <w:szCs w:val="24"/>
          <w:lang w:val="es-ES_tradnl" w:eastAsia="es-ES"/>
        </w:rPr>
      </w:pPr>
      <w:r w:rsidRPr="00726415">
        <w:rPr>
          <w:rFonts w:ascii="AvantGarde Bk BT" w:eastAsia="Arial Unicode MS" w:hAnsi="AvantGarde Bk BT" w:cs="Arial"/>
          <w:sz w:val="24"/>
          <w:szCs w:val="24"/>
          <w:lang w:val="es-ES_tradnl" w:eastAsia="es-ES"/>
        </w:rPr>
        <w:lastRenderedPageBreak/>
        <w:t xml:space="preserve">Refiera a datos personales; </w:t>
      </w:r>
    </w:p>
    <w:p w14:paraId="2DB215A4" w14:textId="77777777" w:rsidR="00F0140D" w:rsidRPr="00726415" w:rsidRDefault="00F0140D" w:rsidP="00F0140D">
      <w:pPr>
        <w:pStyle w:val="Prrafodelista"/>
        <w:numPr>
          <w:ilvl w:val="0"/>
          <w:numId w:val="49"/>
        </w:numPr>
        <w:spacing w:after="0" w:line="360" w:lineRule="auto"/>
        <w:ind w:right="51"/>
        <w:jc w:val="both"/>
        <w:rPr>
          <w:rFonts w:ascii="AvantGarde Bk BT" w:eastAsia="Arial Unicode MS" w:hAnsi="AvantGarde Bk BT" w:cs="Arial"/>
          <w:sz w:val="24"/>
          <w:szCs w:val="24"/>
          <w:lang w:val="es-ES_tradnl" w:eastAsia="es-ES"/>
        </w:rPr>
      </w:pPr>
      <w:r w:rsidRPr="00726415">
        <w:rPr>
          <w:rFonts w:ascii="AvantGarde Bk BT" w:eastAsia="Arial Unicode MS" w:hAnsi="AvantGarde Bk BT" w:cs="Arial"/>
          <w:sz w:val="24"/>
          <w:szCs w:val="24"/>
          <w:lang w:val="es-ES_tradnl" w:eastAsia="es-ES"/>
        </w:rPr>
        <w:t xml:space="preserve">La que se refiere a los secretos bancario, fiduciario, industrial, comercial, fiscal, bursátil y postal cuya titularidad corresponda a particulares, sujetos de derecho internacional o a sujetos obligados </w:t>
      </w:r>
      <w:r w:rsidRPr="00726415">
        <w:rPr>
          <w:rFonts w:ascii="AvantGarde Bk BT" w:eastAsia="Arial Unicode MS" w:hAnsi="AvantGarde Bk BT" w:cs="Arial"/>
          <w:sz w:val="24"/>
          <w:szCs w:val="24"/>
          <w:u w:val="single"/>
          <w:lang w:val="es-ES_tradnl" w:eastAsia="es-ES"/>
        </w:rPr>
        <w:t>cuando no involucren el ejercicio de recursos públicos</w:t>
      </w:r>
      <w:r w:rsidRPr="00726415">
        <w:rPr>
          <w:rFonts w:ascii="AvantGarde Bk BT" w:eastAsia="Arial Unicode MS" w:hAnsi="AvantGarde Bk BT" w:cs="Arial"/>
          <w:sz w:val="24"/>
          <w:szCs w:val="24"/>
          <w:lang w:val="es-ES_tradnl" w:eastAsia="es-ES"/>
        </w:rPr>
        <w:t xml:space="preserve">; </w:t>
      </w:r>
    </w:p>
    <w:p w14:paraId="23F4ED60" w14:textId="77777777" w:rsidR="00F0140D" w:rsidRPr="00726415" w:rsidRDefault="00F0140D" w:rsidP="00F0140D">
      <w:pPr>
        <w:pStyle w:val="Prrafodelista"/>
        <w:numPr>
          <w:ilvl w:val="0"/>
          <w:numId w:val="49"/>
        </w:numPr>
        <w:spacing w:after="0" w:line="360" w:lineRule="auto"/>
        <w:ind w:right="51"/>
        <w:jc w:val="both"/>
        <w:rPr>
          <w:rFonts w:ascii="AvantGarde Bk BT" w:eastAsia="Arial Unicode MS" w:hAnsi="AvantGarde Bk BT" w:cs="Arial"/>
          <w:sz w:val="24"/>
          <w:szCs w:val="24"/>
          <w:lang w:val="es-ES_tradnl" w:eastAsia="es-ES"/>
        </w:rPr>
      </w:pPr>
      <w:r w:rsidRPr="00726415">
        <w:rPr>
          <w:rFonts w:ascii="AvantGarde Bk BT" w:eastAsia="Arial Unicode MS" w:hAnsi="AvantGarde Bk BT" w:cs="Arial"/>
          <w:sz w:val="24"/>
          <w:szCs w:val="24"/>
          <w:lang w:val="es-ES_tradnl" w:eastAsia="es-ES"/>
        </w:rPr>
        <w:t>Aquella que presenten los particulares a los sujetos obligados siempre que tengan el derecho a entregarla con ese carácter; y</w:t>
      </w:r>
    </w:p>
    <w:p w14:paraId="06434994" w14:textId="77777777" w:rsidR="00F0140D" w:rsidRPr="00726415" w:rsidRDefault="00F0140D" w:rsidP="00F0140D">
      <w:pPr>
        <w:pStyle w:val="Prrafodelista"/>
        <w:numPr>
          <w:ilvl w:val="0"/>
          <w:numId w:val="49"/>
        </w:numPr>
        <w:spacing w:after="0" w:line="360" w:lineRule="auto"/>
        <w:ind w:right="51"/>
        <w:jc w:val="both"/>
        <w:rPr>
          <w:rFonts w:ascii="AvantGarde Bk BT" w:eastAsia="Arial Unicode MS" w:hAnsi="AvantGarde Bk BT" w:cs="Arial"/>
          <w:sz w:val="24"/>
          <w:szCs w:val="24"/>
          <w:lang w:val="es-ES_tradnl" w:eastAsia="es-ES"/>
        </w:rPr>
      </w:pPr>
      <w:r w:rsidRPr="00726415">
        <w:rPr>
          <w:rFonts w:ascii="AvantGarde Bk BT" w:eastAsia="Arial Unicode MS" w:hAnsi="AvantGarde Bk BT" w:cs="Arial"/>
          <w:sz w:val="24"/>
          <w:szCs w:val="24"/>
          <w:lang w:val="es-ES_tradnl" w:eastAsia="es-ES"/>
        </w:rPr>
        <w:t xml:space="preserve">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titulares o sus representantes legales. </w:t>
      </w:r>
    </w:p>
    <w:p w14:paraId="5E6A741A" w14:textId="77777777" w:rsidR="00F0140D" w:rsidRPr="00726415" w:rsidRDefault="00F0140D" w:rsidP="00F0140D">
      <w:pPr>
        <w:spacing w:after="0" w:line="360" w:lineRule="auto"/>
        <w:ind w:right="51" w:firstLine="709"/>
        <w:jc w:val="both"/>
        <w:rPr>
          <w:rFonts w:ascii="AvantGarde Bk BT" w:eastAsia="Arial Unicode MS" w:hAnsi="AvantGarde Bk BT" w:cs="Arial"/>
          <w:sz w:val="24"/>
          <w:szCs w:val="24"/>
          <w:lang w:eastAsia="es-ES"/>
        </w:rPr>
      </w:pPr>
    </w:p>
    <w:p w14:paraId="34F4F245" w14:textId="77777777" w:rsidR="00F0140D" w:rsidRPr="00726415" w:rsidRDefault="00F0140D" w:rsidP="00F0140D">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En un sentido amplio, entonces, la protección de la vida privada implica poder conducir parte de la vida de uno protegido de la mirada y las injerencias de los demás, y guarda conexiones de variado tipo con pretensiones más concretas que las constituciones actuales reconocen a veces como derechos conexos: el derecho de poder tomar libremente ciertas decisiones relativas al propio plan de vida, el derecho a ver protegidas ciertas manifestaciones de la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33FF1F54" w14:textId="77777777" w:rsidR="00F0140D" w:rsidRPr="00726415" w:rsidRDefault="00F0140D" w:rsidP="00F0140D">
      <w:pPr>
        <w:spacing w:after="0" w:line="360" w:lineRule="auto"/>
        <w:ind w:right="51" w:firstLine="709"/>
        <w:jc w:val="both"/>
        <w:rPr>
          <w:rFonts w:ascii="AvantGarde Bk BT" w:hAnsi="AvantGarde Bk BT" w:cs="Arial"/>
          <w:sz w:val="24"/>
          <w:szCs w:val="24"/>
        </w:rPr>
      </w:pPr>
    </w:p>
    <w:p w14:paraId="254B0C00" w14:textId="05D13360" w:rsidR="00F0140D" w:rsidRPr="00726415" w:rsidRDefault="00F0140D"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Más allá de la posibilidad de hacer este bosquejo general, lo cierto es que el contenido del derecho a la </w:t>
      </w:r>
      <w:r w:rsidRPr="00726415">
        <w:rPr>
          <w:rFonts w:ascii="AvantGarde Bk BT" w:hAnsi="AvantGarde Bk BT" w:cs="Arial"/>
          <w:sz w:val="24"/>
          <w:szCs w:val="24"/>
          <w:u w:val="single"/>
        </w:rPr>
        <w:t xml:space="preserve">“vida privada” </w:t>
      </w:r>
      <w:r w:rsidRPr="00726415">
        <w:rPr>
          <w:rFonts w:ascii="AvantGarde Bk BT" w:hAnsi="AvantGarde Bk BT" w:cs="Arial"/>
          <w:sz w:val="24"/>
          <w:szCs w:val="24"/>
        </w:rPr>
        <w:t xml:space="preserve">está destinado a variar, legítima y normalmente, tanto por motivos internos al propio concepto como por motivos externos. La variabilidad interna del derecho a la privacidad alude al hecho de que el comportamiento de los titulares del mismo puede influir en la determinación de su ámbito de protección. No es sólo que el entendimiento de lo privado cambie de una cultura a otra y que haya cambiado a lo largo de la historia, sino que además forma </w:t>
      </w:r>
      <w:r w:rsidRPr="00726415">
        <w:rPr>
          <w:rFonts w:ascii="AvantGarde Bk BT" w:hAnsi="AvantGarde Bk BT" w:cs="Arial"/>
          <w:sz w:val="24"/>
          <w:szCs w:val="24"/>
        </w:rPr>
        <w:lastRenderedPageBreak/>
        <w:t xml:space="preserve">parte del derecho a la privacidad, como lo entendemos ahora, la posibilidad de que sus titulares modulen (de palabra </w:t>
      </w:r>
      <w:proofErr w:type="gramStart"/>
      <w:r w:rsidRPr="00726415">
        <w:rPr>
          <w:rFonts w:ascii="AvantGarde Bk BT" w:hAnsi="AvantGarde Bk BT" w:cs="Arial"/>
          <w:sz w:val="24"/>
          <w:szCs w:val="24"/>
        </w:rPr>
        <w:t>o</w:t>
      </w:r>
      <w:proofErr w:type="gramEnd"/>
      <w:r w:rsidRPr="00726415">
        <w:rPr>
          <w:rFonts w:ascii="AvantGarde Bk BT" w:hAnsi="AvantGarde Bk BT" w:cs="Arial"/>
          <w:sz w:val="24"/>
          <w:szCs w:val="24"/>
        </w:rPr>
        <w:t xml:space="preserve"> de hecho) el alcance del mismo.</w:t>
      </w:r>
    </w:p>
    <w:p w14:paraId="45ACA6DE"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63FC32CC"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Sin embargo, la fuente de variabilidad más importante deriva no del juego de los límites internos, sino de la variabilidad de los límites externos. La variabilidad externa del derecho a la vida privada alude a la diferencia normal y esperada entre el contenido </w:t>
      </w:r>
      <w:r w:rsidRPr="00726415">
        <w:rPr>
          <w:rFonts w:ascii="AvantGarde Bk BT" w:hAnsi="AvantGarde Bk BT" w:cs="Arial"/>
          <w:i/>
          <w:sz w:val="24"/>
          <w:szCs w:val="24"/>
        </w:rPr>
        <w:t>prima facie</w:t>
      </w:r>
      <w:r w:rsidRPr="00726415">
        <w:rPr>
          <w:rFonts w:ascii="AvantGarde Bk BT" w:hAnsi="AvantGarde Bk BT" w:cs="Arial"/>
          <w:sz w:val="24"/>
          <w:szCs w:val="24"/>
        </w:rPr>
        <w:t xml:space="preserve"> de los derechos fundamentales y la protección real que ofrecen en casos concretos una vez contrapesados y armonizados con otros derechos e intereses que apunten en direcciones distintas e incluso opuestas a las que derivan de su contenido normativo. Aunque una pretensión pueda entonces relacionarse en principio con el ámbito generalmente protegido por el derecho, si la misma merece prevalecer en un caso concreto, y en qué grado, dependerá de un balance de razones desarrollado de conformidad con métodos de razonamiento jurídico bien conocidos y masivamente usados en un Estado Constitucional.</w:t>
      </w:r>
    </w:p>
    <w:p w14:paraId="5D359A38"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6C6A3593"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Como es sabido, se trata de dos derechos funcionalmente esenciales en la estructura del Estado Constitucional de Derecho que tienen una doble faceta: por un lado, aseguran a las personas espacios esenciales para desplegar su autonomía individual, espacios que deben ser respetados y protegidos por el Estado, y por otro gozan de una vertiente pública, colectiva o institucional que los convierte en piezas centrales para el adecuado funcionamiento de la democracia representativa.</w:t>
      </w:r>
    </w:p>
    <w:p w14:paraId="4196436F"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3CA5DD0E"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Tener plena libertad para expresar, recolectar, difundir y publicar informaciones e ideas, en otras palabras, es imprescindible no solamente como instancia esencial de auto-expresión y auto-creación, sino también como premisa para poder ejercer plenamente otros derechos fundamentales </w:t>
      </w:r>
      <w:r w:rsidRPr="00726415">
        <w:rPr>
          <w:rFonts w:ascii="AvantGarde Bk BT" w:hAnsi="AvantGarde Bk BT" w:cs="Arial"/>
          <w:i/>
          <w:sz w:val="24"/>
          <w:szCs w:val="24"/>
        </w:rPr>
        <w:t>-el de asociarse y reunirse pacíficamente con cualquier objeto lícito, el derecho de petición o el derecho a votar y ser votado-</w:t>
      </w:r>
      <w:r w:rsidRPr="00726415">
        <w:rPr>
          <w:rFonts w:ascii="AvantGarde Bk BT" w:hAnsi="AvantGarde Bk BT" w:cs="Arial"/>
          <w:sz w:val="24"/>
          <w:szCs w:val="24"/>
        </w:rPr>
        <w:t xml:space="preserve"> y como elemento funcional que determina la calidad de la vida democrática en un país: si los ciudadanos no tienen plena seguridad de que el derecho los protege en su posibilidad de conocer, investigar y acceder a la información, será imposible avanzar en la obtención de un cuerpo extenso de ciudadanos activos, críticos, comprometidos con los asuntos públicos, atentos al comportamiento y a las </w:t>
      </w:r>
      <w:r w:rsidRPr="00726415">
        <w:rPr>
          <w:rFonts w:ascii="AvantGarde Bk BT" w:hAnsi="AvantGarde Bk BT" w:cs="Arial"/>
          <w:sz w:val="24"/>
          <w:szCs w:val="24"/>
        </w:rPr>
        <w:lastRenderedPageBreak/>
        <w:t>decisiones de los gobernantes, capaces de cumplir la función que les corresponde en un régimen democrático.</w:t>
      </w:r>
    </w:p>
    <w:p w14:paraId="421E32DC"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1B91F46C"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Por tanto, dada la importancia del derecho de acceso a la información en una sociedad democrática, el Obligado no sólo debe minimizar las restricciones a la divulgación de la información sino también equilibrar, en la mayor medida de lo posible, la participación de las distintas informaciones en el debate público, impulsando el pluralismo informativo. En consecuencia, la equidad debe regir el flujo informativo. </w:t>
      </w:r>
    </w:p>
    <w:p w14:paraId="495A862F"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30DAA6B2"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Bajo este contexto, se precisa que, en diversos instrumentos internacionales de los que el Estado Mexicano forma parte; así como resoluciones y sentencias vinculantes emitidas por los organismos nacionales e internacionales, así como los criterios, determinaciones y opiniones de los organismos nacionales e internacionales especializados, en materia de transparencia</w:t>
      </w:r>
      <w:r w:rsidRPr="00726415">
        <w:rPr>
          <w:rFonts w:ascii="AvantGarde Bk BT" w:hAnsi="AvantGarde Bk BT" w:cs="Arial"/>
          <w:sz w:val="24"/>
          <w:szCs w:val="24"/>
          <w:vertAlign w:val="superscript"/>
        </w:rPr>
        <w:footnoteReference w:id="49"/>
      </w:r>
      <w:r w:rsidRPr="00726415">
        <w:rPr>
          <w:rFonts w:ascii="AvantGarde Bk BT" w:hAnsi="AvantGarde Bk BT" w:cs="Arial"/>
          <w:sz w:val="24"/>
          <w:szCs w:val="24"/>
        </w:rPr>
        <w:t xml:space="preserve">, se ha establecido que el derecho de acceso a la información no es absoluto. </w:t>
      </w:r>
    </w:p>
    <w:p w14:paraId="4F39CA89"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771BDBBC"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En este sentido, la Primera Sala de la Suprema Corte de Justicia de la Nación ha establecido que:</w:t>
      </w:r>
      <w:r w:rsidRPr="00726415">
        <w:rPr>
          <w:rFonts w:ascii="AvantGarde Bk BT" w:hAnsi="AvantGarde Bk BT" w:cs="Arial"/>
          <w:i/>
          <w:sz w:val="24"/>
          <w:szCs w:val="24"/>
        </w:rPr>
        <w:t xml:space="preserve"> “el derecho de acceso a la información no es absoluto y puede limitarse en virtud del interés público, seguridad nacional, la vida privada y los datos personales.”</w:t>
      </w:r>
      <w:r w:rsidRPr="00726415">
        <w:rPr>
          <w:rFonts w:ascii="AvantGarde Bk BT" w:hAnsi="AvantGarde Bk BT" w:cs="Arial"/>
          <w:sz w:val="24"/>
          <w:szCs w:val="24"/>
          <w:vertAlign w:val="superscript"/>
        </w:rPr>
        <w:footnoteReference w:id="50"/>
      </w:r>
    </w:p>
    <w:p w14:paraId="02C99FB4"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0C007F28"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Sobre esta base, aunque el derecho de acceso a la información se rige por el principio de máxima divulgación, el Cuarto Tribunal Colegiado en Materia Administrativa del Primer Circuito, precisó que este principio </w:t>
      </w:r>
      <w:r w:rsidRPr="00726415">
        <w:rPr>
          <w:rFonts w:ascii="AvantGarde Bk BT" w:hAnsi="AvantGarde Bk BT" w:cs="Arial"/>
          <w:i/>
          <w:sz w:val="24"/>
          <w:szCs w:val="24"/>
        </w:rPr>
        <w:t xml:space="preserve">“implica para cualquier autoridad, realizar un manejo de la información bajo la premisa inicial que toda es </w:t>
      </w:r>
      <w:r w:rsidRPr="00726415">
        <w:rPr>
          <w:rFonts w:ascii="AvantGarde Bk BT" w:hAnsi="AvantGarde Bk BT" w:cs="Arial"/>
          <w:i/>
          <w:sz w:val="24"/>
          <w:szCs w:val="24"/>
        </w:rPr>
        <w:lastRenderedPageBreak/>
        <w:t>pública y sólo por excepción, en los casos expresamente previstos en la legislación secundaria y justificables bajo determinadas circunstancias, se podrá clasificar como confidencial o reservada”.</w:t>
      </w:r>
      <w:r w:rsidRPr="00726415">
        <w:rPr>
          <w:rFonts w:ascii="AvantGarde Bk BT" w:hAnsi="AvantGarde Bk BT" w:cs="Arial"/>
          <w:i/>
          <w:sz w:val="24"/>
          <w:szCs w:val="24"/>
          <w:vertAlign w:val="superscript"/>
        </w:rPr>
        <w:footnoteReference w:id="51"/>
      </w:r>
      <w:r w:rsidRPr="00726415">
        <w:rPr>
          <w:rFonts w:ascii="AvantGarde Bk BT" w:hAnsi="AvantGarde Bk BT" w:cs="Arial"/>
          <w:i/>
          <w:sz w:val="24"/>
          <w:szCs w:val="24"/>
        </w:rPr>
        <w:t xml:space="preserve"> </w:t>
      </w:r>
      <w:r w:rsidRPr="00726415">
        <w:rPr>
          <w:rFonts w:ascii="AvantGarde Bk BT" w:hAnsi="AvantGarde Bk BT" w:cs="Arial"/>
          <w:sz w:val="24"/>
          <w:szCs w:val="24"/>
        </w:rPr>
        <w:t xml:space="preserve"> </w:t>
      </w:r>
    </w:p>
    <w:p w14:paraId="0A1ACEF2"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4181C0DE" w14:textId="77777777" w:rsidR="00182D88" w:rsidRPr="00726415" w:rsidRDefault="00182D88" w:rsidP="00182D88">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Por tanto, la necesidad de proteger los derechos de acceso a la información pública y el derecho de protección de datos personales, así como otros derechos que pudieran verse afectados en el ejercicio del primero de los derechos mencionados, se deben atender los límites fijados a este respecto por la Ley de la materia, a través de la observación del criterio de estricta proporcionalidad. </w:t>
      </w:r>
    </w:p>
    <w:p w14:paraId="29D0E09D" w14:textId="77777777" w:rsidR="00182D88" w:rsidRPr="00726415" w:rsidRDefault="00182D88" w:rsidP="00182D88">
      <w:pPr>
        <w:spacing w:after="0" w:line="360" w:lineRule="auto"/>
        <w:ind w:right="51" w:firstLine="709"/>
        <w:jc w:val="both"/>
        <w:rPr>
          <w:rFonts w:ascii="AvantGarde Bk BT" w:hAnsi="AvantGarde Bk BT" w:cs="Arial"/>
          <w:sz w:val="24"/>
          <w:szCs w:val="24"/>
        </w:rPr>
      </w:pPr>
    </w:p>
    <w:p w14:paraId="4D45C36C" w14:textId="4B777ED6" w:rsidR="00182D88" w:rsidRPr="00726415" w:rsidRDefault="00182D88" w:rsidP="00182D88">
      <w:pPr>
        <w:spacing w:after="0" w:line="360" w:lineRule="auto"/>
        <w:ind w:right="-93" w:firstLine="708"/>
        <w:jc w:val="both"/>
        <w:rPr>
          <w:rFonts w:ascii="AvantGarde Bk BT" w:eastAsia="Arial Unicode MS" w:hAnsi="AvantGarde Bk BT" w:cs="Arial"/>
          <w:sz w:val="24"/>
          <w:szCs w:val="24"/>
          <w:lang w:eastAsia="es-ES"/>
        </w:rPr>
      </w:pPr>
      <w:r w:rsidRPr="00726415">
        <w:rPr>
          <w:rFonts w:ascii="AvantGarde Bk BT" w:hAnsi="AvantGarde Bk BT" w:cs="Arial"/>
          <w:sz w:val="24"/>
          <w:szCs w:val="24"/>
        </w:rPr>
        <w:t>Atendiendo la naturaleza de la documentación solicitada</w:t>
      </w:r>
      <w:r w:rsidR="00875D76" w:rsidRPr="00726415">
        <w:rPr>
          <w:rFonts w:ascii="AvantGarde Bk BT" w:hAnsi="AvantGarde Bk BT" w:cs="Arial"/>
          <w:sz w:val="24"/>
          <w:szCs w:val="24"/>
        </w:rPr>
        <w:t xml:space="preserve"> y al acuerdo de admisión de este medio de impugnación</w:t>
      </w:r>
      <w:r w:rsidRPr="00726415">
        <w:rPr>
          <w:rFonts w:ascii="AvantGarde Bk BT" w:hAnsi="AvantGarde Bk BT" w:cs="Arial"/>
          <w:sz w:val="24"/>
          <w:szCs w:val="24"/>
        </w:rPr>
        <w:t xml:space="preserve">, es preciso señalar que </w:t>
      </w:r>
      <w:r w:rsidRPr="00726415">
        <w:rPr>
          <w:rFonts w:ascii="AvantGarde Bk BT" w:eastAsia="Arial Unicode MS" w:hAnsi="AvantGarde Bk BT" w:cs="Arial"/>
          <w:sz w:val="24"/>
          <w:szCs w:val="24"/>
          <w:lang w:eastAsia="es-ES"/>
        </w:rPr>
        <w:t>la ahora parte recurrente, a través de su solicitud de información, requirió del sujeto obligado la entrega en versión pública y formato electrónico PDF, con certificación o firma electrónica, de la licencia estatal para la venta de bebidas alcohólicas respecto del establecimiento ubicado en Avenida Dr. Manuel Nava número 304, colonia Bellas Lomas, San Luis Potosí,</w:t>
      </w:r>
      <w:r w:rsidR="00875D76" w:rsidRPr="00726415">
        <w:rPr>
          <w:rFonts w:ascii="AvantGarde Bk BT" w:eastAsia="Arial Unicode MS" w:hAnsi="AvantGarde Bk BT" w:cs="Arial"/>
          <w:sz w:val="24"/>
          <w:szCs w:val="24"/>
          <w:lang w:eastAsia="es-ES"/>
        </w:rPr>
        <w:t xml:space="preserve"> S.L.P, i</w:t>
      </w:r>
      <w:r w:rsidRPr="00726415">
        <w:rPr>
          <w:rFonts w:ascii="AvantGarde Bk BT" w:eastAsia="Arial Unicode MS" w:hAnsi="AvantGarde Bk BT" w:cs="Arial"/>
          <w:sz w:val="24"/>
          <w:szCs w:val="24"/>
          <w:lang w:eastAsia="es-ES"/>
        </w:rPr>
        <w:t>ncluyendo: c) Domicilio autorizado</w:t>
      </w:r>
      <w:r w:rsidR="00875D76" w:rsidRPr="00726415">
        <w:rPr>
          <w:rFonts w:ascii="AvantGarde Bk BT" w:eastAsia="Arial Unicode MS" w:hAnsi="AvantGarde Bk BT" w:cs="Arial"/>
          <w:sz w:val="24"/>
          <w:szCs w:val="24"/>
          <w:lang w:eastAsia="es-ES"/>
        </w:rPr>
        <w:t>,</w:t>
      </w:r>
      <w:r w:rsidRPr="00726415">
        <w:rPr>
          <w:rFonts w:ascii="AvantGarde Bk BT" w:eastAsia="Arial Unicode MS" w:hAnsi="AvantGarde Bk BT" w:cs="Arial"/>
          <w:sz w:val="24"/>
          <w:szCs w:val="24"/>
          <w:lang w:eastAsia="es-ES"/>
        </w:rPr>
        <w:t xml:space="preserve"> e) Refrendos</w:t>
      </w:r>
      <w:r w:rsidR="00875D76" w:rsidRPr="00726415">
        <w:rPr>
          <w:rFonts w:ascii="AvantGarde Bk BT" w:eastAsia="Arial Unicode MS" w:hAnsi="AvantGarde Bk BT" w:cs="Arial"/>
          <w:sz w:val="24"/>
          <w:szCs w:val="24"/>
          <w:lang w:eastAsia="es-ES"/>
        </w:rPr>
        <w:t xml:space="preserve"> y</w:t>
      </w:r>
      <w:r w:rsidRPr="00726415">
        <w:rPr>
          <w:rFonts w:ascii="AvantGarde Bk BT" w:eastAsia="Arial Unicode MS" w:hAnsi="AvantGarde Bk BT" w:cs="Arial"/>
          <w:sz w:val="24"/>
          <w:szCs w:val="24"/>
          <w:lang w:eastAsia="es-ES"/>
        </w:rPr>
        <w:t xml:space="preserve"> f) Superficie autorizada (si consta)</w:t>
      </w:r>
      <w:r w:rsidR="00875D76" w:rsidRPr="00726415">
        <w:rPr>
          <w:rFonts w:ascii="AvantGarde Bk BT" w:eastAsia="Arial Unicode MS" w:hAnsi="AvantGarde Bk BT" w:cs="Arial"/>
          <w:sz w:val="24"/>
          <w:szCs w:val="24"/>
          <w:lang w:eastAsia="es-ES"/>
        </w:rPr>
        <w:t>, del periodo comprendido</w:t>
      </w:r>
      <w:r w:rsidRPr="00726415">
        <w:rPr>
          <w:rFonts w:ascii="AvantGarde Bk BT" w:eastAsia="Arial Unicode MS" w:hAnsi="AvantGarde Bk BT" w:cs="Arial"/>
          <w:sz w:val="24"/>
          <w:szCs w:val="24"/>
          <w:lang w:eastAsia="es-ES"/>
        </w:rPr>
        <w:t xml:space="preserve"> del 1 de enero de 2024 a la fecha de respuesta, documento que el sujeto obligado determinó en excepción para la entrega de información, por actualizar la confidencialidad de la información y no contar con el consentimiento del titular de los datos personales para realizar la entrega de la información, conforme lo establecido en los artículos 138 y 129 de la Ley de Transparencia y Acceso a la Información Pública</w:t>
      </w:r>
      <w:r w:rsidR="00875D76" w:rsidRPr="00726415">
        <w:rPr>
          <w:rFonts w:ascii="AvantGarde Bk BT" w:eastAsia="Arial Unicode MS" w:hAnsi="AvantGarde Bk BT" w:cs="Arial"/>
          <w:sz w:val="24"/>
          <w:szCs w:val="24"/>
          <w:lang w:eastAsia="es-ES"/>
        </w:rPr>
        <w:t xml:space="preserve"> del Estado de San Luis Potosí, condicionando su entrega a que la persona peticionaria se identificara como titular del documento requerido.</w:t>
      </w:r>
    </w:p>
    <w:p w14:paraId="53486907" w14:textId="3B3F7279" w:rsidR="00182D88" w:rsidRPr="00726415" w:rsidRDefault="00427E33" w:rsidP="00427E33">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De conformidad con lo previsto en el Reglamento Interior de la Secretaría General de Gobierno de San Luis Potosí</w:t>
      </w:r>
      <w:r w:rsidRPr="00726415">
        <w:rPr>
          <w:rStyle w:val="Refdenotaalpie"/>
          <w:rFonts w:ascii="AvantGarde Bk BT" w:hAnsi="AvantGarde Bk BT" w:cs="Arial"/>
        </w:rPr>
        <w:footnoteReference w:id="52"/>
      </w:r>
      <w:r w:rsidRPr="00726415">
        <w:rPr>
          <w:rFonts w:ascii="AvantGarde Bk BT" w:hAnsi="AvantGarde Bk BT" w:cs="Arial"/>
          <w:sz w:val="24"/>
          <w:szCs w:val="24"/>
        </w:rPr>
        <w:t xml:space="preserve">, la Secretaría General de Gobierno es una dependencia del Poder Ejecutivo del Estado, que tiene a su cargo el ejercicio de las facultades que le confieren la Constitución Política del Estado Libre y Soberano de </w:t>
      </w:r>
      <w:r w:rsidRPr="00726415">
        <w:rPr>
          <w:rFonts w:ascii="AvantGarde Bk BT" w:hAnsi="AvantGarde Bk BT" w:cs="Arial"/>
          <w:sz w:val="24"/>
          <w:szCs w:val="24"/>
        </w:rPr>
        <w:lastRenderedPageBreak/>
        <w:t>San Luis Potosí, la Ley Orgánica de la Administración Pública del Estado, y las que se deriven de otras leyes, reglamentos, decretos, acuerdos y órdenes del titular del Poder Ejecutivo del Estado</w:t>
      </w:r>
      <w:r w:rsidRPr="00726415">
        <w:rPr>
          <w:rStyle w:val="Refdenotaalpie"/>
          <w:rFonts w:ascii="AvantGarde Bk BT" w:hAnsi="AvantGarde Bk BT" w:cs="Arial"/>
        </w:rPr>
        <w:footnoteReference w:id="53"/>
      </w:r>
      <w:r w:rsidRPr="00726415">
        <w:rPr>
          <w:rFonts w:ascii="AvantGarde Bk BT" w:hAnsi="AvantGarde Bk BT" w:cs="Arial"/>
          <w:sz w:val="24"/>
          <w:szCs w:val="24"/>
        </w:rPr>
        <w:t>.</w:t>
      </w:r>
    </w:p>
    <w:p w14:paraId="0C17565D" w14:textId="77777777" w:rsidR="00427E33" w:rsidRPr="00726415" w:rsidRDefault="00427E33" w:rsidP="00427E33">
      <w:pPr>
        <w:spacing w:after="0" w:line="360" w:lineRule="auto"/>
        <w:ind w:right="51" w:firstLine="709"/>
        <w:jc w:val="both"/>
        <w:rPr>
          <w:rFonts w:ascii="AvantGarde Bk BT" w:hAnsi="AvantGarde Bk BT" w:cs="Arial"/>
          <w:sz w:val="24"/>
          <w:szCs w:val="24"/>
        </w:rPr>
      </w:pPr>
    </w:p>
    <w:p w14:paraId="23770344" w14:textId="43F9F0AC" w:rsidR="00AB3142" w:rsidRPr="00726415" w:rsidRDefault="00427E33" w:rsidP="00844599">
      <w:pPr>
        <w:pStyle w:val="corte4fondo"/>
        <w:tabs>
          <w:tab w:val="left" w:pos="567"/>
        </w:tabs>
        <w:spacing w:after="240"/>
        <w:ind w:firstLine="680"/>
        <w:rPr>
          <w:rFonts w:ascii="AvantGarde Bk BT" w:hAnsi="AvantGarde Bk BT" w:cs="Arial"/>
          <w:sz w:val="24"/>
          <w:szCs w:val="24"/>
        </w:rPr>
      </w:pPr>
      <w:r w:rsidRPr="00726415">
        <w:rPr>
          <w:rFonts w:ascii="AvantGarde Bk BT" w:hAnsi="AvantGarde Bk BT" w:cs="Arial"/>
          <w:sz w:val="24"/>
          <w:szCs w:val="24"/>
        </w:rPr>
        <w:t>Al frente de la Secretaría General de Gobierno habrá una persona cuyo nombramiento le corresponde a la persona titular del Poder Ejecutivo del Estado, a quien se le denominará titular de la Secretaría General de Gobierno, el cual para el desahogo de los asuntos de su competencia, se auxiliará con el personal de apoyo que requiera y que se encuentre previsto en el presupuesto de egresos y quien para el ejercicio de sus facultades se auxilia</w:t>
      </w:r>
      <w:r w:rsidRPr="00726415">
        <w:rPr>
          <w:rStyle w:val="Refdenotaalpie"/>
          <w:rFonts w:ascii="AvantGarde Bk BT" w:hAnsi="AvantGarde Bk BT" w:cs="Arial"/>
        </w:rPr>
        <w:footnoteReference w:id="54"/>
      </w:r>
      <w:r w:rsidRPr="00726415">
        <w:rPr>
          <w:rFonts w:ascii="AvantGarde Bk BT" w:hAnsi="AvantGarde Bk BT" w:cs="Arial"/>
          <w:sz w:val="24"/>
          <w:szCs w:val="24"/>
        </w:rPr>
        <w:t xml:space="preserve"> -en lo que aquí interesa- de la Dirección General de Gobernación</w:t>
      </w:r>
      <w:r w:rsidRPr="00726415">
        <w:rPr>
          <w:rStyle w:val="Refdenotaalpie"/>
          <w:rFonts w:ascii="AvantGarde Bk BT" w:hAnsi="AvantGarde Bk BT" w:cs="Arial"/>
        </w:rPr>
        <w:footnoteReference w:id="55"/>
      </w:r>
      <w:r w:rsidRPr="00726415">
        <w:rPr>
          <w:rFonts w:ascii="AvantGarde Bk BT" w:hAnsi="AvantGarde Bk BT" w:cs="Arial"/>
          <w:sz w:val="24"/>
          <w:szCs w:val="24"/>
        </w:rPr>
        <w:t>, a quien corresponde</w:t>
      </w:r>
      <w:r w:rsidR="003418E7" w:rsidRPr="00726415">
        <w:rPr>
          <w:rFonts w:ascii="AvantGarde Bk BT" w:hAnsi="AvantGarde Bk BT" w:cs="Arial"/>
          <w:color w:val="000000"/>
          <w:sz w:val="24"/>
          <w:szCs w:val="24"/>
        </w:rPr>
        <w:t xml:space="preserve">, </w:t>
      </w:r>
      <w:r w:rsidR="00610D50" w:rsidRPr="00726415">
        <w:rPr>
          <w:rFonts w:ascii="AvantGarde Bk BT" w:hAnsi="AvantGarde Bk BT" w:cs="Arial"/>
          <w:color w:val="000000"/>
          <w:sz w:val="24"/>
          <w:szCs w:val="24"/>
        </w:rPr>
        <w:t xml:space="preserve">según las facultades conferidas a la persona titular de la Dirección General de Gobernación en el artículo 37 del Reglamento Interior de la Secretaría General de Gobierno, </w:t>
      </w:r>
      <w:r w:rsidR="00AB3142" w:rsidRPr="00726415">
        <w:rPr>
          <w:rFonts w:ascii="AvantGarde Bk BT" w:hAnsi="AvantGarde Bk BT" w:cs="Arial"/>
          <w:color w:val="000000"/>
          <w:sz w:val="24"/>
          <w:szCs w:val="24"/>
        </w:rPr>
        <w:t>en sus fracciones V, VI, VII, VIII XI y XII, e</w:t>
      </w:r>
      <w:r w:rsidR="00610D50" w:rsidRPr="00726415">
        <w:rPr>
          <w:rFonts w:ascii="AvantGarde Bk BT" w:hAnsi="AvantGarde Bk BT" w:cs="Arial"/>
          <w:color w:val="000000"/>
          <w:sz w:val="24"/>
          <w:szCs w:val="24"/>
        </w:rPr>
        <w:t>jecutar las disposiciones legales en materia de venta, distribución, consumo, almacenamiento, producción y suministro de bebidas alcohólicas en el Estado</w:t>
      </w:r>
      <w:r w:rsidR="00AB3142" w:rsidRPr="00726415">
        <w:rPr>
          <w:rFonts w:ascii="AvantGarde Bk BT" w:hAnsi="AvantGarde Bk BT" w:cs="Arial"/>
          <w:color w:val="000000"/>
          <w:sz w:val="24"/>
          <w:szCs w:val="24"/>
        </w:rPr>
        <w:t>; c</w:t>
      </w:r>
      <w:r w:rsidR="00610D50" w:rsidRPr="00726415">
        <w:rPr>
          <w:rFonts w:ascii="AvantGarde Bk BT" w:hAnsi="AvantGarde Bk BT" w:cs="Arial"/>
          <w:color w:val="000000"/>
          <w:sz w:val="24"/>
          <w:szCs w:val="24"/>
        </w:rPr>
        <w:t>oordinar acciones con las autoridades competentes para la observancia de la Ley de Bebidas Alcohólicas</w:t>
      </w:r>
      <w:r w:rsidR="00AB3142" w:rsidRPr="00726415">
        <w:rPr>
          <w:rFonts w:ascii="AvantGarde Bk BT" w:hAnsi="AvantGarde Bk BT" w:cs="Arial"/>
          <w:color w:val="000000"/>
          <w:sz w:val="24"/>
          <w:szCs w:val="24"/>
        </w:rPr>
        <w:t>; i</w:t>
      </w:r>
      <w:r w:rsidR="00610D50" w:rsidRPr="00726415">
        <w:rPr>
          <w:rFonts w:ascii="AvantGarde Bk BT" w:hAnsi="AvantGarde Bk BT" w:cs="Arial"/>
          <w:color w:val="000000"/>
          <w:sz w:val="24"/>
          <w:szCs w:val="24"/>
        </w:rPr>
        <w:t>nspeccionar, verificar y vigilar los datos y documentos de establecimientos y locales dedicados a la venta, distribución, consumo, almacenamiento, producción y su</w:t>
      </w:r>
      <w:r w:rsidR="00AB3142" w:rsidRPr="00726415">
        <w:rPr>
          <w:rFonts w:ascii="AvantGarde Bk BT" w:hAnsi="AvantGarde Bk BT" w:cs="Arial"/>
          <w:color w:val="000000"/>
          <w:sz w:val="24"/>
          <w:szCs w:val="24"/>
        </w:rPr>
        <w:t>ministro de bebidas alcohólicas y l</w:t>
      </w:r>
      <w:r w:rsidR="00610D50" w:rsidRPr="00726415">
        <w:rPr>
          <w:rFonts w:ascii="AvantGarde Bk BT" w:hAnsi="AvantGarde Bk BT" w:cs="Arial"/>
          <w:color w:val="000000"/>
          <w:sz w:val="24"/>
          <w:szCs w:val="24"/>
        </w:rPr>
        <w:t>levar un control cuantitativo y zonificado de las licencias que se expidan para la venta, distribución, consumo, almacenamiento, producción y sum</w:t>
      </w:r>
      <w:r w:rsidR="00AB3142" w:rsidRPr="00726415">
        <w:rPr>
          <w:rFonts w:ascii="AvantGarde Bk BT" w:hAnsi="AvantGarde Bk BT" w:cs="Arial"/>
          <w:color w:val="000000"/>
          <w:sz w:val="24"/>
          <w:szCs w:val="24"/>
        </w:rPr>
        <w:t>inistro de bebidas alcohólicas.</w:t>
      </w:r>
    </w:p>
    <w:p w14:paraId="0470EEE0" w14:textId="77777777" w:rsidR="00AB3142" w:rsidRPr="00726415" w:rsidRDefault="00AB3142" w:rsidP="00AB3142">
      <w:pPr>
        <w:tabs>
          <w:tab w:val="left" w:pos="567"/>
        </w:tabs>
        <w:spacing w:after="0" w:line="360" w:lineRule="auto"/>
        <w:ind w:firstLine="709"/>
        <w:jc w:val="both"/>
        <w:rPr>
          <w:rFonts w:ascii="AvantGarde Bk BT" w:eastAsia="Times New Roman" w:hAnsi="AvantGarde Bk BT" w:cs="Arial"/>
          <w:color w:val="000000"/>
          <w:sz w:val="24"/>
          <w:szCs w:val="24"/>
        </w:rPr>
      </w:pPr>
    </w:p>
    <w:p w14:paraId="3F8EE564" w14:textId="106DFCAA" w:rsidR="00610D50" w:rsidRPr="00726415" w:rsidRDefault="00AB3142" w:rsidP="00AB3142">
      <w:pPr>
        <w:tabs>
          <w:tab w:val="left" w:pos="567"/>
        </w:tabs>
        <w:spacing w:after="0" w:line="360" w:lineRule="auto"/>
        <w:ind w:firstLine="709"/>
        <w:jc w:val="both"/>
        <w:rPr>
          <w:rFonts w:ascii="AvantGarde Bk BT" w:eastAsia="Times New Roman" w:hAnsi="AvantGarde Bk BT" w:cs="Arial"/>
          <w:color w:val="000000"/>
          <w:sz w:val="24"/>
          <w:szCs w:val="24"/>
        </w:rPr>
      </w:pPr>
      <w:r w:rsidRPr="00726415">
        <w:rPr>
          <w:rFonts w:ascii="AvantGarde Bk BT" w:eastAsia="Times New Roman" w:hAnsi="AvantGarde Bk BT" w:cs="Arial"/>
          <w:color w:val="000000"/>
          <w:sz w:val="24"/>
          <w:szCs w:val="24"/>
        </w:rPr>
        <w:t>De igual modo,</w:t>
      </w:r>
      <w:r w:rsidR="002179C8" w:rsidRPr="00726415">
        <w:rPr>
          <w:rFonts w:ascii="AvantGarde Bk BT" w:eastAsia="Times New Roman" w:hAnsi="AvantGarde Bk BT" w:cs="Arial"/>
          <w:color w:val="000000"/>
          <w:sz w:val="24"/>
          <w:szCs w:val="24"/>
        </w:rPr>
        <w:t xml:space="preserve"> entre sus atribuciones se encuentran las de</w:t>
      </w:r>
      <w:r w:rsidRPr="00726415">
        <w:rPr>
          <w:rFonts w:ascii="AvantGarde Bk BT" w:eastAsia="Times New Roman" w:hAnsi="AvantGarde Bk BT" w:cs="Arial"/>
          <w:color w:val="000000"/>
          <w:sz w:val="24"/>
          <w:szCs w:val="24"/>
        </w:rPr>
        <w:t xml:space="preserve"> s</w:t>
      </w:r>
      <w:r w:rsidR="00610D50" w:rsidRPr="00726415">
        <w:rPr>
          <w:rFonts w:ascii="AvantGarde Bk BT" w:eastAsia="Times New Roman" w:hAnsi="AvantGarde Bk BT" w:cs="Arial"/>
          <w:color w:val="000000"/>
          <w:sz w:val="24"/>
          <w:szCs w:val="24"/>
        </w:rPr>
        <w:t xml:space="preserve">olicitar a la Dirección General </w:t>
      </w:r>
      <w:r w:rsidRPr="00726415">
        <w:rPr>
          <w:rFonts w:ascii="AvantGarde Bk BT" w:eastAsia="Times New Roman" w:hAnsi="AvantGarde Bk BT" w:cs="Arial"/>
          <w:color w:val="000000"/>
          <w:sz w:val="24"/>
          <w:szCs w:val="24"/>
        </w:rPr>
        <w:t>de Asuntos Jurídicos la opinión</w:t>
      </w:r>
      <w:r w:rsidR="00610D50" w:rsidRPr="00726415">
        <w:rPr>
          <w:rFonts w:ascii="AvantGarde Bk BT" w:eastAsia="Times New Roman" w:hAnsi="AvantGarde Bk BT" w:cs="Arial"/>
          <w:color w:val="000000"/>
          <w:sz w:val="24"/>
          <w:szCs w:val="24"/>
        </w:rPr>
        <w:t xml:space="preserve"> respecto de la expedición o no de licencias de baja y alta graduación para la venta, distribución, consumo, almacenamiento, producción y su</w:t>
      </w:r>
      <w:r w:rsidRPr="00726415">
        <w:rPr>
          <w:rFonts w:ascii="AvantGarde Bk BT" w:eastAsia="Times New Roman" w:hAnsi="AvantGarde Bk BT" w:cs="Arial"/>
          <w:color w:val="000000"/>
          <w:sz w:val="24"/>
          <w:szCs w:val="24"/>
        </w:rPr>
        <w:t>ministro de bebidas alcohólicas, así como la i</w:t>
      </w:r>
      <w:r w:rsidR="00610D50" w:rsidRPr="00726415">
        <w:rPr>
          <w:rFonts w:ascii="AvantGarde Bk BT" w:eastAsia="Times New Roman" w:hAnsi="AvantGarde Bk BT" w:cs="Arial"/>
          <w:color w:val="000000"/>
          <w:sz w:val="24"/>
          <w:szCs w:val="24"/>
        </w:rPr>
        <w:t>mplementa</w:t>
      </w:r>
      <w:r w:rsidRPr="00726415">
        <w:rPr>
          <w:rFonts w:ascii="AvantGarde Bk BT" w:eastAsia="Times New Roman" w:hAnsi="AvantGarde Bk BT" w:cs="Arial"/>
          <w:color w:val="000000"/>
          <w:sz w:val="24"/>
          <w:szCs w:val="24"/>
        </w:rPr>
        <w:t>ción y actualización</w:t>
      </w:r>
      <w:r w:rsidR="00610D50" w:rsidRPr="00726415">
        <w:rPr>
          <w:rFonts w:ascii="AvantGarde Bk BT" w:eastAsia="Times New Roman" w:hAnsi="AvantGarde Bk BT" w:cs="Arial"/>
          <w:color w:val="000000"/>
          <w:sz w:val="24"/>
          <w:szCs w:val="24"/>
        </w:rPr>
        <w:t xml:space="preserve"> </w:t>
      </w:r>
      <w:r w:rsidRPr="00726415">
        <w:rPr>
          <w:rFonts w:ascii="AvantGarde Bk BT" w:eastAsia="Times New Roman" w:hAnsi="AvantGarde Bk BT" w:cs="Arial"/>
          <w:color w:val="000000"/>
          <w:sz w:val="24"/>
          <w:szCs w:val="24"/>
        </w:rPr>
        <w:t>d</w:t>
      </w:r>
      <w:r w:rsidR="00610D50" w:rsidRPr="00726415">
        <w:rPr>
          <w:rFonts w:ascii="AvantGarde Bk BT" w:eastAsia="Times New Roman" w:hAnsi="AvantGarde Bk BT" w:cs="Arial"/>
          <w:color w:val="000000"/>
          <w:sz w:val="24"/>
          <w:szCs w:val="24"/>
        </w:rPr>
        <w:t xml:space="preserve">el padrón de establecimientos y locales dedicados </w:t>
      </w:r>
      <w:r w:rsidR="00610D50" w:rsidRPr="00726415">
        <w:rPr>
          <w:rFonts w:ascii="AvantGarde Bk BT" w:eastAsia="Times New Roman" w:hAnsi="AvantGarde Bk BT" w:cs="Arial"/>
          <w:color w:val="000000"/>
          <w:sz w:val="24"/>
          <w:szCs w:val="24"/>
        </w:rPr>
        <w:lastRenderedPageBreak/>
        <w:t>a la venta, distribución, consumo, almacenamiento, producción y su</w:t>
      </w:r>
      <w:r w:rsidRPr="00726415">
        <w:rPr>
          <w:rFonts w:ascii="AvantGarde Bk BT" w:eastAsia="Times New Roman" w:hAnsi="AvantGarde Bk BT" w:cs="Arial"/>
          <w:color w:val="000000"/>
          <w:sz w:val="24"/>
          <w:szCs w:val="24"/>
        </w:rPr>
        <w:t>ministro de bebidas alcohólicas</w:t>
      </w:r>
      <w:r w:rsidR="002179C8" w:rsidRPr="00726415">
        <w:rPr>
          <w:rStyle w:val="Refdenotaalpie"/>
          <w:rFonts w:ascii="AvantGarde Bk BT" w:eastAsia="Times New Roman" w:hAnsi="AvantGarde Bk BT" w:cs="Arial"/>
          <w:color w:val="000000"/>
          <w:sz w:val="24"/>
          <w:szCs w:val="24"/>
        </w:rPr>
        <w:footnoteReference w:id="56"/>
      </w:r>
      <w:r w:rsidRPr="00726415">
        <w:rPr>
          <w:rFonts w:ascii="AvantGarde Bk BT" w:eastAsia="Times New Roman" w:hAnsi="AvantGarde Bk BT" w:cs="Arial"/>
          <w:color w:val="000000"/>
          <w:sz w:val="24"/>
          <w:szCs w:val="24"/>
        </w:rPr>
        <w:t>.</w:t>
      </w:r>
    </w:p>
    <w:p w14:paraId="6682B6C2" w14:textId="140CC852" w:rsidR="004076F7" w:rsidRPr="00726415" w:rsidRDefault="004076F7" w:rsidP="00AB3142">
      <w:pPr>
        <w:tabs>
          <w:tab w:val="left" w:pos="567"/>
        </w:tabs>
        <w:spacing w:after="0" w:line="360" w:lineRule="auto"/>
        <w:ind w:firstLine="709"/>
        <w:jc w:val="both"/>
        <w:rPr>
          <w:rFonts w:ascii="AvantGarde Bk BT" w:eastAsia="Times New Roman" w:hAnsi="AvantGarde Bk BT" w:cs="Arial"/>
          <w:color w:val="000000"/>
          <w:sz w:val="24"/>
          <w:szCs w:val="24"/>
          <w:highlight w:val="yellow"/>
        </w:rPr>
      </w:pPr>
    </w:p>
    <w:p w14:paraId="5B54BE6B" w14:textId="389E90D7" w:rsidR="00844599" w:rsidRPr="00726415" w:rsidRDefault="00844599" w:rsidP="00844599">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Conforme lo anterior, atento </w:t>
      </w:r>
      <w:r w:rsidRPr="00726415">
        <w:rPr>
          <w:rFonts w:ascii="AvantGarde Bk BT" w:hAnsi="AvantGarde Bk BT" w:cs="Arial"/>
          <w:sz w:val="24"/>
          <w:szCs w:val="24"/>
          <w:u w:val="single"/>
        </w:rPr>
        <w:t>al principio de buena fe administrativa</w:t>
      </w:r>
      <w:r w:rsidRPr="00726415">
        <w:rPr>
          <w:rFonts w:ascii="AvantGarde Bk BT" w:hAnsi="AvantGarde Bk BT" w:cs="Arial"/>
          <w:sz w:val="24"/>
          <w:szCs w:val="24"/>
        </w:rPr>
        <w:t>, contemplado en el párrafo segundo del artículo 175,</w:t>
      </w:r>
      <w:r w:rsidRPr="00726415">
        <w:rPr>
          <w:rFonts w:ascii="AvantGarde Bk BT" w:hAnsi="AvantGarde Bk BT" w:cs="Arial"/>
          <w:sz w:val="24"/>
          <w:szCs w:val="24"/>
          <w:vertAlign w:val="superscript"/>
        </w:rPr>
        <w:footnoteReference w:id="57"/>
      </w:r>
      <w:r w:rsidRPr="00726415">
        <w:rPr>
          <w:rFonts w:ascii="AvantGarde Bk BT" w:hAnsi="AvantGarde Bk BT" w:cs="Arial"/>
          <w:sz w:val="24"/>
          <w:szCs w:val="24"/>
        </w:rPr>
        <w:t xml:space="preserve"> del Código Procesal Administrativo para el Estado de San Luis Potosí, por el cual, las manifestaciones de las partes se tendrán por ciertas, salvo prueba en contrario, </w:t>
      </w:r>
      <w:r w:rsidRPr="00726415">
        <w:rPr>
          <w:rFonts w:ascii="AvantGarde Bk BT" w:hAnsi="AvantGarde Bk BT" w:cs="Arial"/>
          <w:sz w:val="24"/>
          <w:szCs w:val="24"/>
          <w:u w:val="single"/>
        </w:rPr>
        <w:t xml:space="preserve">se presume cierta la existencia de la licencia, </w:t>
      </w:r>
      <w:r w:rsidRPr="00726415">
        <w:rPr>
          <w:rFonts w:ascii="AvantGarde Bk BT" w:hAnsi="AvantGarde Bk BT" w:cs="Arial"/>
          <w:sz w:val="24"/>
          <w:szCs w:val="24"/>
        </w:rPr>
        <w:t xml:space="preserve">toda vez que del análisis de la respuesta impugnada, se evidencia que se hizo del conocimiento del aquí recurrente, que previa identificación de la titularidad de los datos personales, se otorgaría el acceso correspondiente. </w:t>
      </w:r>
    </w:p>
    <w:p w14:paraId="5D19FD3D" w14:textId="77777777" w:rsidR="00844599" w:rsidRPr="00726415" w:rsidRDefault="00844599" w:rsidP="00844599">
      <w:pPr>
        <w:autoSpaceDE w:val="0"/>
        <w:autoSpaceDN w:val="0"/>
        <w:adjustRightInd w:val="0"/>
        <w:spacing w:after="0" w:line="360" w:lineRule="auto"/>
        <w:ind w:right="49" w:firstLine="709"/>
        <w:jc w:val="both"/>
        <w:rPr>
          <w:rFonts w:ascii="AvantGarde Bk BT" w:hAnsi="AvantGarde Bk BT" w:cs="Arial"/>
          <w:sz w:val="24"/>
          <w:szCs w:val="24"/>
          <w:u w:val="single"/>
        </w:rPr>
      </w:pPr>
    </w:p>
    <w:p w14:paraId="4914FC5A"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este orden de ideas que se tiene establecido, para que aplique la confidencialidad basta con una simple –</w:t>
      </w:r>
      <w:r w:rsidRPr="00726415">
        <w:rPr>
          <w:rFonts w:ascii="AvantGarde Bk BT" w:eastAsia="Arial Unicode MS" w:hAnsi="AvantGarde Bk BT" w:cs="Arial"/>
          <w:i/>
          <w:sz w:val="24"/>
          <w:szCs w:val="24"/>
          <w:lang w:eastAsia="es-ES"/>
        </w:rPr>
        <w:t>subsunción-</w:t>
      </w:r>
      <w:r w:rsidRPr="00726415">
        <w:rPr>
          <w:rFonts w:ascii="AvantGarde Bk BT" w:eastAsia="Arial Unicode MS" w:hAnsi="AvantGarde Bk BT" w:cs="Arial"/>
          <w:sz w:val="24"/>
          <w:szCs w:val="24"/>
          <w:lang w:eastAsia="es-ES"/>
        </w:rPr>
        <w:t xml:space="preserve"> en términos de silogismo lógico: en el momento que se actualice alguna de las causales de confidencialidad</w:t>
      </w:r>
      <w:r w:rsidRPr="00726415">
        <w:rPr>
          <w:rStyle w:val="Refdenotaalpie"/>
          <w:rFonts w:ascii="AvantGarde Bk BT" w:eastAsia="Arial Unicode MS" w:hAnsi="AvantGarde Bk BT" w:cs="Arial"/>
        </w:rPr>
        <w:footnoteReference w:id="58"/>
      </w:r>
      <w:r w:rsidRPr="00726415">
        <w:rPr>
          <w:rFonts w:ascii="AvantGarde Bk BT" w:eastAsia="Arial Unicode MS" w:hAnsi="AvantGarde Bk BT" w:cs="Arial"/>
          <w:sz w:val="24"/>
          <w:szCs w:val="24"/>
          <w:lang w:eastAsia="es-ES"/>
        </w:rPr>
        <w:t xml:space="preserve">, se subsumen las premisas fácticas a la hipótesis normativa que, como premisa mayor, sirve para aplicar la solución al caso. Si el caso específico implica que la información: </w:t>
      </w:r>
      <w:r w:rsidRPr="00726415">
        <w:rPr>
          <w:rFonts w:ascii="AvantGarde Bk BT" w:eastAsia="Arial Unicode MS" w:hAnsi="AvantGarde Bk BT" w:cs="Arial"/>
          <w:i/>
          <w:sz w:val="24"/>
          <w:szCs w:val="24"/>
          <w:lang w:eastAsia="es-ES"/>
        </w:rPr>
        <w:t>(i)</w:t>
      </w:r>
      <w:r w:rsidRPr="00726415">
        <w:rPr>
          <w:rFonts w:ascii="AvantGarde Bk BT" w:eastAsia="Arial Unicode MS" w:hAnsi="AvantGarde Bk BT" w:cs="Arial"/>
          <w:sz w:val="24"/>
          <w:szCs w:val="24"/>
          <w:lang w:eastAsia="es-ES"/>
        </w:rPr>
        <w:t xml:space="preserve"> contiene datos personales, </w:t>
      </w:r>
      <w:r w:rsidRPr="00726415">
        <w:rPr>
          <w:rFonts w:ascii="AvantGarde Bk BT" w:eastAsia="Arial Unicode MS" w:hAnsi="AvantGarde Bk BT" w:cs="Arial"/>
          <w:i/>
          <w:sz w:val="24"/>
          <w:szCs w:val="24"/>
          <w:lang w:eastAsia="es-ES"/>
        </w:rPr>
        <w:t xml:space="preserve">(ii) </w:t>
      </w:r>
      <w:r w:rsidRPr="00726415">
        <w:rPr>
          <w:rFonts w:ascii="AvantGarde Bk BT" w:eastAsia="Arial Unicode MS" w:hAnsi="AvantGarde Bk BT" w:cs="Arial"/>
          <w:sz w:val="24"/>
          <w:szCs w:val="24"/>
          <w:lang w:eastAsia="es-ES"/>
        </w:rPr>
        <w:t xml:space="preserve">hay de por medio secretos legales o </w:t>
      </w:r>
      <w:r w:rsidRPr="00726415">
        <w:rPr>
          <w:rFonts w:ascii="AvantGarde Bk BT" w:eastAsia="Arial Unicode MS" w:hAnsi="AvantGarde Bk BT" w:cs="Arial"/>
          <w:i/>
          <w:sz w:val="24"/>
          <w:szCs w:val="24"/>
          <w:lang w:eastAsia="es-ES"/>
        </w:rPr>
        <w:t xml:space="preserve">(iii) </w:t>
      </w:r>
      <w:r w:rsidRPr="00726415">
        <w:rPr>
          <w:rFonts w:ascii="AvantGarde Bk BT" w:eastAsia="Arial Unicode MS" w:hAnsi="AvantGarde Bk BT" w:cs="Arial"/>
          <w:sz w:val="24"/>
          <w:szCs w:val="24"/>
          <w:lang w:eastAsia="es-ES"/>
        </w:rPr>
        <w:t xml:space="preserve">la información entregada a los Sujetos Obligados fue con el carácter de confidencial con base en un derecho que le otorga esa naturaleza y, además, </w:t>
      </w:r>
      <w:r w:rsidRPr="00726415">
        <w:rPr>
          <w:rFonts w:ascii="AvantGarde Bk BT" w:eastAsia="Arial Unicode MS" w:hAnsi="AvantGarde Bk BT" w:cs="Arial"/>
          <w:sz w:val="24"/>
          <w:szCs w:val="24"/>
          <w:u w:val="single"/>
          <w:lang w:eastAsia="es-ES"/>
        </w:rPr>
        <w:t>en cualquiera de los tres supuestos no se trata de una excepción al consentimiento del titular de la información,</w:t>
      </w:r>
      <w:r w:rsidRPr="00726415">
        <w:rPr>
          <w:rFonts w:ascii="AvantGarde Bk BT" w:eastAsia="Arial Unicode MS" w:hAnsi="AvantGarde Bk BT" w:cs="Arial"/>
          <w:sz w:val="24"/>
          <w:szCs w:val="24"/>
          <w:lang w:eastAsia="es-ES"/>
        </w:rPr>
        <w:t xml:space="preserve"> luego entonces se concluye que esa información está protegida por la </w:t>
      </w:r>
      <w:r w:rsidRPr="00726415">
        <w:rPr>
          <w:rFonts w:ascii="AvantGarde Bk BT" w:eastAsia="Arial Unicode MS" w:hAnsi="AvantGarde Bk BT" w:cs="Arial"/>
          <w:sz w:val="24"/>
          <w:szCs w:val="24"/>
          <w:lang w:eastAsia="es-ES"/>
        </w:rPr>
        <w:lastRenderedPageBreak/>
        <w:t xml:space="preserve">confidencialidad. Misma que se asume, a la vez como una </w:t>
      </w:r>
      <w:r w:rsidRPr="00726415">
        <w:rPr>
          <w:rFonts w:ascii="AvantGarde Bk BT" w:eastAsia="Arial Unicode MS" w:hAnsi="AvantGarde Bk BT" w:cs="Arial"/>
          <w:b/>
          <w:sz w:val="24"/>
          <w:szCs w:val="24"/>
          <w:lang w:eastAsia="es-ES"/>
        </w:rPr>
        <w:t>limitante constitucional</w:t>
      </w:r>
      <w:r w:rsidRPr="00726415">
        <w:rPr>
          <w:rFonts w:ascii="AvantGarde Bk BT" w:eastAsia="Arial Unicode MS" w:hAnsi="AvantGarde Bk BT" w:cs="Arial"/>
          <w:sz w:val="24"/>
          <w:szCs w:val="24"/>
          <w:lang w:eastAsia="es-ES"/>
        </w:rPr>
        <w:t xml:space="preserve"> al derecho de acceso a la información y que consiste en la razón genérica de la privacidad</w:t>
      </w:r>
      <w:r w:rsidRPr="00726415">
        <w:rPr>
          <w:rStyle w:val="Refdenotaalpie"/>
          <w:rFonts w:ascii="AvantGarde Bk BT" w:eastAsia="Arial Unicode MS" w:hAnsi="AvantGarde Bk BT" w:cs="Arial"/>
        </w:rPr>
        <w:footnoteReference w:id="59"/>
      </w:r>
      <w:r w:rsidRPr="00726415">
        <w:rPr>
          <w:rFonts w:ascii="AvantGarde Bk BT" w:eastAsia="Arial Unicode MS" w:hAnsi="AvantGarde Bk BT" w:cs="Arial"/>
          <w:sz w:val="24"/>
          <w:szCs w:val="24"/>
          <w:lang w:eastAsia="es-ES"/>
        </w:rPr>
        <w:t>.</w:t>
      </w:r>
    </w:p>
    <w:p w14:paraId="4521F7D0"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432CCEB7"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No </w:t>
      </w:r>
      <w:proofErr w:type="gramStart"/>
      <w:r w:rsidRPr="00726415">
        <w:rPr>
          <w:rFonts w:ascii="AvantGarde Bk BT" w:eastAsia="Arial Unicode MS" w:hAnsi="AvantGarde Bk BT" w:cs="Arial"/>
          <w:sz w:val="24"/>
          <w:szCs w:val="24"/>
          <w:lang w:eastAsia="es-ES"/>
        </w:rPr>
        <w:t>obstante</w:t>
      </w:r>
      <w:proofErr w:type="gramEnd"/>
      <w:r w:rsidRPr="00726415">
        <w:rPr>
          <w:rFonts w:ascii="AvantGarde Bk BT" w:eastAsia="Arial Unicode MS" w:hAnsi="AvantGarde Bk BT" w:cs="Arial"/>
          <w:sz w:val="24"/>
          <w:szCs w:val="24"/>
          <w:lang w:eastAsia="es-ES"/>
        </w:rPr>
        <w:t xml:space="preserve"> lo anterior, en casos excepcionales, se deberá realizar una llamada </w:t>
      </w:r>
      <w:r w:rsidRPr="00726415">
        <w:rPr>
          <w:rFonts w:ascii="AvantGarde Bk BT" w:eastAsia="Arial Unicode MS" w:hAnsi="AvantGarde Bk BT" w:cs="Arial"/>
          <w:i/>
          <w:sz w:val="24"/>
          <w:szCs w:val="24"/>
          <w:lang w:eastAsia="es-ES"/>
        </w:rPr>
        <w:t>-prueba de interés público-</w:t>
      </w:r>
      <w:r w:rsidRPr="00726415">
        <w:rPr>
          <w:rFonts w:ascii="AvantGarde Bk BT" w:eastAsia="Arial Unicode MS" w:hAnsi="AvantGarde Bk BT" w:cs="Arial"/>
          <w:sz w:val="24"/>
          <w:szCs w:val="24"/>
          <w:lang w:eastAsia="es-ES"/>
        </w:rPr>
        <w:t xml:space="preserve">, como un mecanismo que legitimara el levantamiento del velo de la confidencialidad a cierta información- particularmente, datos personales- en aras del interés público para que dicha información se hiciera pública. El método para desahogar esa </w:t>
      </w:r>
      <w:r w:rsidRPr="00726415">
        <w:rPr>
          <w:rFonts w:ascii="AvantGarde Bk BT" w:eastAsia="Arial Unicode MS" w:hAnsi="AvantGarde Bk BT" w:cs="Arial"/>
          <w:i/>
          <w:sz w:val="24"/>
          <w:szCs w:val="24"/>
          <w:u w:val="single"/>
          <w:lang w:eastAsia="es-ES"/>
        </w:rPr>
        <w:t>prueba de interés público</w:t>
      </w:r>
      <w:r w:rsidRPr="00726415">
        <w:rPr>
          <w:rFonts w:ascii="AvantGarde Bk BT" w:eastAsia="Arial Unicode MS" w:hAnsi="AvantGarde Bk BT" w:cs="Arial"/>
          <w:sz w:val="24"/>
          <w:szCs w:val="24"/>
          <w:lang w:eastAsia="es-ES"/>
        </w:rPr>
        <w:t xml:space="preserve">, es similar a la </w:t>
      </w:r>
      <w:r w:rsidRPr="00726415">
        <w:rPr>
          <w:rFonts w:ascii="AvantGarde Bk BT" w:eastAsia="Arial Unicode MS" w:hAnsi="AvantGarde Bk BT" w:cs="Arial"/>
          <w:i/>
          <w:sz w:val="24"/>
          <w:szCs w:val="24"/>
          <w:u w:val="single"/>
          <w:lang w:eastAsia="es-ES"/>
        </w:rPr>
        <w:t>prueba de daño</w:t>
      </w:r>
      <w:r w:rsidRPr="00726415">
        <w:rPr>
          <w:rFonts w:ascii="AvantGarde Bk BT" w:eastAsia="Arial Unicode MS" w:hAnsi="AvantGarde Bk BT" w:cs="Arial"/>
          <w:sz w:val="24"/>
          <w:szCs w:val="24"/>
          <w:lang w:eastAsia="es-ES"/>
        </w:rPr>
        <w:t xml:space="preserve"> en los casos de información reservada; la primera de las mencionadas, se tiene que hacer mediante el test de proporcionalidad. </w:t>
      </w:r>
    </w:p>
    <w:p w14:paraId="29030864"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7465A9DC"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Para </w:t>
      </w:r>
      <w:proofErr w:type="spellStart"/>
      <w:r w:rsidRPr="00726415">
        <w:rPr>
          <w:rFonts w:ascii="AvantGarde Bk BT" w:eastAsia="Arial Unicode MS" w:hAnsi="AvantGarde Bk BT" w:cs="Arial"/>
          <w:sz w:val="24"/>
          <w:szCs w:val="24"/>
          <w:lang w:eastAsia="es-ES"/>
        </w:rPr>
        <w:t>Upegui</w:t>
      </w:r>
      <w:proofErr w:type="spellEnd"/>
      <w:r w:rsidRPr="00726415">
        <w:rPr>
          <w:rFonts w:ascii="AvantGarde Bk BT" w:eastAsia="Arial Unicode MS" w:hAnsi="AvantGarde Bk BT" w:cs="Arial"/>
          <w:sz w:val="24"/>
          <w:szCs w:val="24"/>
          <w:lang w:eastAsia="es-ES"/>
        </w:rPr>
        <w:t xml:space="preserve"> Mejía, la </w:t>
      </w:r>
      <w:r w:rsidRPr="00726415">
        <w:rPr>
          <w:rFonts w:ascii="AvantGarde Bk BT" w:eastAsia="Arial Unicode MS" w:hAnsi="AvantGarde Bk BT" w:cs="Arial"/>
          <w:i/>
          <w:sz w:val="24"/>
          <w:szCs w:val="24"/>
          <w:lang w:eastAsia="es-ES"/>
        </w:rPr>
        <w:t>-prueba de interés público-</w:t>
      </w:r>
      <w:r w:rsidRPr="00726415">
        <w:rPr>
          <w:rFonts w:ascii="AvantGarde Bk BT" w:eastAsia="Arial Unicode MS" w:hAnsi="AvantGarde Bk BT" w:cs="Arial"/>
          <w:sz w:val="24"/>
          <w:szCs w:val="24"/>
          <w:lang w:eastAsia="es-ES"/>
        </w:rPr>
        <w:t xml:space="preserve"> se define de la siguiente forma: “Esta metodología parte de dos premisas: aceptar que el conocimiento de cierta información personal puede revestir un interés público, y que una vez que esto ha sido verificado, el caso debe ser entendido como una colisión de derechos. La prueba consiste en aplicar la ponderación a los intereses enfrentados: el interés del particular en mantener la confidencialidad de su información personal y el interés público en su revelación”.</w:t>
      </w:r>
      <w:r w:rsidRPr="00726415">
        <w:rPr>
          <w:rStyle w:val="Refdenotaalpie"/>
          <w:rFonts w:ascii="AvantGarde Bk BT" w:eastAsia="Arial Unicode MS" w:hAnsi="AvantGarde Bk BT" w:cs="Arial"/>
        </w:rPr>
        <w:footnoteReference w:id="60"/>
      </w:r>
    </w:p>
    <w:p w14:paraId="7B324C56"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53A78357"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El test de proporcionalidad sustenta un criterio de racionalidad muy útil en la colisión de principios, como lo es el derecho fundamental de acceso a la información y un principio de interés público expresado en causales de reserva. Porque entre ambos principios, cuyo peso específico varía según cada caso y según las posibilidades jurídicas y fácticas, no siempre se ponderará a favor del acceso a la información, ni tampoco se hará lo propio en favor del interés público. Todo dependerá del caso para darle el peso específico a cada uno de esos principios colisionados y, sobre todo, enfáticamente se cumpla con el test de proporcionalidad: </w:t>
      </w:r>
      <w:r w:rsidRPr="00726415">
        <w:rPr>
          <w:rFonts w:ascii="AvantGarde Bk BT" w:eastAsia="Arial Unicode MS" w:hAnsi="AvantGarde Bk BT" w:cs="Arial"/>
          <w:b/>
          <w:sz w:val="24"/>
          <w:szCs w:val="24"/>
          <w:u w:val="single"/>
          <w:lang w:eastAsia="es-ES"/>
        </w:rPr>
        <w:t xml:space="preserve">idoneidad, necesidad y proporcionalidad </w:t>
      </w:r>
      <w:r w:rsidRPr="00726415">
        <w:rPr>
          <w:rFonts w:ascii="AvantGarde Bk BT" w:eastAsia="Arial Unicode MS" w:hAnsi="AvantGarde Bk BT" w:cs="Arial"/>
          <w:sz w:val="24"/>
          <w:szCs w:val="24"/>
          <w:lang w:eastAsia="es-ES"/>
        </w:rPr>
        <w:t>en sentido estricto.</w:t>
      </w:r>
    </w:p>
    <w:p w14:paraId="5C66836F"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63CD2991"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La ponderación, como actividad intelectual humana coadyuva para determinar la mayor valía comparativa entre dos o más opciones en una situación conflictual entre dichas opciones. Dicho de otro modo, se sopesa en una balanza las ventajas y desventajas, los pros y los contras, de dos o más alternativas respecto de una situación concreta en la que dichas opciones se conflictúan y se debe decidir cuál de todas ellas amerita el mayor valor para tomarla como solución a dicho conflicto.</w:t>
      </w:r>
    </w:p>
    <w:p w14:paraId="50C07D43"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0392482A"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La distinción entre -principios y reglas-; la definición de los primeros en el sentido de que son -mandatos de optimización- sin un -peso específico- acorde a -posibilidades jurídicas y fácticas-; que los -derechos fundamentales- son principios; que el -acceso a la información- es un derecho fundamental en México; que el -interés de hacer pública la información confidencial- también es un principio; y que, entre uno y otro puede darse una –colisión-. Lo que realmente debe destacarse es que, para resolver esa colisión de principios —en nuestro caso confidencialidad y publicidad de la información-.</w:t>
      </w:r>
      <w:r w:rsidRPr="00726415">
        <w:rPr>
          <w:rStyle w:val="Refdenotaalpie"/>
          <w:rFonts w:ascii="AvantGarde Bk BT" w:eastAsia="Arial Unicode MS" w:hAnsi="AvantGarde Bk BT" w:cs="Arial"/>
        </w:rPr>
        <w:footnoteReference w:id="61"/>
      </w:r>
    </w:p>
    <w:p w14:paraId="1DE7180D"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45926551"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Así, al decir de Nava, -</w:t>
      </w:r>
      <w:r w:rsidRPr="00726415">
        <w:rPr>
          <w:rFonts w:ascii="AvantGarde Bk BT" w:eastAsia="Arial Unicode MS" w:hAnsi="AvantGarde Bk BT" w:cs="Arial"/>
          <w:i/>
          <w:sz w:val="24"/>
          <w:szCs w:val="24"/>
          <w:lang w:eastAsia="es-ES"/>
        </w:rPr>
        <w:t>el principio de idoneidad-</w:t>
      </w:r>
      <w:r w:rsidRPr="00726415">
        <w:rPr>
          <w:rFonts w:ascii="AvantGarde Bk BT" w:eastAsia="Arial Unicode MS" w:hAnsi="AvantGarde Bk BT" w:cs="Arial"/>
          <w:sz w:val="24"/>
          <w:szCs w:val="24"/>
          <w:lang w:eastAsia="es-ES"/>
        </w:rPr>
        <w:t xml:space="preserve"> implica que la afectación en uno de los principios colisionados debe satisfacer dos aspectos: el primero, que la afectación tiene un -fin constitucionalmente válido- y, el segundo, que -la afectación es la adecuada- para obtener ese fin</w:t>
      </w:r>
      <w:r w:rsidRPr="00726415">
        <w:rPr>
          <w:rStyle w:val="Refdenotaalpie"/>
          <w:rFonts w:ascii="AvantGarde Bk BT" w:eastAsia="Arial Unicode MS" w:hAnsi="AvantGarde Bk BT" w:cs="Arial"/>
        </w:rPr>
        <w:footnoteReference w:id="62"/>
      </w:r>
      <w:r w:rsidRPr="00726415">
        <w:rPr>
          <w:rFonts w:ascii="AvantGarde Bk BT" w:eastAsia="Arial Unicode MS" w:hAnsi="AvantGarde Bk BT" w:cs="Arial"/>
          <w:sz w:val="24"/>
          <w:szCs w:val="24"/>
          <w:lang w:eastAsia="es-ES"/>
        </w:rPr>
        <w:t xml:space="preserve">. </w:t>
      </w:r>
    </w:p>
    <w:p w14:paraId="1C45AFEA"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El </w:t>
      </w:r>
      <w:r w:rsidRPr="00726415">
        <w:rPr>
          <w:rFonts w:ascii="AvantGarde Bk BT" w:eastAsia="Arial Unicode MS" w:hAnsi="AvantGarde Bk BT" w:cs="Arial"/>
          <w:i/>
          <w:sz w:val="24"/>
          <w:szCs w:val="24"/>
          <w:lang w:eastAsia="es-ES"/>
        </w:rPr>
        <w:t>-principio de necesidad-</w:t>
      </w:r>
      <w:r w:rsidRPr="00726415">
        <w:rPr>
          <w:rFonts w:ascii="AvantGarde Bk BT" w:eastAsia="Arial Unicode MS" w:hAnsi="AvantGarde Bk BT" w:cs="Arial"/>
          <w:sz w:val="24"/>
          <w:szCs w:val="24"/>
          <w:lang w:eastAsia="es-ES"/>
        </w:rPr>
        <w:t xml:space="preserve"> alude a la afectación a uno de los principios colisionados como la más benigna, la menos gravosa o la menos lesiva</w:t>
      </w:r>
      <w:r w:rsidRPr="00726415">
        <w:rPr>
          <w:rStyle w:val="Refdenotaalpie"/>
          <w:rFonts w:ascii="AvantGarde Bk BT" w:eastAsia="Arial Unicode MS" w:hAnsi="AvantGarde Bk BT" w:cs="Arial"/>
        </w:rPr>
        <w:footnoteReference w:id="63"/>
      </w:r>
      <w:r w:rsidRPr="00726415">
        <w:rPr>
          <w:rFonts w:ascii="AvantGarde Bk BT" w:eastAsia="Arial Unicode MS" w:hAnsi="AvantGarde Bk BT" w:cs="Arial"/>
          <w:sz w:val="24"/>
          <w:szCs w:val="24"/>
          <w:lang w:eastAsia="es-ES"/>
        </w:rPr>
        <w:t xml:space="preserve"> y que no existe otra medida de afectación que mejore la optimización de dicho principio.</w:t>
      </w:r>
    </w:p>
    <w:p w14:paraId="387A7588"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4CFBADDC"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lastRenderedPageBreak/>
        <w:t xml:space="preserve">En el </w:t>
      </w:r>
      <w:r w:rsidRPr="00726415">
        <w:rPr>
          <w:rFonts w:ascii="AvantGarde Bk BT" w:eastAsia="Arial Unicode MS" w:hAnsi="AvantGarde Bk BT" w:cs="Arial"/>
          <w:i/>
          <w:sz w:val="24"/>
          <w:szCs w:val="24"/>
          <w:lang w:eastAsia="es-ES"/>
        </w:rPr>
        <w:t xml:space="preserve">–principio de proporcionalidad- </w:t>
      </w:r>
      <w:r w:rsidRPr="00726415">
        <w:rPr>
          <w:rFonts w:ascii="AvantGarde Bk BT" w:eastAsia="Arial Unicode MS" w:hAnsi="AvantGarde Bk BT" w:cs="Arial"/>
          <w:sz w:val="24"/>
          <w:szCs w:val="24"/>
          <w:lang w:eastAsia="es-ES"/>
        </w:rPr>
        <w:t>se entiende como sopesar las razones de la afectación de uno de los principios frente a las razones de afectación del otro principio. Un ejercicio de valoración del beneficio/perjuicio entre los principios colisionados, por lo que no es suficiente que la afectación sea la adecuada constitucionalmente, ni que sea la menos lesiva en un espectro de opciones. Se requiere entonces que se confronten los principios en el caso concreto.</w:t>
      </w:r>
    </w:p>
    <w:p w14:paraId="6E49A763" w14:textId="77777777" w:rsidR="00844599" w:rsidRPr="00726415" w:rsidRDefault="00844599" w:rsidP="00844599">
      <w:pPr>
        <w:spacing w:after="0" w:line="360" w:lineRule="auto"/>
        <w:ind w:firstLine="708"/>
        <w:jc w:val="both"/>
        <w:rPr>
          <w:rFonts w:ascii="AvantGarde Bk BT" w:eastAsia="Arial Unicode MS" w:hAnsi="AvantGarde Bk BT" w:cs="Arial"/>
          <w:sz w:val="24"/>
          <w:szCs w:val="24"/>
          <w:lang w:eastAsia="es-ES"/>
        </w:rPr>
      </w:pPr>
    </w:p>
    <w:p w14:paraId="1AA77255" w14:textId="77777777" w:rsidR="00844599" w:rsidRPr="00726415" w:rsidRDefault="00844599" w:rsidP="00844599">
      <w:pPr>
        <w:spacing w:after="0" w:line="360" w:lineRule="auto"/>
        <w:ind w:firstLine="708"/>
        <w:jc w:val="both"/>
        <w:rPr>
          <w:rFonts w:ascii="AvantGarde Bk BT" w:eastAsia="Arial Unicode MS" w:hAnsi="AvantGarde Bk BT" w:cs="Arial"/>
          <w:b/>
          <w:sz w:val="24"/>
          <w:szCs w:val="24"/>
          <w:u w:val="single"/>
          <w:lang w:eastAsia="es-ES"/>
        </w:rPr>
      </w:pPr>
      <w:r w:rsidRPr="00726415">
        <w:rPr>
          <w:rFonts w:ascii="AvantGarde Bk BT" w:eastAsia="Arial Unicode MS" w:hAnsi="AvantGarde Bk BT" w:cs="Arial"/>
          <w:sz w:val="24"/>
          <w:szCs w:val="24"/>
          <w:lang w:eastAsia="es-ES"/>
        </w:rPr>
        <w:t xml:space="preserve">Sobre esta guisa, es evidente que respecto a la información confidencial, </w:t>
      </w:r>
      <w:r w:rsidRPr="00726415">
        <w:rPr>
          <w:rFonts w:ascii="AvantGarde Bk BT" w:eastAsia="Arial Unicode MS" w:hAnsi="AvantGarde Bk BT" w:cs="Arial"/>
          <w:b/>
          <w:sz w:val="24"/>
          <w:szCs w:val="24"/>
          <w:u w:val="single"/>
          <w:lang w:eastAsia="es-ES"/>
        </w:rPr>
        <w:t>el test de proporcionalidad se encuentra claramente definido y circunscrito a la protección de un valor determinado que es la protección de los derechos de la personalidad, en concreto la vida privada a través de datos personales o datos sensibles que son de exclusivo manejo del individuo del que emanan.</w:t>
      </w:r>
      <w:r w:rsidRPr="00726415">
        <w:rPr>
          <w:rFonts w:ascii="AvantGarde Bk BT" w:eastAsia="Arial Unicode MS" w:hAnsi="AvantGarde Bk BT" w:cs="Arial"/>
          <w:b/>
          <w:sz w:val="24"/>
          <w:szCs w:val="24"/>
          <w:u w:val="single"/>
          <w:vertAlign w:val="superscript"/>
          <w:lang w:eastAsia="es-ES"/>
        </w:rPr>
        <w:footnoteReference w:id="64"/>
      </w:r>
    </w:p>
    <w:p w14:paraId="496DA0EB" w14:textId="621B4FC6" w:rsidR="00844599" w:rsidRPr="00726415" w:rsidRDefault="00844599" w:rsidP="00AB3142">
      <w:pPr>
        <w:tabs>
          <w:tab w:val="left" w:pos="567"/>
        </w:tabs>
        <w:spacing w:after="0" w:line="360" w:lineRule="auto"/>
        <w:ind w:firstLine="709"/>
        <w:jc w:val="both"/>
        <w:rPr>
          <w:rFonts w:ascii="AvantGarde Bk BT" w:eastAsia="Times New Roman" w:hAnsi="AvantGarde Bk BT" w:cs="Arial"/>
          <w:color w:val="000000"/>
          <w:sz w:val="24"/>
          <w:szCs w:val="24"/>
          <w:highlight w:val="yellow"/>
        </w:rPr>
      </w:pPr>
    </w:p>
    <w:p w14:paraId="3BBBC7C0"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En ese sentido, la revelación de los datos personales cobra una capital importancia e identificación en el manejo de la información. El daño causado por el otorgamiento de ella es evidente y concreto. De cualquier manera, la legislación en materia de transparencia en el Estado mexicano establece una serie de instrucciones en materia de protección de datos en posesión de los sujetos obligados que les faculta y les obliga en materia de la información considerada como confidencial.</w:t>
      </w:r>
    </w:p>
    <w:p w14:paraId="2DEAE7BE"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p>
    <w:p w14:paraId="27C93972"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El criterio de interés público se funda en la información que el público considera relevante para la vida comunitaria, es decir, aquella que versa sobre hechos que puedan encerrar trascendencia pública; así, una información se vuelve de interés público cuando miembros de la comunidad pueden justificar razonablemente un interés en su conocimiento y difusión.</w:t>
      </w:r>
      <w:r w:rsidRPr="00726415">
        <w:rPr>
          <w:rStyle w:val="Refdenotaalpie"/>
          <w:rFonts w:ascii="AvantGarde Bk BT" w:eastAsia="Arial Unicode MS" w:hAnsi="AvantGarde Bk BT" w:cs="Arial"/>
        </w:rPr>
        <w:footnoteReference w:id="65"/>
      </w:r>
      <w:r w:rsidRPr="00726415">
        <w:rPr>
          <w:rFonts w:ascii="AvantGarde Bk BT" w:eastAsia="Arial Unicode MS" w:hAnsi="AvantGarde Bk BT" w:cs="Arial"/>
          <w:sz w:val="24"/>
          <w:szCs w:val="24"/>
          <w:lang w:eastAsia="es-ES"/>
        </w:rPr>
        <w:t xml:space="preserve"> </w:t>
      </w:r>
    </w:p>
    <w:p w14:paraId="6DAD8096" w14:textId="77777777" w:rsidR="00466947" w:rsidRPr="00726415" w:rsidRDefault="00466947" w:rsidP="00466947">
      <w:pPr>
        <w:spacing w:after="0" w:line="360" w:lineRule="auto"/>
        <w:ind w:firstLine="709"/>
        <w:jc w:val="both"/>
        <w:rPr>
          <w:rFonts w:ascii="AvantGarde Bk BT" w:eastAsia="Arial Unicode MS" w:hAnsi="AvantGarde Bk BT" w:cs="Arial"/>
          <w:sz w:val="24"/>
          <w:szCs w:val="24"/>
          <w:lang w:eastAsia="es-ES"/>
        </w:rPr>
      </w:pPr>
    </w:p>
    <w:p w14:paraId="342AE0D8" w14:textId="77777777" w:rsidR="00466947" w:rsidRPr="00726415" w:rsidRDefault="00466947" w:rsidP="0046694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Por tanto, al existir un legítimo interés, en el que se instala un -también legítimo- empleo del derecho de acceso a la información en su vertiente informativa, en conocer lo que de alguna manera compromete a la sociedad en su conjunto, incide </w:t>
      </w:r>
      <w:r w:rsidRPr="00726415">
        <w:rPr>
          <w:rFonts w:ascii="AvantGarde Bk BT" w:eastAsia="Arial Unicode MS" w:hAnsi="AvantGarde Bk BT" w:cs="Arial"/>
          <w:sz w:val="24"/>
          <w:szCs w:val="24"/>
          <w:lang w:eastAsia="es-ES"/>
        </w:rPr>
        <w:lastRenderedPageBreak/>
        <w:t>sobre la marcha del Estado, afecta intereses o derechos generales, acarrea consecuencias importantes para la comunidad. Las tareas de gobierno -y más ampliamente, las actividades del Estado, a través de sus diversos órganos- no son indiferentes y mucho menos debieran ser inaccesibles al conocimiento de las personas. La democracia se construye a partir de la opinión pública, debidamente informada, que con base en esa información orienta su juicio y toma sus decisiones. Así, el ingreso en el ámbito de esas cuestiones resultará mucho más holgado que el correspondiente a los asuntos estrictamente privados, propios de la vida personal o íntima, que no trascienden sus estrictos linderos. La llamada “transparencia” tiene en aquel ámbito uno de sus espacios naturales</w:t>
      </w:r>
      <w:r w:rsidRPr="00726415">
        <w:rPr>
          <w:rStyle w:val="Refdenotaalpie"/>
          <w:rFonts w:ascii="AvantGarde Bk BT" w:eastAsia="Arial Unicode MS" w:hAnsi="AvantGarde Bk BT" w:cs="Arial"/>
        </w:rPr>
        <w:footnoteReference w:id="66"/>
      </w:r>
      <w:r w:rsidRPr="00726415">
        <w:rPr>
          <w:rFonts w:ascii="AvantGarde Bk BT" w:eastAsia="Arial Unicode MS" w:hAnsi="AvantGarde Bk BT" w:cs="Arial"/>
          <w:sz w:val="24"/>
          <w:szCs w:val="24"/>
          <w:lang w:eastAsia="es-ES"/>
        </w:rPr>
        <w:t>.</w:t>
      </w:r>
    </w:p>
    <w:p w14:paraId="6C009D1A" w14:textId="77777777" w:rsidR="00466947" w:rsidRPr="00726415" w:rsidRDefault="00466947" w:rsidP="00466947">
      <w:pPr>
        <w:spacing w:after="0" w:line="360" w:lineRule="auto"/>
        <w:ind w:firstLine="709"/>
        <w:jc w:val="both"/>
        <w:rPr>
          <w:rFonts w:ascii="AvantGarde Bk BT" w:eastAsia="Arial Unicode MS" w:hAnsi="AvantGarde Bk BT" w:cs="Arial"/>
          <w:sz w:val="24"/>
          <w:szCs w:val="24"/>
          <w:lang w:eastAsia="es-ES"/>
        </w:rPr>
      </w:pPr>
    </w:p>
    <w:p w14:paraId="6E97D817" w14:textId="77777777" w:rsidR="00466947" w:rsidRPr="00726415" w:rsidRDefault="00466947" w:rsidP="0046694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En el caso concreto, el discurso político se encuentra directamente relacionado con la dimensión social y la función del derecho de acceso a la información. Por lo tanto, la protección de su libre difusión resulta especialmente relevante para que estos derechos desempeñen sus funciones de cara a la formación de la opinión pública, dentro del esquema estructural propio de la democracia representativa. Una opinión pública bien informada es el medio más adecuado para conocer y juzgar las ideas y actitudes de los dirigentes políticos. </w:t>
      </w:r>
    </w:p>
    <w:p w14:paraId="4CD055FE" w14:textId="131F9E5C" w:rsidR="00844599" w:rsidRPr="00726415" w:rsidRDefault="00844599" w:rsidP="00AB3142">
      <w:pPr>
        <w:tabs>
          <w:tab w:val="left" w:pos="567"/>
        </w:tabs>
        <w:spacing w:after="0" w:line="360" w:lineRule="auto"/>
        <w:ind w:firstLine="709"/>
        <w:jc w:val="both"/>
        <w:rPr>
          <w:rFonts w:ascii="AvantGarde Bk BT" w:eastAsia="Times New Roman" w:hAnsi="AvantGarde Bk BT" w:cs="Arial"/>
          <w:color w:val="000000"/>
          <w:sz w:val="24"/>
          <w:szCs w:val="24"/>
          <w:highlight w:val="yellow"/>
        </w:rPr>
      </w:pPr>
    </w:p>
    <w:p w14:paraId="477DBDF8" w14:textId="77777777" w:rsidR="00466947" w:rsidRPr="00726415" w:rsidRDefault="00466947" w:rsidP="00466947">
      <w:pPr>
        <w:spacing w:after="0" w:line="360" w:lineRule="auto"/>
        <w:ind w:firstLine="709"/>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El control ciudadano de la actividad de personas que ocupan o han ocupado en el pasado cargos públicos (funcionarios, cargos electos, miembros de partidos políticos, diplomáticos, particulares que desempeñan funciones estatales o de interés público, etcétera) fomenta la transparencia de las actividades estatales y promueve el mandato de todos los que tienen responsabilidades de gestión pública, lo cual necesariamente hace que exista un margen mayor para difundir afirmaciones y apreciaciones consustanciales al discurrir del debate político o sobre asuntos públicos</w:t>
      </w:r>
      <w:r w:rsidRPr="00726415">
        <w:rPr>
          <w:rFonts w:ascii="AvantGarde Bk BT" w:eastAsia="Arial Unicode MS" w:hAnsi="AvantGarde Bk BT" w:cs="Arial"/>
          <w:sz w:val="24"/>
          <w:szCs w:val="24"/>
          <w:vertAlign w:val="superscript"/>
          <w:lang w:eastAsia="es-ES"/>
        </w:rPr>
        <w:footnoteReference w:id="67"/>
      </w:r>
      <w:r w:rsidRPr="00726415">
        <w:rPr>
          <w:rFonts w:ascii="AvantGarde Bk BT" w:eastAsia="Arial Unicode MS" w:hAnsi="AvantGarde Bk BT" w:cs="Arial"/>
          <w:sz w:val="24"/>
          <w:szCs w:val="24"/>
          <w:lang w:eastAsia="es-ES"/>
        </w:rPr>
        <w:t>.</w:t>
      </w:r>
    </w:p>
    <w:p w14:paraId="3DEDAD4F"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p>
    <w:p w14:paraId="1C75273B"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Ahora bien, el marco de subsunción normativa que la Ley de Transparencia y Acceso a la Información Pública del Estado establece para levantar la confidencialidad, se encuentra en el artículo 142, que señala una lista enunciativa, aunque restringida a los primeros cinco casos:</w:t>
      </w:r>
    </w:p>
    <w:p w14:paraId="556ED54E"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p>
    <w:p w14:paraId="17F9E722"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b/>
          <w:lang w:eastAsia="es-ES"/>
        </w:rPr>
        <w:t>“ARTÍCULO 142.</w:t>
      </w:r>
      <w:r w:rsidRPr="00726415">
        <w:rPr>
          <w:rFonts w:ascii="AvantGarde Bk BT" w:eastAsia="Arial Unicode MS" w:hAnsi="AvantGarde Bk BT" w:cs="Arial"/>
          <w:lang w:eastAsia="es-ES"/>
        </w:rPr>
        <w:t xml:space="preserve"> Para que los sujetos obligados puedan permitir el acceso a información confidencial requieren obtener el consentimiento de los particulares titulares de la información. No se requerirá el consentimiento del titular de la información confidencial cuando: </w:t>
      </w:r>
    </w:p>
    <w:p w14:paraId="6924B600"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I. La información se encuentre en registros públicos o fuentes de acceso público; </w:t>
      </w:r>
    </w:p>
    <w:p w14:paraId="4067161C"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II. Por ley tenga el carácter de pública; </w:t>
      </w:r>
    </w:p>
    <w:p w14:paraId="4DC81087"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III. Exista una orden judicial; </w:t>
      </w:r>
    </w:p>
    <w:p w14:paraId="0F2EFB83"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IV. Por razones de salubridad general, o para proteger los derechos de terceros, se requiera su publicación, o </w:t>
      </w:r>
    </w:p>
    <w:p w14:paraId="18739CB8"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V. Cuando se transmita entre sujetos obligados y entre éstos y los sujetos de derecho internacional, en términos de los tratados y los acuerdos interinstitucionales, siempre y cuando la información se utilice para el ejercicio de facultades propias de los mismos.</w:t>
      </w:r>
    </w:p>
    <w:p w14:paraId="2650074D"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p>
    <w:p w14:paraId="6734E13F"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r w:rsidRPr="00726415">
        <w:rPr>
          <w:rFonts w:ascii="AvantGarde Bk BT" w:eastAsia="Arial Unicode MS" w:hAnsi="AvantGarde Bk BT" w:cs="Arial"/>
          <w:lang w:eastAsia="es-ES"/>
        </w:rPr>
        <w:t xml:space="preserve">Para efectos de la fracción IV del presente artículo, </w:t>
      </w:r>
      <w:r w:rsidRPr="00726415">
        <w:rPr>
          <w:rFonts w:ascii="AvantGarde Bk BT" w:eastAsia="Arial Unicode MS" w:hAnsi="AvantGarde Bk BT" w:cs="Arial"/>
          <w:b/>
          <w:lang w:eastAsia="es-ES"/>
        </w:rPr>
        <w:t>la CEGAIP deberá aplicar la prueba de interés público.</w:t>
      </w:r>
      <w:r w:rsidRPr="00726415">
        <w:rPr>
          <w:rFonts w:ascii="AvantGarde Bk BT" w:eastAsia="Arial Unicode MS" w:hAnsi="AvantGarde Bk BT" w:cs="Arial"/>
          <w:lang w:eastAsia="es-ES"/>
        </w:rPr>
        <w:t xml:space="preserve"> Además, </w:t>
      </w:r>
      <w:r w:rsidRPr="00726415">
        <w:rPr>
          <w:rFonts w:ascii="AvantGarde Bk BT" w:eastAsia="Arial Unicode MS" w:hAnsi="AvantGarde Bk BT" w:cs="Arial"/>
          <w:b/>
          <w:lang w:eastAsia="es-ES"/>
        </w:rPr>
        <w:t xml:space="preserve">se deberá corroborar una conexión patente entre la información confidencial y un tema de interés público y la proporcionalidad </w:t>
      </w:r>
      <w:r w:rsidRPr="00726415">
        <w:rPr>
          <w:rFonts w:ascii="AvantGarde Bk BT" w:eastAsia="Arial Unicode MS" w:hAnsi="AvantGarde Bk BT" w:cs="Arial"/>
          <w:lang w:eastAsia="es-ES"/>
        </w:rPr>
        <w:t>entre la invasión a la intimidad ocasionada por la divulgación de la información confidencial y el interés público de la información.”</w:t>
      </w:r>
    </w:p>
    <w:p w14:paraId="72B22AA4" w14:textId="77777777" w:rsidR="00466947" w:rsidRPr="00726415" w:rsidRDefault="00466947" w:rsidP="00466947">
      <w:pPr>
        <w:spacing w:after="0" w:line="240" w:lineRule="auto"/>
        <w:ind w:left="1134" w:right="1750"/>
        <w:jc w:val="both"/>
        <w:rPr>
          <w:rFonts w:ascii="AvantGarde Bk BT" w:eastAsia="Arial Unicode MS" w:hAnsi="AvantGarde Bk BT" w:cs="Arial"/>
          <w:lang w:eastAsia="es-ES"/>
        </w:rPr>
      </w:pPr>
    </w:p>
    <w:p w14:paraId="381ABFFA" w14:textId="77777777" w:rsidR="00466947" w:rsidRPr="00726415" w:rsidRDefault="00466947" w:rsidP="00466947">
      <w:pPr>
        <w:spacing w:after="0" w:line="240" w:lineRule="auto"/>
        <w:ind w:left="1134" w:right="1750"/>
        <w:jc w:val="right"/>
        <w:rPr>
          <w:rFonts w:ascii="AvantGarde Bk BT" w:eastAsia="Arial Unicode MS" w:hAnsi="AvantGarde Bk BT" w:cs="Arial"/>
          <w:b/>
          <w:lang w:eastAsia="es-ES"/>
        </w:rPr>
      </w:pPr>
      <w:r w:rsidRPr="00726415">
        <w:rPr>
          <w:rFonts w:ascii="AvantGarde Bk BT" w:eastAsia="Arial Unicode MS" w:hAnsi="AvantGarde Bk BT" w:cs="Arial"/>
          <w:b/>
          <w:lang w:eastAsia="es-ES"/>
        </w:rPr>
        <w:t xml:space="preserve">[Énfasis añadido] </w:t>
      </w:r>
    </w:p>
    <w:p w14:paraId="7543B0F6"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p>
    <w:p w14:paraId="40E8B0B9"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r w:rsidRPr="00726415">
        <w:rPr>
          <w:rFonts w:ascii="AvantGarde Bk BT" w:eastAsia="Arial Unicode MS" w:hAnsi="AvantGarde Bk BT" w:cs="Arial"/>
          <w:sz w:val="24"/>
          <w:szCs w:val="24"/>
          <w:lang w:eastAsia="es-ES"/>
        </w:rPr>
        <w:t xml:space="preserve">Esto significa, que la prueba de interés público: </w:t>
      </w:r>
      <w:r w:rsidRPr="00726415">
        <w:rPr>
          <w:rFonts w:ascii="AvantGarde Bk BT" w:eastAsia="Arial Unicode MS" w:hAnsi="AvantGarde Bk BT" w:cs="Arial"/>
          <w:i/>
          <w:sz w:val="24"/>
          <w:szCs w:val="24"/>
          <w:lang w:eastAsia="es-ES"/>
        </w:rPr>
        <w:t>i)</w:t>
      </w:r>
      <w:r w:rsidRPr="00726415">
        <w:rPr>
          <w:rFonts w:ascii="AvantGarde Bk BT" w:eastAsia="Arial Unicode MS" w:hAnsi="AvantGarde Bk BT" w:cs="Arial"/>
          <w:sz w:val="24"/>
          <w:szCs w:val="24"/>
          <w:lang w:eastAsia="es-ES"/>
        </w:rPr>
        <w:t xml:space="preserve"> está destinada a hacer pública la información confidencial; o sea, no se permite una doble vía que incluya proteger la confidencialidad; </w:t>
      </w:r>
      <w:r w:rsidRPr="00726415">
        <w:rPr>
          <w:rFonts w:ascii="AvantGarde Bk BT" w:eastAsia="Arial Unicode MS" w:hAnsi="AvantGarde Bk BT" w:cs="Arial"/>
          <w:i/>
          <w:sz w:val="24"/>
          <w:szCs w:val="24"/>
          <w:lang w:eastAsia="es-ES"/>
        </w:rPr>
        <w:t>ii)</w:t>
      </w:r>
      <w:r w:rsidRPr="00726415">
        <w:rPr>
          <w:rFonts w:ascii="AvantGarde Bk BT" w:eastAsia="Arial Unicode MS" w:hAnsi="AvantGarde Bk BT" w:cs="Arial"/>
          <w:sz w:val="24"/>
          <w:szCs w:val="24"/>
          <w:lang w:eastAsia="es-ES"/>
        </w:rPr>
        <w:t xml:space="preserve"> sólo procede en tres supuestos: seguridad nacional, salubridad general y protección de derechos de terceros; y, </w:t>
      </w:r>
      <w:r w:rsidRPr="00726415">
        <w:rPr>
          <w:rFonts w:ascii="AvantGarde Bk BT" w:eastAsia="Arial Unicode MS" w:hAnsi="AvantGarde Bk BT" w:cs="Arial"/>
          <w:i/>
          <w:sz w:val="24"/>
          <w:szCs w:val="24"/>
          <w:lang w:eastAsia="es-ES"/>
        </w:rPr>
        <w:t>iii)</w:t>
      </w:r>
      <w:r w:rsidRPr="00726415">
        <w:rPr>
          <w:rFonts w:ascii="AvantGarde Bk BT" w:eastAsia="Arial Unicode MS" w:hAnsi="AvantGarde Bk BT" w:cs="Arial"/>
          <w:sz w:val="24"/>
          <w:szCs w:val="24"/>
          <w:lang w:eastAsia="es-ES"/>
        </w:rPr>
        <w:t xml:space="preserve"> debe llevarse a cabo un ejercicio de ponderación.</w:t>
      </w:r>
    </w:p>
    <w:p w14:paraId="39D07DA7" w14:textId="77777777" w:rsidR="00466947" w:rsidRPr="00726415" w:rsidRDefault="00466947" w:rsidP="00466947">
      <w:pPr>
        <w:spacing w:after="0" w:line="360" w:lineRule="auto"/>
        <w:ind w:firstLine="708"/>
        <w:jc w:val="both"/>
        <w:rPr>
          <w:rFonts w:ascii="AvantGarde Bk BT" w:eastAsia="Arial Unicode MS" w:hAnsi="AvantGarde Bk BT" w:cs="Arial"/>
          <w:sz w:val="24"/>
          <w:szCs w:val="24"/>
          <w:lang w:eastAsia="es-ES"/>
        </w:rPr>
      </w:pPr>
    </w:p>
    <w:p w14:paraId="0E713E59" w14:textId="0A5F860D" w:rsidR="00466947" w:rsidRPr="00726415" w:rsidRDefault="00466947" w:rsidP="00466947">
      <w:pPr>
        <w:autoSpaceDE w:val="0"/>
        <w:autoSpaceDN w:val="0"/>
        <w:adjustRightInd w:val="0"/>
        <w:spacing w:after="0" w:line="360" w:lineRule="auto"/>
        <w:ind w:right="49" w:firstLine="709"/>
        <w:jc w:val="both"/>
        <w:rPr>
          <w:rFonts w:ascii="AvantGarde Bk BT" w:hAnsi="AvantGarde Bk BT" w:cs="Arial"/>
          <w:sz w:val="24"/>
          <w:szCs w:val="24"/>
        </w:rPr>
      </w:pPr>
      <w:r w:rsidRPr="00726415">
        <w:rPr>
          <w:rFonts w:ascii="AvantGarde Bk BT" w:hAnsi="AvantGarde Bk BT" w:cs="Arial"/>
          <w:sz w:val="24"/>
          <w:szCs w:val="24"/>
        </w:rPr>
        <w:t xml:space="preserve">En el caso concreto, de las constancias que obran en autos y del Reglamento Interior de la Secretaría General de Gobierno, la información del interés del solicitante, no se encuentra en registros públicos, ya que dicha documentación fue entregada </w:t>
      </w:r>
      <w:r w:rsidRPr="00726415">
        <w:rPr>
          <w:rFonts w:ascii="AvantGarde Bk BT" w:hAnsi="AvantGarde Bk BT" w:cs="Arial"/>
          <w:sz w:val="24"/>
          <w:szCs w:val="24"/>
        </w:rPr>
        <w:lastRenderedPageBreak/>
        <w:t>al Sujeto Obligado en virtud de la realización de un trámite para poder obtener una licencia de venta bebidas alcohólicas.</w:t>
      </w:r>
    </w:p>
    <w:p w14:paraId="2971852B" w14:textId="77777777" w:rsidR="00466947" w:rsidRPr="00726415" w:rsidRDefault="00466947" w:rsidP="00466947">
      <w:pPr>
        <w:autoSpaceDE w:val="0"/>
        <w:autoSpaceDN w:val="0"/>
        <w:adjustRightInd w:val="0"/>
        <w:spacing w:after="0" w:line="360" w:lineRule="auto"/>
        <w:ind w:right="49" w:firstLine="709"/>
        <w:jc w:val="both"/>
        <w:rPr>
          <w:rFonts w:ascii="AvantGarde Bk BT" w:hAnsi="AvantGarde Bk BT" w:cs="Arial"/>
          <w:sz w:val="24"/>
          <w:szCs w:val="24"/>
        </w:rPr>
      </w:pPr>
    </w:p>
    <w:p w14:paraId="628C8CED" w14:textId="4102E5E7" w:rsidR="00466947" w:rsidRPr="00726415" w:rsidRDefault="00466947" w:rsidP="0015241D">
      <w:pPr>
        <w:pStyle w:val="corte4fondo"/>
        <w:tabs>
          <w:tab w:val="left" w:pos="567"/>
        </w:tabs>
        <w:spacing w:after="240"/>
        <w:ind w:firstLine="680"/>
        <w:rPr>
          <w:rFonts w:ascii="AvantGarde Bk BT" w:hAnsi="AvantGarde Bk BT" w:cs="Arial"/>
          <w:sz w:val="24"/>
          <w:szCs w:val="24"/>
        </w:rPr>
      </w:pPr>
      <w:r w:rsidRPr="00726415">
        <w:rPr>
          <w:rFonts w:ascii="AvantGarde Bk BT" w:hAnsi="AvantGarde Bk BT" w:cs="Arial"/>
          <w:sz w:val="24"/>
          <w:szCs w:val="24"/>
        </w:rPr>
        <w:t xml:space="preserve">Por lo cual, la finalidad del Sujeto Obligado denominado Secretaría General de Gobierno, como ente receptor de la documentación para la </w:t>
      </w:r>
      <w:r w:rsidR="0015241D" w:rsidRPr="00726415">
        <w:rPr>
          <w:rFonts w:ascii="AvantGarde Bk BT" w:hAnsi="AvantGarde Bk BT" w:cs="Arial"/>
          <w:color w:val="000000"/>
          <w:sz w:val="24"/>
          <w:szCs w:val="24"/>
        </w:rPr>
        <w:t>expedición de licencias para la venta, distribución, consumo, almacenamiento, producción y suministro de bebidas alcohólicas</w:t>
      </w:r>
      <w:r w:rsidRPr="00726415">
        <w:rPr>
          <w:rFonts w:ascii="AvantGarde Bk BT" w:hAnsi="AvantGarde Bk BT" w:cs="Arial"/>
          <w:sz w:val="24"/>
          <w:szCs w:val="24"/>
        </w:rPr>
        <w:t xml:space="preserve">, </w:t>
      </w:r>
      <w:r w:rsidRPr="00726415">
        <w:rPr>
          <w:rFonts w:ascii="AvantGarde Bk BT" w:hAnsi="AvantGarde Bk BT" w:cs="Arial"/>
          <w:b/>
          <w:sz w:val="24"/>
          <w:szCs w:val="24"/>
        </w:rPr>
        <w:t>no se constituye como ente obligado a la difusión de datos</w:t>
      </w:r>
      <w:r w:rsidR="0015241D" w:rsidRPr="00726415">
        <w:rPr>
          <w:rFonts w:ascii="AvantGarde Bk BT" w:hAnsi="AvantGarde Bk BT" w:cs="Arial"/>
          <w:sz w:val="24"/>
          <w:szCs w:val="24"/>
        </w:rPr>
        <w:t xml:space="preserve"> cuya titularidad concierna a é</w:t>
      </w:r>
      <w:r w:rsidRPr="00726415">
        <w:rPr>
          <w:rFonts w:ascii="AvantGarde Bk BT" w:hAnsi="AvantGarde Bk BT" w:cs="Arial"/>
          <w:sz w:val="24"/>
          <w:szCs w:val="24"/>
        </w:rPr>
        <w:t xml:space="preserve">stos, </w:t>
      </w:r>
      <w:proofErr w:type="spellStart"/>
      <w:r w:rsidRPr="00726415">
        <w:rPr>
          <w:rFonts w:ascii="AvantGarde Bk BT" w:hAnsi="AvantGarde Bk BT" w:cs="Arial"/>
          <w:b/>
          <w:sz w:val="24"/>
          <w:szCs w:val="24"/>
          <w:u w:val="single"/>
        </w:rPr>
        <w:t>aún</w:t>
      </w:r>
      <w:proofErr w:type="spellEnd"/>
      <w:r w:rsidRPr="00726415">
        <w:rPr>
          <w:rFonts w:ascii="AvantGarde Bk BT" w:hAnsi="AvantGarde Bk BT" w:cs="Arial"/>
          <w:b/>
          <w:sz w:val="24"/>
          <w:szCs w:val="24"/>
          <w:u w:val="single"/>
        </w:rPr>
        <w:t xml:space="preserve"> cuando formen parte de </w:t>
      </w:r>
      <w:r w:rsidR="0015241D" w:rsidRPr="00726415">
        <w:rPr>
          <w:rFonts w:ascii="AvantGarde Bk BT" w:hAnsi="AvantGarde Bk BT" w:cs="Arial"/>
          <w:b/>
          <w:sz w:val="24"/>
          <w:szCs w:val="24"/>
          <w:u w:val="single"/>
        </w:rPr>
        <w:t>un trámite administrativo</w:t>
      </w:r>
      <w:r w:rsidRPr="00726415">
        <w:rPr>
          <w:rFonts w:ascii="AvantGarde Bk BT" w:hAnsi="AvantGarde Bk BT" w:cs="Arial"/>
          <w:sz w:val="24"/>
          <w:szCs w:val="24"/>
        </w:rPr>
        <w:t>; pues, no obstante que pudiera existir la presunción de un interés en la difusión de la información, la autoridad aquí recurrida deberá observar en todo tratamiento de datos personales, los principios de licitud, finalidad, lealtad, consentimiento, calidad, proporcionalidad, información y responsabilidad</w:t>
      </w:r>
      <w:r w:rsidRPr="00726415">
        <w:rPr>
          <w:rStyle w:val="Refdenotaalpie"/>
          <w:rFonts w:ascii="AvantGarde Bk BT" w:hAnsi="AvantGarde Bk BT" w:cs="Arial"/>
        </w:rPr>
        <w:footnoteReference w:id="68"/>
      </w:r>
      <w:r w:rsidRPr="00726415">
        <w:rPr>
          <w:rFonts w:ascii="AvantGarde Bk BT" w:hAnsi="AvantGarde Bk BT" w:cs="Arial"/>
          <w:sz w:val="24"/>
          <w:szCs w:val="24"/>
        </w:rPr>
        <w:t xml:space="preserve"> conferidos en la Ley de Protección de Datos Personales en Posesión de Sujetos Obligados del Estado de San Luis Potosí.</w:t>
      </w:r>
    </w:p>
    <w:p w14:paraId="450745DA" w14:textId="77777777" w:rsidR="00466947" w:rsidRPr="00726415" w:rsidRDefault="00466947" w:rsidP="00466947">
      <w:pPr>
        <w:spacing w:after="0" w:line="360" w:lineRule="auto"/>
        <w:ind w:firstLine="708"/>
        <w:jc w:val="both"/>
        <w:rPr>
          <w:rFonts w:ascii="AvantGarde Bk BT" w:hAnsi="AvantGarde Bk BT" w:cs="Arial"/>
          <w:sz w:val="24"/>
          <w:szCs w:val="24"/>
        </w:rPr>
      </w:pPr>
      <w:r w:rsidRPr="00726415">
        <w:rPr>
          <w:rFonts w:ascii="AvantGarde Bk BT" w:hAnsi="AvantGarde Bk BT" w:cs="Arial"/>
          <w:sz w:val="24"/>
          <w:szCs w:val="24"/>
        </w:rPr>
        <w:t>Asimismo, se precisa que la Secretaría General de Gobierno, únicamente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Ley de Protección de Datos Personales Local y demás normatividad que resulte aplicable</w:t>
      </w:r>
      <w:r w:rsidRPr="00726415">
        <w:rPr>
          <w:rStyle w:val="Refdenotaalpie"/>
          <w:rFonts w:ascii="AvantGarde Bk BT" w:hAnsi="AvantGarde Bk BT" w:cs="Arial"/>
        </w:rPr>
        <w:footnoteReference w:id="69"/>
      </w:r>
      <w:r w:rsidRPr="00726415">
        <w:rPr>
          <w:rFonts w:ascii="AvantGarde Bk BT" w:hAnsi="AvantGarde Bk BT" w:cs="Arial"/>
          <w:sz w:val="24"/>
          <w:szCs w:val="24"/>
        </w:rPr>
        <w:t>, circunstancia que en el caso concreto, no aconteció.</w:t>
      </w:r>
    </w:p>
    <w:p w14:paraId="430FA04D" w14:textId="77777777" w:rsidR="00466947" w:rsidRPr="00726415" w:rsidRDefault="00466947" w:rsidP="00466947">
      <w:pPr>
        <w:spacing w:after="0" w:line="360" w:lineRule="auto"/>
        <w:ind w:firstLine="708"/>
        <w:jc w:val="both"/>
        <w:rPr>
          <w:rFonts w:ascii="AvantGarde Bk BT" w:hAnsi="AvantGarde Bk BT" w:cs="Arial"/>
          <w:sz w:val="24"/>
          <w:szCs w:val="24"/>
        </w:rPr>
      </w:pPr>
      <w:r w:rsidRPr="00726415">
        <w:rPr>
          <w:rFonts w:ascii="AvantGarde Bk BT" w:hAnsi="AvantGarde Bk BT" w:cs="Arial"/>
          <w:sz w:val="24"/>
          <w:szCs w:val="24"/>
        </w:rPr>
        <w:t> </w:t>
      </w:r>
    </w:p>
    <w:p w14:paraId="49857739" w14:textId="77777777" w:rsidR="00466947" w:rsidRPr="00726415" w:rsidRDefault="00466947" w:rsidP="00466947">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Sobre esta guisa, no pasa inadvertido para este Organismo Autónomo, el </w:t>
      </w:r>
      <w:r w:rsidRPr="00726415">
        <w:rPr>
          <w:rFonts w:ascii="AvantGarde Bk BT" w:hAnsi="AvantGarde Bk BT" w:cs="Arial"/>
          <w:b/>
          <w:bCs/>
          <w:sz w:val="24"/>
          <w:szCs w:val="24"/>
        </w:rPr>
        <w:t>ACUERDO GENERAL 16/2011, DEL PLENO DEL CONSEJO DE LA JUDICATURA FEDERAL, QUE REGULA LA INTEGRACIÓN DE LA LISTA DE PERSONAS QUE PUEDEN FUNGIR COMO PERITOS ANTE LOS ÓRGANOS DEL PODER JUDICIAL DE LA FEDERACIÓN</w:t>
      </w:r>
      <w:r w:rsidRPr="00726415">
        <w:rPr>
          <w:rStyle w:val="Refdenotaalpie"/>
          <w:rFonts w:ascii="AvantGarde Bk BT" w:hAnsi="AvantGarde Bk BT" w:cs="Arial"/>
          <w:b/>
          <w:bCs/>
        </w:rPr>
        <w:footnoteReference w:id="70"/>
      </w:r>
      <w:r w:rsidRPr="00726415">
        <w:rPr>
          <w:rFonts w:ascii="AvantGarde Bk BT" w:hAnsi="AvantGarde Bk BT" w:cs="Arial"/>
          <w:b/>
          <w:bCs/>
          <w:sz w:val="24"/>
          <w:szCs w:val="24"/>
        </w:rPr>
        <w:t xml:space="preserve"> </w:t>
      </w:r>
      <w:r w:rsidRPr="00726415">
        <w:rPr>
          <w:rFonts w:ascii="AvantGarde Bk BT" w:hAnsi="AvantGarde Bk BT" w:cs="Arial"/>
          <w:bCs/>
          <w:sz w:val="24"/>
          <w:szCs w:val="24"/>
        </w:rPr>
        <w:t>-</w:t>
      </w:r>
      <w:r w:rsidRPr="00726415">
        <w:rPr>
          <w:rFonts w:ascii="AvantGarde Bk BT" w:hAnsi="AvantGarde Bk BT" w:cs="Arial"/>
          <w:bCs/>
          <w:i/>
          <w:sz w:val="24"/>
          <w:szCs w:val="24"/>
        </w:rPr>
        <w:t>aplicado</w:t>
      </w:r>
      <w:r w:rsidRPr="00726415">
        <w:rPr>
          <w:rFonts w:ascii="AvantGarde Bk BT" w:hAnsi="AvantGarde Bk BT" w:cs="Arial"/>
          <w:bCs/>
          <w:sz w:val="24"/>
          <w:szCs w:val="24"/>
        </w:rPr>
        <w:t xml:space="preserve"> </w:t>
      </w:r>
      <w:r w:rsidRPr="00726415">
        <w:rPr>
          <w:rFonts w:ascii="AvantGarde Bk BT" w:hAnsi="AvantGarde Bk BT" w:cs="Arial"/>
          <w:bCs/>
          <w:i/>
          <w:sz w:val="24"/>
          <w:szCs w:val="24"/>
        </w:rPr>
        <w:t>por analogía</w:t>
      </w:r>
      <w:r w:rsidRPr="00726415">
        <w:rPr>
          <w:rFonts w:ascii="AvantGarde Bk BT" w:hAnsi="AvantGarde Bk BT" w:cs="Arial"/>
          <w:bCs/>
          <w:sz w:val="24"/>
          <w:szCs w:val="24"/>
        </w:rPr>
        <w:t xml:space="preserve">- en el que es de explorado derecho que la </w:t>
      </w:r>
      <w:r w:rsidRPr="00726415">
        <w:rPr>
          <w:rFonts w:ascii="AvantGarde Bk BT" w:hAnsi="AvantGarde Bk BT" w:cs="Arial"/>
          <w:sz w:val="24"/>
          <w:szCs w:val="24"/>
        </w:rPr>
        <w:t xml:space="preserve">documentación aportada por los peritos se integra en un expediente personal cuya información se considera </w:t>
      </w:r>
      <w:r w:rsidRPr="00726415">
        <w:rPr>
          <w:rFonts w:ascii="AvantGarde Bk BT" w:hAnsi="AvantGarde Bk BT" w:cs="Arial"/>
          <w:sz w:val="24"/>
          <w:szCs w:val="24"/>
          <w:u w:val="single"/>
        </w:rPr>
        <w:lastRenderedPageBreak/>
        <w:t>confidencial</w:t>
      </w:r>
      <w:r w:rsidRPr="00726415">
        <w:rPr>
          <w:rFonts w:ascii="AvantGarde Bk BT" w:hAnsi="AvantGarde Bk BT" w:cs="Arial"/>
          <w:sz w:val="24"/>
          <w:szCs w:val="24"/>
        </w:rPr>
        <w:t xml:space="preserve">, y sólo será proporcionada a los Órganos e instituciones que se señalan en el artículo 23 de dicho acuerdo, por lo que la documentación requerida en la solicitud de información que se examina en la presente revisión, es de </w:t>
      </w:r>
      <w:r w:rsidRPr="00726415">
        <w:rPr>
          <w:rFonts w:ascii="AvantGarde Bk BT" w:hAnsi="AvantGarde Bk BT" w:cs="Arial"/>
          <w:b/>
          <w:bCs/>
          <w:sz w:val="24"/>
          <w:szCs w:val="24"/>
          <w:u w:val="single"/>
          <w:lang w:val="es-ES_tradnl"/>
        </w:rPr>
        <w:t xml:space="preserve">considerarse como información confidencial, por ser tutelada por los derechos humanos </w:t>
      </w:r>
      <w:r w:rsidRPr="00726415">
        <w:rPr>
          <w:rFonts w:ascii="AvantGarde Bk BT" w:eastAsia="Arial Unicode MS" w:hAnsi="AvantGarde Bk BT" w:cs="Arial"/>
          <w:b/>
          <w:sz w:val="24"/>
          <w:szCs w:val="24"/>
          <w:u w:val="single"/>
          <w:lang w:val="es-ES_tradnl" w:eastAsia="es-ES"/>
        </w:rPr>
        <w:t>a la privacidad, intimidad y dignidad y sobre la que no puede realizarse ningún acto o hecho, sin la autorización debida de los titulares o sus representantes legales</w:t>
      </w:r>
      <w:r w:rsidRPr="00726415">
        <w:rPr>
          <w:rFonts w:ascii="AvantGarde Bk BT" w:hAnsi="AvantGarde Bk BT" w:cs="Arial"/>
          <w:b/>
          <w:bCs/>
          <w:sz w:val="24"/>
          <w:szCs w:val="24"/>
          <w:u w:val="single"/>
          <w:lang w:val="es-ES_tradnl"/>
        </w:rPr>
        <w:t xml:space="preserve">, </w:t>
      </w:r>
      <w:r w:rsidRPr="00726415">
        <w:rPr>
          <w:rFonts w:ascii="AvantGarde Bk BT" w:hAnsi="AvantGarde Bk BT" w:cs="Arial"/>
          <w:bCs/>
          <w:sz w:val="24"/>
          <w:szCs w:val="24"/>
          <w:lang w:val="es-ES_tradnl"/>
        </w:rPr>
        <w:t xml:space="preserve">por lo que no se actualiza la fracción II del artículo 142 de la Ley de Transparencia Local, esto es, que por </w:t>
      </w:r>
      <w:r w:rsidRPr="00726415">
        <w:rPr>
          <w:rFonts w:ascii="AvantGarde Bk BT" w:hAnsi="AvantGarde Bk BT" w:cs="Arial"/>
          <w:sz w:val="24"/>
          <w:szCs w:val="24"/>
        </w:rPr>
        <w:t>ley tenga el carácter de pública.</w:t>
      </w:r>
    </w:p>
    <w:p w14:paraId="203BA9F7" w14:textId="77777777" w:rsidR="00466947" w:rsidRPr="00726415" w:rsidRDefault="00466947" w:rsidP="00466947">
      <w:pPr>
        <w:spacing w:after="0" w:line="360" w:lineRule="auto"/>
        <w:ind w:right="51" w:firstLine="709"/>
        <w:jc w:val="both"/>
        <w:rPr>
          <w:rFonts w:ascii="AvantGarde Bk BT" w:hAnsi="AvantGarde Bk BT" w:cs="Arial"/>
          <w:sz w:val="24"/>
          <w:szCs w:val="24"/>
        </w:rPr>
      </w:pPr>
    </w:p>
    <w:p w14:paraId="2BF41D8E" w14:textId="77777777" w:rsidR="00466947" w:rsidRPr="00726415" w:rsidRDefault="00466947" w:rsidP="00466947">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Asimismo, del examen de las constancias que obran en autos, no se desprende que para levantar el velo de confidencialidad respecto del expediente solicitado y su información contenida, exista una orden judicial; existan razones de salubridad general, o para proteger los derechos de terceros, se requiera su publicación; ni se transmite entre los sujetos obligados y entre éstos y los sujetos de derecho internacional, en términos de los tratados y los acuerdos interinstitucionales, siempre y cuando la información se utilice para el ejercicio de facultades propias de los mismos, conforme lo previsto en las fracciones III, IV y V del artículo 142 de la Ley de la materia, por lo que no se acredita que el beneficio del interés público de divulgar la información es mayor que el derecho del titular de la misma a mantener su confidencialidad ni se encuentra justificación o razón objetiva por las que el acceso a la información solicitada genera un beneficio al interés público, por lo que prevalece la protección del interés privado. </w:t>
      </w:r>
    </w:p>
    <w:p w14:paraId="4F1EAC99" w14:textId="77777777" w:rsidR="00466947" w:rsidRPr="00726415" w:rsidRDefault="00466947" w:rsidP="00466947">
      <w:pPr>
        <w:spacing w:after="0" w:line="360" w:lineRule="auto"/>
        <w:ind w:right="51" w:firstLine="709"/>
        <w:jc w:val="both"/>
        <w:rPr>
          <w:rFonts w:ascii="AvantGarde Bk BT" w:hAnsi="AvantGarde Bk BT" w:cs="Arial"/>
          <w:sz w:val="24"/>
          <w:szCs w:val="24"/>
        </w:rPr>
      </w:pPr>
    </w:p>
    <w:p w14:paraId="66D04584" w14:textId="7F16507F" w:rsidR="00466947" w:rsidRPr="00726415" w:rsidRDefault="00466947" w:rsidP="00466947">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Por otra parte, el disidente señala que el sujeto obligado no realizó la entrega de la versión pública de la información solicitada a través de la plataforma, deviene fundado pero se torna inoperante; ello, se considera así, porque de lo expuesto en la respuesta que se examina, el Obligado indicó que para acceder a la documentación de su interés debería presentarse a las instalaciones que ocupan el bien inmueble de la autoridad previa identificación para acreditar la titularidad </w:t>
      </w:r>
      <w:r w:rsidR="0015241D" w:rsidRPr="00726415">
        <w:rPr>
          <w:rFonts w:ascii="AvantGarde Bk BT" w:hAnsi="AvantGarde Bk BT" w:cs="Arial"/>
          <w:sz w:val="24"/>
          <w:szCs w:val="24"/>
        </w:rPr>
        <w:t>de la licencia</w:t>
      </w:r>
      <w:r w:rsidRPr="00726415">
        <w:rPr>
          <w:rFonts w:ascii="AvantGarde Bk BT" w:hAnsi="AvantGarde Bk BT" w:cs="Arial"/>
          <w:sz w:val="24"/>
          <w:szCs w:val="24"/>
        </w:rPr>
        <w:t xml:space="preserve">; circunstancia que para fines prácticos no atiende a la modalidad solicitada por el peticionario. </w:t>
      </w:r>
    </w:p>
    <w:p w14:paraId="6EA9F9F0" w14:textId="4E127BEF" w:rsidR="00844599" w:rsidRPr="00726415" w:rsidRDefault="00844599" w:rsidP="00AB3142">
      <w:pPr>
        <w:tabs>
          <w:tab w:val="left" w:pos="567"/>
        </w:tabs>
        <w:spacing w:after="0" w:line="360" w:lineRule="auto"/>
        <w:ind w:firstLine="709"/>
        <w:jc w:val="both"/>
        <w:rPr>
          <w:rFonts w:ascii="AvantGarde Bk BT" w:eastAsia="Times New Roman" w:hAnsi="AvantGarde Bk BT" w:cs="Arial"/>
          <w:color w:val="000000"/>
          <w:sz w:val="24"/>
          <w:szCs w:val="24"/>
          <w:highlight w:val="yellow"/>
        </w:rPr>
      </w:pPr>
    </w:p>
    <w:p w14:paraId="0A7DFC74" w14:textId="77777777" w:rsidR="0015241D" w:rsidRPr="00726415" w:rsidRDefault="0015241D" w:rsidP="0015241D">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lastRenderedPageBreak/>
        <w:t xml:space="preserve">A este respecto, se precisa que de conformidad en lo previsto en Lineamiento </w:t>
      </w:r>
      <w:r w:rsidRPr="00726415">
        <w:rPr>
          <w:rFonts w:ascii="AvantGarde Bk BT" w:hAnsi="AvantGarde Bk BT" w:cs="Arial"/>
          <w:bCs/>
          <w:sz w:val="24"/>
          <w:szCs w:val="24"/>
        </w:rPr>
        <w:t xml:space="preserve">Quincuagésimo sexto, de los </w:t>
      </w:r>
      <w:r w:rsidRPr="00726415">
        <w:rPr>
          <w:rFonts w:ascii="AvantGarde Bk BT" w:hAnsi="AvantGarde Bk BT" w:cs="Arial"/>
          <w:bCs/>
          <w:sz w:val="24"/>
          <w:szCs w:val="24"/>
          <w:lang w:val="es-ES_tradnl"/>
        </w:rPr>
        <w:t xml:space="preserve">Lineamientos Generales en Materia de Clasificación y Desclasificación de la Información, así como para la Elaboración de Versiones Públicas, </w:t>
      </w:r>
      <w:r w:rsidRPr="00726415">
        <w:rPr>
          <w:rFonts w:ascii="AvantGarde Bk BT" w:hAnsi="AvantGarde Bk BT" w:cs="Arial"/>
          <w:sz w:val="24"/>
          <w:szCs w:val="24"/>
        </w:rPr>
        <w:t xml:space="preserve">la elaboración de la versión pública del documento o expediente que contenga partes o secciones reservadas o confidenciales, genere costos por reproducción por derivar de una solicitud de información o determinación de una autoridad competente, </w:t>
      </w:r>
      <w:r w:rsidRPr="00726415">
        <w:rPr>
          <w:rFonts w:ascii="AvantGarde Bk BT" w:hAnsi="AvantGarde Bk BT" w:cs="Arial"/>
          <w:b/>
          <w:sz w:val="24"/>
          <w:szCs w:val="24"/>
        </w:rPr>
        <w:t xml:space="preserve">ésta será elaborada hasta que se haya acreditado el pago correspondiente. </w:t>
      </w:r>
      <w:r w:rsidRPr="00726415">
        <w:rPr>
          <w:rFonts w:ascii="AvantGarde Bk BT" w:hAnsi="AvantGarde Bk BT" w:cs="Arial"/>
          <w:sz w:val="24"/>
          <w:szCs w:val="24"/>
        </w:rPr>
        <w:t xml:space="preserve">Aunado a lo anterior, de conformidad con lo previsto en el artículo 165, fracción III de la Ley de Transparencia y Acceso a la Información Pública, </w:t>
      </w:r>
      <w:r w:rsidRPr="00726415">
        <w:rPr>
          <w:rFonts w:ascii="AvantGarde Bk BT" w:hAnsi="AvantGarde Bk BT" w:cs="Arial"/>
          <w:b/>
          <w:sz w:val="24"/>
          <w:szCs w:val="24"/>
        </w:rPr>
        <w:t xml:space="preserve">el pago de la certificación de documentos, deberá cubrirse de manera previa a la entrega; </w:t>
      </w:r>
      <w:r w:rsidRPr="00726415">
        <w:rPr>
          <w:rFonts w:ascii="AvantGarde Bk BT" w:hAnsi="AvantGarde Bk BT" w:cs="Arial"/>
          <w:sz w:val="24"/>
          <w:szCs w:val="24"/>
        </w:rPr>
        <w:t xml:space="preserve">ante este panorama sus argumentos devienen inoperantes. Sustenta el anterior argumento el contenido del siguiente criterio: </w:t>
      </w:r>
    </w:p>
    <w:p w14:paraId="1E4AA4C4" w14:textId="77777777" w:rsidR="0015241D" w:rsidRPr="00726415" w:rsidRDefault="0015241D" w:rsidP="0015241D">
      <w:pPr>
        <w:spacing w:after="0" w:line="360" w:lineRule="auto"/>
        <w:ind w:right="51" w:firstLine="709"/>
        <w:jc w:val="both"/>
        <w:rPr>
          <w:rFonts w:ascii="AvantGarde Bk BT" w:hAnsi="AvantGarde Bk BT" w:cs="Arial"/>
          <w:sz w:val="24"/>
          <w:szCs w:val="24"/>
        </w:rPr>
      </w:pPr>
    </w:p>
    <w:p w14:paraId="309FB6A4" w14:textId="77777777" w:rsidR="0015241D" w:rsidRPr="00726415" w:rsidRDefault="0015241D" w:rsidP="0015241D">
      <w:pPr>
        <w:spacing w:after="0" w:line="240" w:lineRule="auto"/>
        <w:ind w:left="1134" w:right="1183"/>
        <w:jc w:val="both"/>
        <w:rPr>
          <w:rFonts w:ascii="AvantGarde Bk BT" w:hAnsi="AvantGarde Bk BT" w:cs="Arial"/>
        </w:rPr>
      </w:pPr>
      <w:r w:rsidRPr="00726415">
        <w:rPr>
          <w:rFonts w:ascii="AvantGarde Bk BT" w:hAnsi="AvantGarde Bk BT" w:cs="Arial"/>
          <w:b/>
          <w:i/>
        </w:rPr>
        <w:t>AGRAVIOS EN LA APELACIÓN. JURÍDICAMENTE ES POSIBLE QUE SEAN FUNDADOS, PERO INOPERANTES.</w:t>
      </w:r>
      <w:r w:rsidRPr="00726415">
        <w:rPr>
          <w:rFonts w:ascii="AvantGarde Bk BT" w:hAnsi="AvantGarde Bk BT" w:cs="Arial"/>
          <w:i/>
        </w:rPr>
        <w:t xml:space="preserve"> Legalmente es posible que un agravio sea fundado, pero inoperante, toda vez que puede ser útil para destruir alguna o algunas de las consideraciones en que se apoyó el a quo para emitir la resolución apelada, pero también es factible que, de cualquier forma, no sirva para decidir la cuestión controvertida de manera favorable a los intereses del apelante, debido a la existencia de otras razones, diversas de las aducidas por el juez de primera instancia, aptas para concluir en el sentido en que lo hizo éste</w:t>
      </w:r>
      <w:r w:rsidRPr="00726415">
        <w:rPr>
          <w:rStyle w:val="Refdenotaalpie"/>
          <w:rFonts w:ascii="AvantGarde Bk BT" w:hAnsi="AvantGarde Bk BT" w:cs="Arial"/>
        </w:rPr>
        <w:footnoteReference w:id="71"/>
      </w:r>
    </w:p>
    <w:p w14:paraId="7A2E7755" w14:textId="77777777" w:rsidR="0015241D" w:rsidRPr="00726415" w:rsidRDefault="0015241D" w:rsidP="0015241D">
      <w:pPr>
        <w:spacing w:after="0" w:line="360" w:lineRule="auto"/>
        <w:ind w:right="51" w:firstLine="709"/>
        <w:jc w:val="both"/>
        <w:rPr>
          <w:rFonts w:ascii="AvantGarde Bk BT" w:hAnsi="AvantGarde Bk BT" w:cs="Arial"/>
          <w:sz w:val="24"/>
          <w:szCs w:val="24"/>
        </w:rPr>
      </w:pPr>
    </w:p>
    <w:p w14:paraId="63A4FC33" w14:textId="55F52FAD" w:rsidR="0015241D" w:rsidRPr="00726415" w:rsidRDefault="0015241D" w:rsidP="0015241D">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Atento lo anterior, aun y cuando se instruya en reparación de la omisión aludida, ningún fin práctico tendría, ya que, atendiendo la modalidad solicitada, no se puede ordenar al sujeto obligado realice la entrega de la certificación y la elaboración de la versión pública vía electrónica, sin previo pago de derechos a la Secretaría General de Gobierno, por parte del aquí recurrente.</w:t>
      </w:r>
    </w:p>
    <w:p w14:paraId="4B6C2856" w14:textId="77777777" w:rsidR="0015241D" w:rsidRPr="00726415" w:rsidRDefault="0015241D" w:rsidP="0015241D">
      <w:pPr>
        <w:spacing w:after="0" w:line="360" w:lineRule="auto"/>
        <w:ind w:right="51" w:firstLine="709"/>
        <w:jc w:val="both"/>
        <w:rPr>
          <w:rFonts w:ascii="AvantGarde Bk BT" w:hAnsi="AvantGarde Bk BT" w:cs="Arial"/>
          <w:sz w:val="24"/>
          <w:szCs w:val="24"/>
        </w:rPr>
      </w:pPr>
    </w:p>
    <w:p w14:paraId="0F545618" w14:textId="77777777" w:rsidR="0015241D" w:rsidRPr="00726415" w:rsidRDefault="0015241D" w:rsidP="0015241D">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En suma a lo anterior, el hecho de que la autoridad haya señalado en su respuesta que, en caso de que el solicitante acredite ser titular de los datos personales, deberá presentarse a realizar la consulta en las instalaciones de la Dirección General de Gobernación, previa acreditación de identidad, “</w:t>
      </w:r>
      <w:r w:rsidRPr="00726415">
        <w:rPr>
          <w:rFonts w:ascii="AvantGarde Bk BT" w:hAnsi="AvantGarde Bk BT" w:cs="Arial"/>
          <w:i/>
          <w:sz w:val="24"/>
          <w:szCs w:val="24"/>
        </w:rPr>
        <w:t>imponiendo una modalidad distinta a la solicitada”</w:t>
      </w:r>
      <w:r w:rsidRPr="00726415">
        <w:rPr>
          <w:rFonts w:ascii="AvantGarde Bk BT" w:hAnsi="AvantGarde Bk BT" w:cs="Arial"/>
          <w:sz w:val="24"/>
          <w:szCs w:val="24"/>
        </w:rPr>
        <w:t xml:space="preserve">, es una circunstancia de la que la persona </w:t>
      </w:r>
      <w:r w:rsidRPr="00726415">
        <w:rPr>
          <w:rFonts w:ascii="AvantGarde Bk BT" w:hAnsi="AvantGarde Bk BT" w:cs="Arial"/>
          <w:sz w:val="24"/>
          <w:szCs w:val="24"/>
        </w:rPr>
        <w:lastRenderedPageBreak/>
        <w:t xml:space="preserve">recurrente se duele por la </w:t>
      </w:r>
      <w:r w:rsidRPr="00726415">
        <w:rPr>
          <w:rFonts w:ascii="AvantGarde Bk BT" w:hAnsi="AvantGarde Bk BT" w:cs="Arial"/>
          <w:i/>
          <w:sz w:val="24"/>
          <w:szCs w:val="24"/>
        </w:rPr>
        <w:t>“orientación de un trámite específico”</w:t>
      </w:r>
      <w:r w:rsidRPr="00726415">
        <w:rPr>
          <w:rFonts w:ascii="AvantGarde Bk BT" w:hAnsi="AvantGarde Bk BT" w:cs="Arial"/>
          <w:sz w:val="24"/>
          <w:szCs w:val="24"/>
        </w:rPr>
        <w:t xml:space="preserve">, situación que en el caso concreto, no le causa perjuicio alguno, puesto que como se precisó, atendiendo la naturaleza de la modalidad elegida, no se puede efectuar sin previo pago de derechos. </w:t>
      </w:r>
    </w:p>
    <w:p w14:paraId="31778AF2" w14:textId="77777777" w:rsidR="0015241D" w:rsidRPr="00726415" w:rsidRDefault="0015241D" w:rsidP="0015241D">
      <w:pPr>
        <w:spacing w:after="0" w:line="360" w:lineRule="auto"/>
        <w:ind w:right="51" w:firstLine="709"/>
        <w:jc w:val="both"/>
        <w:rPr>
          <w:rFonts w:ascii="AvantGarde Bk BT" w:hAnsi="AvantGarde Bk BT" w:cs="Arial"/>
          <w:sz w:val="24"/>
          <w:szCs w:val="24"/>
        </w:rPr>
      </w:pPr>
    </w:p>
    <w:p w14:paraId="521A308B" w14:textId="77777777" w:rsidR="0015241D" w:rsidRPr="00726415" w:rsidRDefault="0015241D" w:rsidP="0015241D">
      <w:pPr>
        <w:spacing w:after="0" w:line="360" w:lineRule="auto"/>
        <w:ind w:right="51" w:firstLine="709"/>
        <w:jc w:val="both"/>
        <w:rPr>
          <w:rFonts w:ascii="AvantGarde Bk BT" w:hAnsi="AvantGarde Bk BT" w:cs="Arial"/>
          <w:sz w:val="24"/>
          <w:szCs w:val="24"/>
        </w:rPr>
      </w:pPr>
      <w:r w:rsidRPr="00726415">
        <w:rPr>
          <w:rFonts w:ascii="AvantGarde Bk BT" w:hAnsi="AvantGarde Bk BT" w:cs="Arial"/>
          <w:sz w:val="24"/>
          <w:szCs w:val="24"/>
        </w:rPr>
        <w:t xml:space="preserve">Así, el hecho de que se haya indicado que para tener acceso a lo solicitado, se debería acreditar la titularidad de los datos personales, atiende a lo establecido en el criterio orientador 01/18 emitido por el extinto Instituto Nacional de Transparencia, Acceso a la Información pública y Protección de Datos (INAI), que señala, respecto de la entrega de datos personales a través del portal de la Plataforma Nacional de Transparencia, correo electrónico o cualquier otro medio similar resulta improcedente, sin que los sujetos obligados hayan corroborado previamente la identidad del titular. </w:t>
      </w:r>
    </w:p>
    <w:p w14:paraId="51C51B0A" w14:textId="77777777" w:rsidR="0015241D" w:rsidRPr="00726415" w:rsidRDefault="0015241D" w:rsidP="0015241D">
      <w:pPr>
        <w:spacing w:after="0" w:line="360" w:lineRule="auto"/>
        <w:ind w:right="51" w:firstLine="709"/>
        <w:jc w:val="both"/>
        <w:rPr>
          <w:rFonts w:ascii="AvantGarde Bk BT" w:hAnsi="AvantGarde Bk BT" w:cs="Arial"/>
          <w:sz w:val="24"/>
          <w:szCs w:val="24"/>
        </w:rPr>
      </w:pPr>
    </w:p>
    <w:p w14:paraId="11AB209C" w14:textId="1F5AA05A"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r w:rsidRPr="00726415">
        <w:rPr>
          <w:rFonts w:ascii="AvantGarde Bk BT" w:hAnsi="AvantGarde Bk BT" w:cs="Arial"/>
          <w:sz w:val="24"/>
          <w:szCs w:val="24"/>
        </w:rPr>
        <w:t xml:space="preserve">En diverso aspecto, el recurrente aduce como motivos de disenso, el hecho de que la entrega de información resultó incompleta y que ésta no corresponde con lo solicitado, así como la falta de trámite a la solicitud, mismos que devienen inoperantes. </w:t>
      </w:r>
    </w:p>
    <w:p w14:paraId="6D0EA935" w14:textId="77777777"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p>
    <w:p w14:paraId="667E3A5B" w14:textId="554A7513"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r w:rsidRPr="00726415">
        <w:rPr>
          <w:rFonts w:ascii="AvantGarde Bk BT" w:hAnsi="AvantGarde Bk BT" w:cs="Arial"/>
          <w:sz w:val="24"/>
          <w:szCs w:val="24"/>
        </w:rPr>
        <w:t>Para llegar a esa conclusión es menester precisar que el recurrente debió dirigirse a evidenciar los motivos por lo que llegó a dicha conclusión, puesto que como se ha revisado en la presente determinación, el Obligado no realizó la entrega de ninguna parte de la totalidad de lo requerido que permitiera inferir que es incompleta y que no corresponde con lo solicitado, aunado a que sí se gestionó la solicitud ante la Dirección General de Gobernación, por lo que, al concretarse a hacer dichas afirmaciones, los motivos de queja devienen inoperantes. Sirve de apoyo, la Tesis de Jurisprudencia que señala:</w:t>
      </w:r>
    </w:p>
    <w:p w14:paraId="1391A8AD" w14:textId="77777777"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p>
    <w:p w14:paraId="5600B2BD" w14:textId="77777777" w:rsidR="0015241D" w:rsidRPr="00726415" w:rsidRDefault="0015241D" w:rsidP="0015241D">
      <w:pPr>
        <w:autoSpaceDE w:val="0"/>
        <w:autoSpaceDN w:val="0"/>
        <w:adjustRightInd w:val="0"/>
        <w:spacing w:after="0" w:line="240" w:lineRule="auto"/>
        <w:ind w:left="1134" w:right="1183"/>
        <w:jc w:val="both"/>
        <w:rPr>
          <w:rFonts w:ascii="AvantGarde Bk BT" w:hAnsi="AvantGarde Bk BT" w:cs="Arial"/>
        </w:rPr>
      </w:pPr>
      <w:r w:rsidRPr="00726415">
        <w:rPr>
          <w:rFonts w:ascii="AvantGarde Bk BT" w:hAnsi="AvantGarde Bk BT" w:cs="Arial"/>
        </w:rPr>
        <w:t xml:space="preserve"> </w:t>
      </w:r>
      <w:r w:rsidRPr="00726415">
        <w:rPr>
          <w:rFonts w:ascii="AvantGarde Bk BT" w:hAnsi="AvantGarde Bk BT" w:cs="Arial"/>
          <w:b/>
          <w:i/>
        </w:rPr>
        <w:t>AGRAVIOS, NO DEBEN CONSIDERARSE COMO TALES LAS SIMPLES AFIRMACIONES QUE NO SE SUSTENTAN EN RAZONAMIENTO ALGUNO.</w:t>
      </w:r>
      <w:r w:rsidRPr="00726415">
        <w:rPr>
          <w:rFonts w:ascii="AvantGarde Bk BT" w:hAnsi="AvantGarde Bk BT" w:cs="Arial"/>
          <w:i/>
        </w:rPr>
        <w:t xml:space="preserve"> Cuando el recurrente al plantear sus agravios se limita a señalar diversas conclusiones, y omite indicar los razonamientos que lo condujeron a ellas, tales manifestaciones no deben estimarse técnicamente como agravios</w:t>
      </w:r>
      <w:r w:rsidRPr="00726415">
        <w:rPr>
          <w:rStyle w:val="Refdenotaalpie"/>
          <w:rFonts w:ascii="AvantGarde Bk BT" w:hAnsi="AvantGarde Bk BT" w:cs="Arial"/>
        </w:rPr>
        <w:footnoteReference w:id="72"/>
      </w:r>
      <w:r w:rsidRPr="00726415">
        <w:rPr>
          <w:rFonts w:ascii="AvantGarde Bk BT" w:hAnsi="AvantGarde Bk BT" w:cs="Arial"/>
        </w:rPr>
        <w:t>.</w:t>
      </w:r>
    </w:p>
    <w:p w14:paraId="73D5D7D8" w14:textId="77777777"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p>
    <w:p w14:paraId="6DC67BD7" w14:textId="77777777"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r w:rsidRPr="00726415">
        <w:rPr>
          <w:rFonts w:ascii="AvantGarde Bk BT" w:hAnsi="AvantGarde Bk BT" w:cs="Arial"/>
          <w:sz w:val="24"/>
          <w:szCs w:val="24"/>
        </w:rPr>
        <w:t>Por tanto, se concluye que sus manifestaciones no combaten aspecto fundamental de la respuesta que por este medio se impugna para sostener la procedencia de la presente revisión.</w:t>
      </w:r>
    </w:p>
    <w:p w14:paraId="7289E967" w14:textId="77777777" w:rsidR="0015241D" w:rsidRPr="00726415" w:rsidRDefault="0015241D" w:rsidP="0015241D">
      <w:pPr>
        <w:autoSpaceDE w:val="0"/>
        <w:autoSpaceDN w:val="0"/>
        <w:adjustRightInd w:val="0"/>
        <w:spacing w:after="0" w:line="360" w:lineRule="auto"/>
        <w:ind w:firstLine="708"/>
        <w:jc w:val="both"/>
        <w:rPr>
          <w:rFonts w:ascii="AvantGarde Bk BT" w:hAnsi="AvantGarde Bk BT" w:cs="Arial"/>
          <w:sz w:val="24"/>
          <w:szCs w:val="24"/>
        </w:rPr>
      </w:pPr>
    </w:p>
    <w:p w14:paraId="2FCC0FD4" w14:textId="77777777" w:rsidR="0015241D" w:rsidRPr="00726415" w:rsidRDefault="0015241D" w:rsidP="0015241D">
      <w:pPr>
        <w:spacing w:after="0" w:line="360" w:lineRule="auto"/>
        <w:ind w:right="51" w:firstLine="709"/>
        <w:jc w:val="both"/>
        <w:rPr>
          <w:rFonts w:ascii="AvantGarde Bk BT" w:hAnsi="AvantGarde Bk BT" w:cs="Arial"/>
          <w:sz w:val="24"/>
          <w:szCs w:val="24"/>
          <w:lang w:val="es-ES"/>
        </w:rPr>
      </w:pPr>
      <w:r w:rsidRPr="00726415">
        <w:rPr>
          <w:rFonts w:ascii="AvantGarde Bk BT" w:hAnsi="AvantGarde Bk BT" w:cs="Arial"/>
          <w:sz w:val="24"/>
          <w:szCs w:val="24"/>
        </w:rPr>
        <w:t xml:space="preserve">Finalmente, no pasa desapercibido para esta Comisión que existe la </w:t>
      </w:r>
      <w:r w:rsidRPr="00726415">
        <w:rPr>
          <w:rFonts w:ascii="AvantGarde Bk BT" w:hAnsi="AvantGarde Bk BT" w:cs="Arial"/>
          <w:sz w:val="24"/>
          <w:szCs w:val="24"/>
          <w:lang w:val="es-ES"/>
        </w:rPr>
        <w:t xml:space="preserve">posibilidad de que el titular de la información (en su carácter de tercero interesado) se oponga ante la autoridad, dependencia o entidad, a una solicitud de acceso a sus datos personales y alegue lo que a su derecho convenga, ya sea en la primera etapa de ese procedimiento -que se desarrolla ante la unidad de transparencia-, o en la segunda al tramitarse el recurso de revisión –ante este Organismo Autónomo-. Así, el ejercicio de la garantía de audiencia, en ambas etapas, tiene como propósito que la resolución sobre acceso a información pública cumpla con las formalidades previstas en los ordenamientos mencionados, necesarias para oír en defensa al tercero titular de la información afectado quien puede manifestar su conformidad u oposición con la divulgación de la información que podría generar un daño específico al valor jurídicamente protegido. </w:t>
      </w:r>
    </w:p>
    <w:p w14:paraId="4287F1C9" w14:textId="77777777" w:rsidR="0015241D" w:rsidRPr="00726415" w:rsidRDefault="0015241D" w:rsidP="0015241D">
      <w:pPr>
        <w:spacing w:after="0" w:line="360" w:lineRule="auto"/>
        <w:ind w:right="51" w:firstLine="709"/>
        <w:jc w:val="both"/>
        <w:rPr>
          <w:rFonts w:ascii="AvantGarde Bk BT" w:hAnsi="AvantGarde Bk BT" w:cs="Arial"/>
          <w:sz w:val="24"/>
          <w:szCs w:val="24"/>
          <w:lang w:val="es-ES"/>
        </w:rPr>
      </w:pPr>
    </w:p>
    <w:p w14:paraId="74538794" w14:textId="77777777" w:rsidR="0015241D" w:rsidRPr="00726415" w:rsidRDefault="0015241D" w:rsidP="0015241D">
      <w:pPr>
        <w:spacing w:after="0" w:line="360" w:lineRule="auto"/>
        <w:ind w:right="51" w:firstLine="709"/>
        <w:jc w:val="both"/>
        <w:rPr>
          <w:rFonts w:ascii="AvantGarde Bk BT" w:hAnsi="AvantGarde Bk BT" w:cs="Arial"/>
          <w:bCs/>
          <w:sz w:val="24"/>
          <w:szCs w:val="24"/>
        </w:rPr>
      </w:pPr>
      <w:r w:rsidRPr="00726415">
        <w:rPr>
          <w:rFonts w:ascii="AvantGarde Bk BT" w:hAnsi="AvantGarde Bk BT" w:cs="Arial"/>
          <w:sz w:val="24"/>
          <w:szCs w:val="24"/>
          <w:lang w:val="es-ES"/>
        </w:rPr>
        <w:t>Conforme lo anterior, este Organismo Autónomo, en aras de no violentar en perjuicio del tercero titular de los datos, sus derechos humanos y garantías individuales amparadas por los artículos 16 y 20 Constitucionales, deberá el sujeto obligado atender a lo dispuesto en el Lineamiento c</w:t>
      </w:r>
      <w:proofErr w:type="spellStart"/>
      <w:r w:rsidRPr="00726415">
        <w:rPr>
          <w:rFonts w:ascii="AvantGarde Bk BT" w:hAnsi="AvantGarde Bk BT" w:cs="Arial"/>
          <w:bCs/>
          <w:sz w:val="24"/>
          <w:szCs w:val="24"/>
        </w:rPr>
        <w:t>uadragésimo</w:t>
      </w:r>
      <w:proofErr w:type="spellEnd"/>
      <w:r w:rsidRPr="00726415">
        <w:rPr>
          <w:rFonts w:ascii="AvantGarde Bk BT" w:hAnsi="AvantGarde Bk BT" w:cs="Arial"/>
          <w:bCs/>
          <w:sz w:val="24"/>
          <w:szCs w:val="24"/>
        </w:rPr>
        <w:t xml:space="preserve"> octavo</w:t>
      </w:r>
      <w:r w:rsidRPr="00726415">
        <w:rPr>
          <w:rStyle w:val="Refdenotaalpie"/>
          <w:rFonts w:ascii="AvantGarde Bk BT" w:hAnsi="AvantGarde Bk BT" w:cs="Arial"/>
          <w:bCs/>
        </w:rPr>
        <w:footnoteReference w:id="73"/>
      </w:r>
      <w:r w:rsidRPr="00726415">
        <w:rPr>
          <w:rFonts w:ascii="AvantGarde Bk BT" w:hAnsi="AvantGarde Bk BT" w:cs="Arial"/>
          <w:b/>
          <w:bCs/>
          <w:sz w:val="24"/>
          <w:szCs w:val="24"/>
        </w:rPr>
        <w:t xml:space="preserve"> </w:t>
      </w:r>
      <w:r w:rsidRPr="00726415">
        <w:rPr>
          <w:rFonts w:ascii="AvantGarde Bk BT" w:hAnsi="AvantGarde Bk BT" w:cs="Arial"/>
          <w:bCs/>
          <w:sz w:val="24"/>
          <w:szCs w:val="24"/>
        </w:rPr>
        <w:t xml:space="preserve">de los </w:t>
      </w:r>
      <w:r w:rsidRPr="00726415">
        <w:rPr>
          <w:rFonts w:ascii="AvantGarde Bk BT" w:hAnsi="AvantGarde Bk BT" w:cs="Arial"/>
          <w:bCs/>
          <w:sz w:val="24"/>
          <w:szCs w:val="24"/>
          <w:lang w:val="es-ES_tradnl"/>
        </w:rPr>
        <w:t xml:space="preserve">Lineamientos Generales en Materia de Clasificación y Desclasificación de la Información, así como para la Elaboración de Versiones Públicas. Sirve de apoyo a lo anterior, la Tesis de Jurisprudencia que señala: </w:t>
      </w:r>
    </w:p>
    <w:p w14:paraId="4385379F" w14:textId="77777777" w:rsidR="0015241D" w:rsidRPr="00726415" w:rsidRDefault="0015241D" w:rsidP="0015241D">
      <w:pPr>
        <w:spacing w:after="0" w:line="360" w:lineRule="auto"/>
        <w:ind w:right="51" w:firstLine="709"/>
        <w:jc w:val="both"/>
        <w:rPr>
          <w:rFonts w:ascii="AvantGarde Bk BT" w:hAnsi="AvantGarde Bk BT" w:cs="Arial"/>
          <w:i/>
          <w:sz w:val="24"/>
          <w:szCs w:val="24"/>
          <w:lang w:val="es-ES"/>
        </w:rPr>
      </w:pPr>
    </w:p>
    <w:p w14:paraId="68B3962B" w14:textId="77777777" w:rsidR="0015241D" w:rsidRPr="00726415" w:rsidRDefault="0015241D" w:rsidP="0015241D">
      <w:pPr>
        <w:spacing w:line="240" w:lineRule="auto"/>
        <w:ind w:left="1134" w:right="1183"/>
        <w:jc w:val="both"/>
        <w:rPr>
          <w:rFonts w:ascii="AvantGarde Bk BT" w:hAnsi="AvantGarde Bk BT" w:cs="Arial"/>
        </w:rPr>
      </w:pPr>
      <w:r w:rsidRPr="00726415">
        <w:rPr>
          <w:rFonts w:ascii="AvantGarde Bk BT" w:hAnsi="AvantGarde Bk BT" w:cs="Arial"/>
          <w:b/>
          <w:i/>
        </w:rPr>
        <w:t xml:space="preserve">DERECHO A LA INFORMACIÓN. EL TITULAR DE ÉSTA TIENE INTERÉS JURÍDICO PARA RECLAMAR EN AMPARO LA DETERMINACIÓN DEL INSTITUTO FEDERAL DE ACCESO A LA INFORMACIÓN Y PROTECCIÓN DE DATOS QUE ORDENA LA ELABORACIÓN DE LA VERSIÓN PÚBLICA QUE CONTIENE DATOS PERSONALES O QUE LE CONCIERNEN COMO PERSONA. </w:t>
      </w:r>
      <w:r w:rsidRPr="00726415">
        <w:rPr>
          <w:rFonts w:ascii="AvantGarde Bk BT" w:hAnsi="AvantGarde Bk BT" w:cs="Arial"/>
          <w:i/>
        </w:rPr>
        <w:t xml:space="preserve">El derecho a la </w:t>
      </w:r>
      <w:r w:rsidRPr="00726415">
        <w:rPr>
          <w:rFonts w:ascii="AvantGarde Bk BT" w:hAnsi="AvantGarde Bk BT" w:cs="Arial"/>
          <w:i/>
        </w:rPr>
        <w:lastRenderedPageBreak/>
        <w:t>protección de los datos personales está previsto esencialmente en los artículos 6o. y 16 de la Constitución Política de los Estados Unidos Mexicanos, así como en los diversos 1, 40 y 41 del Reglamento de la Ley Federal de Transparencia y Acceso a la Información Pública Gubernamental, con la finalidad de proteger al titular de la información para que pueda manifestar su opo</w:t>
      </w:r>
      <w:bookmarkStart w:id="1" w:name="_GoBack"/>
      <w:bookmarkEnd w:id="1"/>
      <w:r w:rsidRPr="00726415">
        <w:rPr>
          <w:rFonts w:ascii="AvantGarde Bk BT" w:hAnsi="AvantGarde Bk BT" w:cs="Arial"/>
          <w:i/>
        </w:rPr>
        <w:t xml:space="preserve">sición a la divulgación, no sólo de sus propios datos personales, sino también de los concernientes a su persona, esto es, los que ponen en riesgo su vida, seguridad o salud, los secretos industriales, fiscales, bancarios, fiduciarios o cualquier otro considerado como tal por una disposición jurídica. De tal modo que </w:t>
      </w:r>
      <w:r w:rsidRPr="00726415">
        <w:rPr>
          <w:rFonts w:ascii="AvantGarde Bk BT" w:hAnsi="AvantGarde Bk BT" w:cs="Arial"/>
          <w:b/>
          <w:i/>
        </w:rPr>
        <w:t>la resolución que permite el acceso a la información perteneciente a un tercero, incide en el derecho de su titular a que se proteja</w:t>
      </w:r>
      <w:r w:rsidRPr="00726415">
        <w:rPr>
          <w:rFonts w:ascii="AvantGarde Bk BT" w:hAnsi="AvantGarde Bk BT" w:cs="Arial"/>
          <w:i/>
        </w:rPr>
        <w:t xml:space="preserve">, e incluso a oponerse a su divulgación, esto es, a intervenir en la delimitación o determinación de la parte que puede divulgarse; </w:t>
      </w:r>
      <w:r w:rsidRPr="00726415">
        <w:rPr>
          <w:rFonts w:ascii="AvantGarde Bk BT" w:hAnsi="AvantGarde Bk BT" w:cs="Arial"/>
          <w:b/>
          <w:i/>
        </w:rPr>
        <w:t xml:space="preserve">de lo que se sigue que el titular de la información tendrá interés jurídico para reclamar en el juicio de amparo la determinación del Instituto Federal de Acceso a la Información y Protección de Datos por la cual se ordene la elaboración de la versión pública para entregarla al solicitante de la misma; en virtud de que, al ser propietario de la información, tiene el derecho a que ésta sea protegida, lo cual, a su vez, le otorga el derecho de oposición, el cual involucra la facultad de intervenir en la delimitación o determinación de la parte que puede ser del conocimiento del solicitante, </w:t>
      </w:r>
      <w:r w:rsidRPr="00726415">
        <w:rPr>
          <w:rFonts w:ascii="AvantGarde Bk BT" w:hAnsi="AvantGarde Bk BT" w:cs="Arial"/>
          <w:b/>
          <w:i/>
          <w:u w:val="single"/>
        </w:rPr>
        <w:t>antes de que se ordene la elaboración de la versión pública correspondiente, como un mecanismo para que no se trastoquen sus derechos públicos subjetivos, sin afectar el derecho de acceso a la información de los peticionarios</w:t>
      </w:r>
      <w:r w:rsidRPr="00726415">
        <w:rPr>
          <w:rFonts w:ascii="AvantGarde Bk BT" w:hAnsi="AvantGarde Bk BT" w:cs="Arial"/>
          <w:i/>
          <w:u w:val="single"/>
        </w:rPr>
        <w:t>.</w:t>
      </w:r>
      <w:r w:rsidRPr="00726415">
        <w:rPr>
          <w:rFonts w:ascii="AvantGarde Bk BT" w:hAnsi="AvantGarde Bk BT" w:cs="Arial"/>
          <w:i/>
        </w:rPr>
        <w:t xml:space="preserve"> Ahora, la existencia del interés jurídico no puede condicionarse al sentido de la resolución reclamada, porque la determinación que ordena la elaboración de una versión pública involucra, necesariamente, el derecho del titular a la protección de la información que será publicada. Por tanto, la corrección o no de los lineamientos dados en la resolución impugnada e, incluso, el hecho de que se permita al titular de la información intervenir en su determinación o delimitación de la misma antes de que se ordene, de manera lisa y llana, la elaboración de una versión pública, constituye un aspecto que pueden llevar a conceder o negar el amparo solicitado, pero no pueden conducir a desconocer el derecho subjetivo tutelado a nivel constitucional a favor del justiciable, ni la relación de éste con el acto por virtud del cual se ordena la publicación de sus datos personales o de los datos que le conciernan como persona.</w:t>
      </w:r>
      <w:r w:rsidRPr="00726415">
        <w:rPr>
          <w:rFonts w:ascii="AvantGarde Bk BT" w:hAnsi="AvantGarde Bk BT" w:cs="Arial"/>
        </w:rPr>
        <w:t xml:space="preserve"> </w:t>
      </w:r>
      <w:r w:rsidRPr="00726415">
        <w:rPr>
          <w:rStyle w:val="Refdenotaalpie"/>
          <w:rFonts w:ascii="AvantGarde Bk BT" w:hAnsi="AvantGarde Bk BT" w:cs="Arial"/>
        </w:rPr>
        <w:footnoteReference w:id="74"/>
      </w:r>
    </w:p>
    <w:p w14:paraId="0F68C187" w14:textId="4792D79D" w:rsidR="00610D50" w:rsidRPr="00726415" w:rsidRDefault="00EA7B6E" w:rsidP="00EA7B6E">
      <w:pPr>
        <w:spacing w:after="0" w:line="360" w:lineRule="auto"/>
        <w:ind w:right="51" w:firstLine="709"/>
        <w:jc w:val="both"/>
        <w:rPr>
          <w:rFonts w:ascii="AvantGarde Bk BT" w:eastAsia="Arial Unicode MS" w:hAnsi="AvantGarde Bk BT" w:cs="Arial"/>
          <w:b/>
          <w:sz w:val="24"/>
          <w:szCs w:val="24"/>
          <w:u w:val="single"/>
          <w:lang w:eastAsia="es-ES"/>
        </w:rPr>
      </w:pPr>
      <w:r w:rsidRPr="00726415">
        <w:rPr>
          <w:rFonts w:ascii="AvantGarde Bk BT" w:eastAsia="Arial Unicode MS" w:hAnsi="AvantGarde Bk BT" w:cs="Arial"/>
          <w:sz w:val="24"/>
          <w:szCs w:val="24"/>
          <w:lang w:eastAsia="es-ES"/>
        </w:rPr>
        <w:t xml:space="preserve">De manera tal que, a criterio de éste Órgano Garante, al </w:t>
      </w:r>
      <w:r w:rsidRPr="00726415">
        <w:rPr>
          <w:rFonts w:ascii="AvantGarde Bk BT" w:eastAsia="Arial Unicode MS" w:hAnsi="AvantGarde Bk BT" w:cs="Arial"/>
          <w:b/>
          <w:bCs/>
          <w:sz w:val="24"/>
          <w:szCs w:val="24"/>
          <w:lang w:eastAsia="es-ES"/>
        </w:rPr>
        <w:t>resultar parcialmente fundado el agravio</w:t>
      </w:r>
      <w:r w:rsidRPr="00726415">
        <w:rPr>
          <w:rFonts w:ascii="AvantGarde Bk BT" w:eastAsia="Arial Unicode MS" w:hAnsi="AvantGarde Bk BT" w:cs="Arial"/>
          <w:sz w:val="24"/>
          <w:szCs w:val="24"/>
          <w:lang w:eastAsia="es-ES"/>
        </w:rPr>
        <w:t xml:space="preserve"> formulado por el ahora parte recurrente, en el sentido de que tipificación de la información solicitada con el carácter de confidencial afectó la legalidad estricta que es preciso observar al restringir el derecho de acceso a la información, lo procedente será </w:t>
      </w:r>
      <w:r w:rsidRPr="00726415">
        <w:rPr>
          <w:rFonts w:ascii="AvantGarde Bk BT" w:eastAsia="Arial Unicode MS" w:hAnsi="AvantGarde Bk BT" w:cs="Arial"/>
          <w:b/>
          <w:bCs/>
          <w:sz w:val="24"/>
          <w:szCs w:val="24"/>
          <w:lang w:eastAsia="es-ES"/>
        </w:rPr>
        <w:t>REVOCAR</w:t>
      </w:r>
      <w:r w:rsidRPr="00726415">
        <w:rPr>
          <w:rFonts w:ascii="AvantGarde Bk BT" w:eastAsia="Arial Unicode MS" w:hAnsi="AvantGarde Bk BT" w:cs="Arial"/>
          <w:sz w:val="24"/>
          <w:szCs w:val="24"/>
          <w:lang w:eastAsia="es-ES"/>
        </w:rPr>
        <w:t xml:space="preserve"> </w:t>
      </w:r>
      <w:r w:rsidRPr="00726415">
        <w:rPr>
          <w:rFonts w:ascii="AvantGarde Bk BT" w:eastAsia="Arial Unicode MS" w:hAnsi="AvantGarde Bk BT" w:cs="Arial"/>
          <w:b/>
          <w:sz w:val="24"/>
          <w:szCs w:val="24"/>
          <w:lang w:eastAsia="es-ES"/>
        </w:rPr>
        <w:t xml:space="preserve">la respuesta otorgada por el </w:t>
      </w:r>
      <w:r w:rsidRPr="00726415">
        <w:rPr>
          <w:rFonts w:ascii="AvantGarde Bk BT" w:eastAsia="Arial Unicode MS" w:hAnsi="AvantGarde Bk BT" w:cs="Arial"/>
          <w:b/>
          <w:bCs/>
          <w:sz w:val="24"/>
          <w:szCs w:val="24"/>
          <w:lang w:eastAsia="es-ES"/>
        </w:rPr>
        <w:t>sujeto obligado</w:t>
      </w:r>
      <w:r w:rsidRPr="00726415">
        <w:rPr>
          <w:rFonts w:ascii="AvantGarde Bk BT" w:eastAsia="Arial Unicode MS" w:hAnsi="AvantGarde Bk BT" w:cs="Arial"/>
          <w:sz w:val="24"/>
          <w:szCs w:val="24"/>
          <w:lang w:eastAsia="es-ES"/>
        </w:rPr>
        <w:t xml:space="preserve"> y ordenar por ende, la emisión de una respuesta, en la que se siga el </w:t>
      </w:r>
      <w:r w:rsidRPr="00726415">
        <w:rPr>
          <w:rFonts w:ascii="AvantGarde Bk BT" w:eastAsia="Arial Unicode MS" w:hAnsi="AvantGarde Bk BT" w:cs="Arial"/>
          <w:sz w:val="24"/>
          <w:szCs w:val="24"/>
          <w:lang w:eastAsia="es-ES"/>
        </w:rPr>
        <w:lastRenderedPageBreak/>
        <w:t xml:space="preserve">procedimiento que refieren los artículos 114, 119, 120, 123, 128, 138, 142, 153 y 159 de la Ley de Transparencia y Acceso a la Información Pública, así como lo previsto en los </w:t>
      </w:r>
      <w:r w:rsidRPr="00726415">
        <w:rPr>
          <w:rFonts w:ascii="AvantGarde Bk BT" w:eastAsia="Arial Unicode MS" w:hAnsi="AvantGarde Bk BT" w:cs="Arial"/>
          <w:sz w:val="24"/>
          <w:szCs w:val="24"/>
          <w:lang w:val="es-ES_tradnl" w:eastAsia="es-ES"/>
        </w:rPr>
        <w:t xml:space="preserve">Lineamientos Generales en Materia de Clasificación y Desclasificación de la Información, así como para la Elaboración de Versiones Públicas, </w:t>
      </w:r>
      <w:r w:rsidRPr="00726415">
        <w:rPr>
          <w:rFonts w:ascii="AvantGarde Bk BT" w:eastAsia="Arial Unicode MS" w:hAnsi="AvantGarde Bk BT" w:cs="Arial"/>
          <w:b/>
          <w:sz w:val="24"/>
          <w:szCs w:val="24"/>
          <w:u w:val="single"/>
          <w:lang w:eastAsia="es-ES"/>
        </w:rPr>
        <w:t>resolviendo lo que en derecho corresponde, atendiendo con total libertad de jurisdicción, la totalidad de las consideraciones vertidas en la presente resolución.</w:t>
      </w:r>
    </w:p>
    <w:p w14:paraId="67668E01" w14:textId="77777777" w:rsidR="00EA7B6E" w:rsidRPr="00726415" w:rsidRDefault="00EA7B6E" w:rsidP="00EA7B6E">
      <w:pPr>
        <w:spacing w:after="0" w:line="360" w:lineRule="auto"/>
        <w:ind w:right="51" w:firstLine="709"/>
        <w:jc w:val="both"/>
        <w:rPr>
          <w:rFonts w:ascii="AvantGarde Bk BT" w:eastAsia="Arial Unicode MS" w:hAnsi="AvantGarde Bk BT" w:cs="Arial"/>
          <w:b/>
          <w:sz w:val="24"/>
          <w:szCs w:val="24"/>
          <w:u w:val="single"/>
          <w:lang w:eastAsia="es-ES"/>
        </w:rPr>
      </w:pPr>
    </w:p>
    <w:p w14:paraId="4FAF8AF3" w14:textId="2E630E34" w:rsidR="003A6C5C" w:rsidRPr="00726415" w:rsidRDefault="006C03CA" w:rsidP="003A6C5C">
      <w:pPr>
        <w:pStyle w:val="corte4fondo"/>
        <w:tabs>
          <w:tab w:val="left" w:pos="567"/>
        </w:tabs>
        <w:spacing w:after="240"/>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5</w:t>
      </w:r>
      <w:r w:rsidR="003A6C5C" w:rsidRPr="00726415">
        <w:rPr>
          <w:rFonts w:ascii="AvantGarde Bk BT" w:hAnsi="AvantGarde Bk BT" w:cs="Arial"/>
          <w:b/>
          <w:color w:val="000000" w:themeColor="text1"/>
          <w:sz w:val="24"/>
          <w:szCs w:val="24"/>
        </w:rPr>
        <w:t>.1. Sentido y efectos de esta resolución.</w:t>
      </w:r>
    </w:p>
    <w:p w14:paraId="1C726598" w14:textId="1D05C9B6" w:rsidR="003A6C5C" w:rsidRPr="00726415" w:rsidRDefault="003A6C5C" w:rsidP="00105712">
      <w:pPr>
        <w:pStyle w:val="corte4fondo"/>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Por las consideraciones expuestas, el Pleno de esta Comisión Estatal de Garantía de Acceso a la Información Pública de conformidad con el artículo 175, fracción III de la Ley de Transparencia y Acceso a la Información Pública del Estado </w:t>
      </w:r>
      <w:r w:rsidR="00EA7B6E" w:rsidRPr="00726415">
        <w:rPr>
          <w:rFonts w:ascii="AvantGarde Bk BT" w:hAnsi="AvantGarde Bk BT" w:cs="Arial"/>
          <w:b/>
          <w:bCs/>
          <w:color w:val="000000" w:themeColor="text1"/>
          <w:sz w:val="24"/>
          <w:szCs w:val="24"/>
        </w:rPr>
        <w:t>REVOCA</w:t>
      </w:r>
      <w:r w:rsidRPr="00726415">
        <w:rPr>
          <w:rFonts w:ascii="AvantGarde Bk BT" w:hAnsi="AvantGarde Bk BT" w:cs="Arial"/>
          <w:color w:val="000000" w:themeColor="text1"/>
          <w:sz w:val="24"/>
          <w:szCs w:val="24"/>
        </w:rPr>
        <w:t xml:space="preserve"> la respuesta proporcionada por el sujeto obligado y lo conmina para que: </w:t>
      </w:r>
    </w:p>
    <w:p w14:paraId="2C2D1FFF" w14:textId="374E5A2A" w:rsidR="00333176" w:rsidRPr="00726415" w:rsidRDefault="006C03CA" w:rsidP="00333176">
      <w:pPr>
        <w:tabs>
          <w:tab w:val="left" w:pos="567"/>
        </w:tabs>
        <w:spacing w:after="240" w:line="360" w:lineRule="auto"/>
        <w:ind w:left="680" w:right="680"/>
        <w:jc w:val="both"/>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5</w:t>
      </w:r>
      <w:r w:rsidR="00345D66" w:rsidRPr="00726415">
        <w:rPr>
          <w:rFonts w:ascii="AvantGarde Bk BT" w:hAnsi="AvantGarde Bk BT" w:cs="Arial"/>
          <w:b/>
          <w:color w:val="000000" w:themeColor="text1"/>
          <w:sz w:val="24"/>
          <w:szCs w:val="24"/>
        </w:rPr>
        <w:t>.1.1.</w:t>
      </w:r>
      <w:r w:rsidR="00DF0E07" w:rsidRPr="00726415">
        <w:rPr>
          <w:rFonts w:ascii="AvantGarde Bk BT" w:hAnsi="AvantGarde Bk BT" w:cs="Arial"/>
          <w:b/>
          <w:color w:val="000000" w:themeColor="text1"/>
          <w:sz w:val="24"/>
          <w:szCs w:val="24"/>
        </w:rPr>
        <w:t xml:space="preserve"> </w:t>
      </w:r>
      <w:r w:rsidR="00333176" w:rsidRPr="00726415">
        <w:rPr>
          <w:rFonts w:ascii="AvantGarde Bk BT" w:hAnsi="AvantGarde Bk BT" w:cs="Arial"/>
          <w:color w:val="000000" w:themeColor="text1"/>
          <w:sz w:val="24"/>
          <w:szCs w:val="24"/>
        </w:rPr>
        <w:t>Emitir una nueva respuesta, en la que se siga el procedimiento que refieren los artículos 114, 119, 120, 123, 128, 138, 142 y 159 de la Ley de Transparencia y Acceso a la Información Pública, y lo previsto en los Lineamientos Generales en Materia de Clasificación y Desclasificación de la Información, así como para la Elaboración de Versiones Públicas, resolviendo lo que en derecho corresponde, atendiendo con total libertad de jurisdicción, la totalidad de las consideraciones vertidas en la presente resolución.</w:t>
      </w:r>
    </w:p>
    <w:p w14:paraId="53E5DB38" w14:textId="6E475D2C" w:rsidR="00333176" w:rsidRPr="00726415" w:rsidRDefault="00333176" w:rsidP="00333176">
      <w:pPr>
        <w:tabs>
          <w:tab w:val="left" w:pos="567"/>
        </w:tabs>
        <w:spacing w:after="240" w:line="360" w:lineRule="auto"/>
        <w:ind w:right="680" w:firstLine="680"/>
        <w:jc w:val="both"/>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5.2. Modalidad de entrega.</w:t>
      </w:r>
      <w:r w:rsidRPr="00726415">
        <w:rPr>
          <w:rFonts w:ascii="AvantGarde Bk BT" w:hAnsi="AvantGarde Bk BT" w:cs="Arial"/>
          <w:color w:val="000000" w:themeColor="text1"/>
          <w:sz w:val="24"/>
          <w:szCs w:val="24"/>
        </w:rPr>
        <w:t xml:space="preserve"> En cuanto a la modalidad de entrega, toda vez que la persona recurrente eligió como modalidad de entrega electrónica, el Obligado deberá realizar la entrega a través del correo electrónico designado por el ahora recurrente.</w:t>
      </w:r>
    </w:p>
    <w:p w14:paraId="637FFB31" w14:textId="477EA26D" w:rsidR="003A6C5C" w:rsidRPr="00726415" w:rsidRDefault="006C03CA" w:rsidP="00333176">
      <w:pPr>
        <w:tabs>
          <w:tab w:val="left" w:pos="567"/>
        </w:tabs>
        <w:spacing w:after="240" w:line="360" w:lineRule="auto"/>
        <w:ind w:left="680" w:right="680"/>
        <w:jc w:val="both"/>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5</w:t>
      </w:r>
      <w:r w:rsidR="00333176" w:rsidRPr="00726415">
        <w:rPr>
          <w:rFonts w:ascii="AvantGarde Bk BT" w:hAnsi="AvantGarde Bk BT" w:cs="Arial"/>
          <w:b/>
          <w:color w:val="000000" w:themeColor="text1"/>
          <w:sz w:val="24"/>
          <w:szCs w:val="24"/>
        </w:rPr>
        <w:t>.3</w:t>
      </w:r>
      <w:r w:rsidR="003A6C5C" w:rsidRPr="00726415">
        <w:rPr>
          <w:rFonts w:ascii="AvantGarde Bk BT" w:hAnsi="AvantGarde Bk BT" w:cs="Arial"/>
          <w:b/>
          <w:color w:val="000000" w:themeColor="text1"/>
          <w:sz w:val="24"/>
          <w:szCs w:val="24"/>
        </w:rPr>
        <w:t xml:space="preserve">. </w:t>
      </w:r>
      <w:r w:rsidR="003A6C5C" w:rsidRPr="00726415">
        <w:rPr>
          <w:rFonts w:ascii="AvantGarde Bk BT" w:hAnsi="AvantGarde Bk BT" w:cs="Arial"/>
          <w:b/>
          <w:sz w:val="24"/>
          <w:szCs w:val="24"/>
        </w:rPr>
        <w:t xml:space="preserve">Precisiones para el cumplimiento de la resolución. </w:t>
      </w:r>
    </w:p>
    <w:p w14:paraId="3FD478EB" w14:textId="77777777" w:rsidR="003A6C5C" w:rsidRPr="00726415" w:rsidRDefault="003A6C5C" w:rsidP="003A6C5C">
      <w:pPr>
        <w:pStyle w:val="corte4fondo"/>
        <w:tabs>
          <w:tab w:val="left" w:pos="567"/>
        </w:tabs>
        <w:rPr>
          <w:rFonts w:ascii="AvantGarde Bk BT" w:hAnsi="AvantGarde Bk BT" w:cs="Arial"/>
          <w:sz w:val="24"/>
          <w:szCs w:val="24"/>
          <w:u w:val="single"/>
        </w:rPr>
      </w:pPr>
      <w:r w:rsidRPr="00726415">
        <w:rPr>
          <w:rFonts w:ascii="AvantGarde Bk BT" w:hAnsi="AvantGarde Bk BT" w:cs="Arial"/>
          <w:sz w:val="24"/>
          <w:szCs w:val="24"/>
        </w:rPr>
        <w:t xml:space="preserve">Para efecto de cumplir con la presente resolución, el sujeto obligado deberá acompañar a su informe de cumplimiento las constancias con las que acredite haber dado cumplimiento a la resolución; es decir, </w:t>
      </w:r>
      <w:r w:rsidRPr="00726415">
        <w:rPr>
          <w:rFonts w:ascii="AvantGarde Bk BT" w:hAnsi="AvantGarde Bk BT" w:cs="Arial"/>
          <w:sz w:val="24"/>
          <w:szCs w:val="24"/>
          <w:u w:val="single"/>
        </w:rPr>
        <w:t xml:space="preserve">deberá acompañar: </w:t>
      </w:r>
    </w:p>
    <w:p w14:paraId="552F9B59" w14:textId="77777777" w:rsidR="003A6C5C" w:rsidRPr="00726415" w:rsidRDefault="003A6C5C" w:rsidP="00C44ECA">
      <w:pPr>
        <w:pStyle w:val="corte4fondo"/>
        <w:numPr>
          <w:ilvl w:val="3"/>
          <w:numId w:val="4"/>
        </w:numPr>
        <w:tabs>
          <w:tab w:val="left" w:pos="567"/>
        </w:tabs>
        <w:ind w:left="680" w:right="680" w:firstLine="0"/>
        <w:rPr>
          <w:rFonts w:ascii="AvantGarde Bk BT" w:hAnsi="AvantGarde Bk BT" w:cs="Arial"/>
          <w:sz w:val="24"/>
          <w:szCs w:val="24"/>
        </w:rPr>
      </w:pPr>
      <w:r w:rsidRPr="00726415">
        <w:rPr>
          <w:rFonts w:ascii="AvantGarde Bk BT" w:hAnsi="AvantGarde Bk BT" w:cs="Arial"/>
          <w:sz w:val="24"/>
          <w:szCs w:val="24"/>
          <w:u w:val="single"/>
        </w:rPr>
        <w:t xml:space="preserve">Todos aquellos documentos entregados al peticionario. </w:t>
      </w:r>
    </w:p>
    <w:p w14:paraId="1E678637" w14:textId="77777777" w:rsidR="003A6C5C" w:rsidRPr="00726415" w:rsidRDefault="003A6C5C" w:rsidP="00C44ECA">
      <w:pPr>
        <w:pStyle w:val="corte4fondo"/>
        <w:numPr>
          <w:ilvl w:val="3"/>
          <w:numId w:val="4"/>
        </w:numPr>
        <w:tabs>
          <w:tab w:val="left" w:pos="567"/>
        </w:tabs>
        <w:spacing w:after="240"/>
        <w:ind w:left="680" w:right="680" w:firstLine="0"/>
        <w:rPr>
          <w:rFonts w:ascii="AvantGarde Bk BT" w:hAnsi="AvantGarde Bk BT" w:cs="Arial"/>
          <w:sz w:val="24"/>
          <w:szCs w:val="24"/>
        </w:rPr>
      </w:pPr>
      <w:r w:rsidRPr="00726415">
        <w:rPr>
          <w:rFonts w:ascii="AvantGarde Bk BT" w:hAnsi="AvantGarde Bk BT" w:cs="Arial"/>
          <w:sz w:val="24"/>
          <w:szCs w:val="24"/>
          <w:u w:val="single"/>
        </w:rPr>
        <w:lastRenderedPageBreak/>
        <w:t>Las constancias que acrediten que la nueva respuesta fue notificada al recurrente</w:t>
      </w:r>
      <w:r w:rsidRPr="00726415">
        <w:rPr>
          <w:rFonts w:ascii="AvantGarde Bk BT" w:hAnsi="AvantGarde Bk BT" w:cs="Arial"/>
          <w:sz w:val="24"/>
          <w:szCs w:val="24"/>
        </w:rPr>
        <w:t>.</w:t>
      </w:r>
    </w:p>
    <w:p w14:paraId="0494C081" w14:textId="2BED13C8" w:rsidR="003A6C5C" w:rsidRPr="00726415" w:rsidRDefault="006C03CA" w:rsidP="003A6C5C">
      <w:pPr>
        <w:spacing w:line="360" w:lineRule="auto"/>
        <w:ind w:firstLine="709"/>
        <w:jc w:val="both"/>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5</w:t>
      </w:r>
      <w:r w:rsidR="00333176" w:rsidRPr="00726415">
        <w:rPr>
          <w:rFonts w:ascii="AvantGarde Bk BT" w:hAnsi="AvantGarde Bk BT" w:cs="Arial"/>
          <w:b/>
          <w:color w:val="000000" w:themeColor="text1"/>
          <w:sz w:val="24"/>
          <w:szCs w:val="24"/>
        </w:rPr>
        <w:t>.4</w:t>
      </w:r>
      <w:r w:rsidR="003A6C5C" w:rsidRPr="00726415">
        <w:rPr>
          <w:rFonts w:ascii="AvantGarde Bk BT" w:hAnsi="AvantGarde Bk BT" w:cs="Arial"/>
          <w:b/>
          <w:color w:val="000000" w:themeColor="text1"/>
          <w:sz w:val="24"/>
          <w:szCs w:val="24"/>
        </w:rPr>
        <w:t xml:space="preserve">. Plazo para el cumplimento de esta resolución e informe sobre el cumplimento a la misma. </w:t>
      </w:r>
    </w:p>
    <w:p w14:paraId="59A9C424" w14:textId="77777777" w:rsidR="003A6C5C" w:rsidRPr="00726415" w:rsidRDefault="003A6C5C" w:rsidP="003A6C5C">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Con fundamento en el artículo 175 de la Ley de Transparencia y Acceso a la Información Pública se concede un término de </w:t>
      </w:r>
      <w:r w:rsidRPr="00726415">
        <w:rPr>
          <w:rFonts w:ascii="AvantGarde Bk BT" w:hAnsi="AvantGarde Bk BT" w:cs="Arial"/>
          <w:color w:val="000000" w:themeColor="text1"/>
          <w:sz w:val="24"/>
          <w:szCs w:val="24"/>
          <w:u w:val="single"/>
        </w:rPr>
        <w:t>10 diez días para la entrega de la información</w:t>
      </w:r>
      <w:r w:rsidRPr="00726415">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 lo anterior en la inteligencia de que dicho plazo podrá ampliarse a solicitud del sujeto obligado en términos del artículo 183 de la Ley de la materia, y vencido este término, de conformidad con el artículo 177, segundo párrafo de la Ley de la materia, el ente obligado deberá informar a esta Comisión de Transparencia el cumplimento al presente fallo en un plazo que no deberá de exceder de tres días hábiles, en donde justificará con los documentos necesarios el cumplimento a lo aquí ordenado.</w:t>
      </w:r>
    </w:p>
    <w:p w14:paraId="60D68A85" w14:textId="75489470" w:rsidR="003A6C5C" w:rsidRPr="00726415" w:rsidRDefault="006C03CA" w:rsidP="003A6C5C">
      <w:pPr>
        <w:pStyle w:val="corte4fondo"/>
        <w:tabs>
          <w:tab w:val="left" w:pos="567"/>
        </w:tabs>
        <w:spacing w:after="240"/>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5</w:t>
      </w:r>
      <w:r w:rsidR="00333176" w:rsidRPr="00726415">
        <w:rPr>
          <w:rFonts w:ascii="AvantGarde Bk BT" w:hAnsi="AvantGarde Bk BT" w:cs="Arial"/>
          <w:b/>
          <w:color w:val="000000" w:themeColor="text1"/>
          <w:sz w:val="24"/>
          <w:szCs w:val="24"/>
        </w:rPr>
        <w:t>.5</w:t>
      </w:r>
      <w:r w:rsidR="003A6C5C" w:rsidRPr="00726415">
        <w:rPr>
          <w:rFonts w:ascii="AvantGarde Bk BT" w:hAnsi="AvantGarde Bk BT" w:cs="Arial"/>
          <w:b/>
          <w:color w:val="000000" w:themeColor="text1"/>
          <w:sz w:val="24"/>
          <w:szCs w:val="24"/>
        </w:rPr>
        <w:t>. Medida de apremio en caso de incumplimiento a la resolución.</w:t>
      </w:r>
    </w:p>
    <w:p w14:paraId="218CEA4F" w14:textId="77777777" w:rsidR="003A6C5C" w:rsidRPr="00726415" w:rsidRDefault="003A6C5C" w:rsidP="003A6C5C">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Esta Comisión Estatal de Garantía de Acceso a la Información Pública apercibe al ente obligado que, en caso de no acatar la presente resolución, se le impondrá una medida de apremio conforme a lo establecido en el artículo 190, fracción I de la Ley de Transparencia, consistente en amonestación privada, lo anterior en virtud de que este órgano colegiado debe garantizar el debido cumplimiento al derecho humano de acceso a la información pública.</w:t>
      </w:r>
    </w:p>
    <w:p w14:paraId="360591F2" w14:textId="10B580E7" w:rsidR="003A6C5C" w:rsidRPr="00726415" w:rsidRDefault="006C03CA" w:rsidP="003A6C5C">
      <w:pPr>
        <w:pStyle w:val="corte4fondo"/>
        <w:tabs>
          <w:tab w:val="left" w:pos="567"/>
        </w:tabs>
        <w:spacing w:after="240"/>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t>5</w:t>
      </w:r>
      <w:r w:rsidR="003A6C5C" w:rsidRPr="00726415">
        <w:rPr>
          <w:rFonts w:ascii="AvantGarde Bk BT" w:hAnsi="AvantGarde Bk BT" w:cs="Arial"/>
          <w:b/>
          <w:color w:val="000000" w:themeColor="text1"/>
          <w:sz w:val="24"/>
          <w:szCs w:val="24"/>
        </w:rPr>
        <w:t>.</w:t>
      </w:r>
      <w:r w:rsidR="00333176" w:rsidRPr="00726415">
        <w:rPr>
          <w:rFonts w:ascii="AvantGarde Bk BT" w:hAnsi="AvantGarde Bk BT" w:cs="Arial"/>
          <w:b/>
          <w:color w:val="000000" w:themeColor="text1"/>
          <w:sz w:val="24"/>
          <w:szCs w:val="24"/>
        </w:rPr>
        <w:t>6</w:t>
      </w:r>
      <w:r w:rsidR="003A6C5C" w:rsidRPr="00726415">
        <w:rPr>
          <w:rFonts w:ascii="AvantGarde Bk BT" w:hAnsi="AvantGarde Bk BT" w:cs="Arial"/>
          <w:b/>
          <w:color w:val="000000" w:themeColor="text1"/>
          <w:sz w:val="24"/>
          <w:szCs w:val="24"/>
        </w:rPr>
        <w:t>. Medio de impugnación.</w:t>
      </w:r>
    </w:p>
    <w:p w14:paraId="0EBCC211" w14:textId="3F1FFCF9" w:rsidR="003A6C5C" w:rsidRPr="00726415" w:rsidRDefault="003A6C5C" w:rsidP="003A6C5C">
      <w:pPr>
        <w:pStyle w:val="corte4fondo"/>
        <w:tabs>
          <w:tab w:val="left" w:pos="567"/>
        </w:tabs>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Por último, </w:t>
      </w:r>
      <w:r w:rsidR="00D71927" w:rsidRPr="00726415">
        <w:rPr>
          <w:rFonts w:ascii="AvantGarde Bk BT" w:hAnsi="AvantGarde Bk BT" w:cs="Arial"/>
          <w:color w:val="000000" w:themeColor="text1"/>
          <w:sz w:val="24"/>
          <w:szCs w:val="24"/>
        </w:rPr>
        <w:t xml:space="preserve">de conformidad con los artículos 161, 162, 163, 164 y 165 de la Ley General de Transparencia y Acceso a la Información Pública </w:t>
      </w:r>
      <w:r w:rsidR="00DA6809" w:rsidRPr="00726415">
        <w:rPr>
          <w:rFonts w:ascii="AvantGarde Bk BT" w:hAnsi="AvantGarde Bk BT" w:cs="Arial"/>
          <w:color w:val="000000" w:themeColor="text1"/>
          <w:sz w:val="24"/>
          <w:szCs w:val="24"/>
        </w:rPr>
        <w:t xml:space="preserve">se hace del conocimiento de la parte </w:t>
      </w:r>
      <w:r w:rsidR="00D71927" w:rsidRPr="00726415">
        <w:rPr>
          <w:rFonts w:ascii="AvantGarde Bk BT" w:hAnsi="AvantGarde Bk BT" w:cs="Arial"/>
          <w:color w:val="000000" w:themeColor="text1"/>
          <w:sz w:val="24"/>
          <w:szCs w:val="24"/>
        </w:rPr>
        <w:t>recurrente</w:t>
      </w:r>
      <w:r w:rsidR="00DA6809" w:rsidRPr="00726415">
        <w:rPr>
          <w:rFonts w:ascii="AvantGarde Bk BT" w:hAnsi="AvantGarde Bk BT" w:cs="Arial"/>
          <w:color w:val="000000" w:themeColor="text1"/>
          <w:sz w:val="24"/>
          <w:szCs w:val="24"/>
        </w:rPr>
        <w:t xml:space="preserve"> que </w:t>
      </w:r>
      <w:r w:rsidR="00D71927" w:rsidRPr="00726415">
        <w:rPr>
          <w:rFonts w:ascii="AvantGarde Bk BT" w:hAnsi="AvantGarde Bk BT" w:cs="Arial"/>
          <w:color w:val="000000" w:themeColor="text1"/>
          <w:sz w:val="24"/>
          <w:szCs w:val="24"/>
        </w:rPr>
        <w:t>en contra</w:t>
      </w:r>
      <w:r w:rsidR="00DA6809" w:rsidRPr="00726415">
        <w:rPr>
          <w:rFonts w:ascii="AvantGarde Bk BT" w:hAnsi="AvantGarde Bk BT" w:cs="Arial"/>
          <w:color w:val="000000" w:themeColor="text1"/>
          <w:sz w:val="24"/>
          <w:szCs w:val="24"/>
        </w:rPr>
        <w:t xml:space="preserve"> </w:t>
      </w:r>
      <w:r w:rsidR="00D71927" w:rsidRPr="00726415">
        <w:rPr>
          <w:rFonts w:ascii="AvantGarde Bk BT" w:hAnsi="AvantGarde Bk BT" w:cs="Arial"/>
          <w:color w:val="000000" w:themeColor="text1"/>
          <w:sz w:val="24"/>
          <w:szCs w:val="24"/>
        </w:rPr>
        <w:t>de la</w:t>
      </w:r>
      <w:r w:rsidR="00DA6809" w:rsidRPr="00726415">
        <w:rPr>
          <w:rFonts w:ascii="AvantGarde Bk BT" w:hAnsi="AvantGarde Bk BT" w:cs="Arial"/>
          <w:color w:val="000000" w:themeColor="text1"/>
          <w:sz w:val="24"/>
          <w:szCs w:val="24"/>
        </w:rPr>
        <w:t xml:space="preserve"> presente resolución</w:t>
      </w:r>
      <w:r w:rsidR="00D71927" w:rsidRPr="00726415">
        <w:rPr>
          <w:rFonts w:ascii="AvantGarde Bk BT" w:hAnsi="AvantGarde Bk BT" w:cs="Arial"/>
          <w:color w:val="000000" w:themeColor="text1"/>
          <w:sz w:val="24"/>
          <w:szCs w:val="24"/>
        </w:rPr>
        <w:t xml:space="preserve"> puede acudir</w:t>
      </w:r>
      <w:r w:rsidR="00DA6809" w:rsidRPr="00726415">
        <w:rPr>
          <w:rFonts w:ascii="AvantGarde Bk BT" w:hAnsi="AvantGarde Bk BT" w:cs="Arial"/>
          <w:color w:val="000000" w:themeColor="text1"/>
          <w:sz w:val="24"/>
          <w:szCs w:val="24"/>
        </w:rPr>
        <w:t xml:space="preserve"> ante la Autoridad garante federal o ante los Tribunales especializados en materia de transparencia del Poder Judicial de la Federación.</w:t>
      </w:r>
    </w:p>
    <w:p w14:paraId="4938B027" w14:textId="77777777" w:rsidR="0068215D" w:rsidRPr="00726415" w:rsidRDefault="0068215D" w:rsidP="003A6C5C">
      <w:pPr>
        <w:pStyle w:val="corte4fondo"/>
        <w:tabs>
          <w:tab w:val="left" w:pos="567"/>
        </w:tabs>
        <w:rPr>
          <w:rFonts w:ascii="AvantGarde Bk BT" w:hAnsi="AvantGarde Bk BT" w:cs="Arial"/>
          <w:color w:val="000000" w:themeColor="text1"/>
          <w:sz w:val="24"/>
          <w:szCs w:val="24"/>
        </w:rPr>
      </w:pPr>
    </w:p>
    <w:p w14:paraId="7A6DAEC9" w14:textId="77777777" w:rsidR="003A6C5C" w:rsidRPr="00726415" w:rsidRDefault="003A6C5C" w:rsidP="003A6C5C">
      <w:pPr>
        <w:pStyle w:val="corte4fondo"/>
        <w:tabs>
          <w:tab w:val="left" w:pos="567"/>
        </w:tabs>
        <w:spacing w:after="240"/>
        <w:jc w:val="center"/>
        <w:rPr>
          <w:rFonts w:ascii="AvantGarde Bk BT" w:hAnsi="AvantGarde Bk BT" w:cs="Arial"/>
          <w:b/>
          <w:color w:val="000000" w:themeColor="text1"/>
          <w:sz w:val="24"/>
          <w:szCs w:val="24"/>
        </w:rPr>
      </w:pPr>
      <w:r w:rsidRPr="00726415">
        <w:rPr>
          <w:rFonts w:ascii="AvantGarde Bk BT" w:hAnsi="AvantGarde Bk BT" w:cs="Arial"/>
          <w:b/>
          <w:color w:val="000000" w:themeColor="text1"/>
          <w:sz w:val="24"/>
          <w:szCs w:val="24"/>
        </w:rPr>
        <w:lastRenderedPageBreak/>
        <w:t>RESOLUTIVO</w:t>
      </w:r>
    </w:p>
    <w:p w14:paraId="5CD74017" w14:textId="77777777" w:rsidR="003A6C5C" w:rsidRPr="00726415" w:rsidRDefault="003A6C5C" w:rsidP="003A6C5C">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color w:val="000000" w:themeColor="text1"/>
          <w:sz w:val="24"/>
          <w:szCs w:val="24"/>
        </w:rPr>
        <w:t xml:space="preserve">Por lo expuesto y fundado, </w:t>
      </w:r>
      <w:r w:rsidRPr="00726415">
        <w:rPr>
          <w:rFonts w:ascii="AvantGarde Bk BT" w:hAnsi="AvantGarde Bk BT" w:cs="Arial"/>
          <w:b/>
          <w:color w:val="000000" w:themeColor="text1"/>
          <w:sz w:val="24"/>
          <w:szCs w:val="24"/>
        </w:rPr>
        <w:t>SE RESUELVE</w:t>
      </w:r>
      <w:r w:rsidRPr="00726415">
        <w:rPr>
          <w:rFonts w:ascii="AvantGarde Bk BT" w:hAnsi="AvantGarde Bk BT" w:cs="Arial"/>
          <w:color w:val="000000" w:themeColor="text1"/>
          <w:sz w:val="24"/>
          <w:szCs w:val="24"/>
        </w:rPr>
        <w:t>:</w:t>
      </w:r>
    </w:p>
    <w:p w14:paraId="48C2A1EC" w14:textId="5946A221" w:rsidR="003A6C5C" w:rsidRPr="00726415" w:rsidRDefault="003A6C5C" w:rsidP="003A6C5C">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b/>
          <w:color w:val="000000" w:themeColor="text1"/>
          <w:sz w:val="24"/>
          <w:szCs w:val="24"/>
        </w:rPr>
        <w:t>ÚNICO.</w:t>
      </w:r>
      <w:r w:rsidRPr="00726415">
        <w:rPr>
          <w:rFonts w:ascii="AvantGarde Bk BT" w:hAnsi="AvantGarde Bk BT" w:cs="Arial"/>
          <w:color w:val="000000" w:themeColor="text1"/>
          <w:sz w:val="24"/>
          <w:szCs w:val="24"/>
        </w:rPr>
        <w:t xml:space="preserve"> Esta Comisión Estatal de Garantía de Acceso a la Información Pública de conformidad con el artículo 175, fracción III de la Ley de Transparencia y Acceso a la Información Pública del Estado </w:t>
      </w:r>
      <w:r w:rsidR="00333176" w:rsidRPr="00726415">
        <w:rPr>
          <w:rFonts w:ascii="AvantGarde Bk BT" w:hAnsi="AvantGarde Bk BT" w:cs="Arial"/>
          <w:b/>
          <w:bCs/>
          <w:color w:val="000000" w:themeColor="text1"/>
          <w:sz w:val="24"/>
          <w:szCs w:val="24"/>
        </w:rPr>
        <w:t>REVOCA</w:t>
      </w:r>
      <w:r w:rsidRPr="00726415">
        <w:rPr>
          <w:rFonts w:ascii="AvantGarde Bk BT" w:hAnsi="AvantGarde Bk BT" w:cs="Arial"/>
          <w:color w:val="000000" w:themeColor="text1"/>
          <w:sz w:val="24"/>
          <w:szCs w:val="24"/>
        </w:rPr>
        <w:t xml:space="preserve"> la respuesta proporcionada por el sujeto obligado por los fundamentos y las razones desarrolladas en el considerando quinto de la presente resolución.</w:t>
      </w:r>
    </w:p>
    <w:p w14:paraId="1CD94679" w14:textId="17965134" w:rsidR="00B90A51" w:rsidRPr="00726415" w:rsidRDefault="00B90A51" w:rsidP="00B90A51">
      <w:pPr>
        <w:pStyle w:val="corte4fondo"/>
        <w:tabs>
          <w:tab w:val="left" w:pos="567"/>
        </w:tabs>
        <w:spacing w:after="240"/>
        <w:rPr>
          <w:rFonts w:ascii="AvantGarde Bk BT" w:hAnsi="AvantGarde Bk BT" w:cs="Arial"/>
          <w:sz w:val="24"/>
          <w:szCs w:val="24"/>
        </w:rPr>
      </w:pPr>
      <w:r w:rsidRPr="00726415">
        <w:rPr>
          <w:rFonts w:ascii="AvantGarde Bk BT" w:hAnsi="AvantGarde Bk BT" w:cs="Arial"/>
          <w:b/>
          <w:sz w:val="24"/>
          <w:szCs w:val="24"/>
        </w:rPr>
        <w:t>Notifíquese</w:t>
      </w:r>
      <w:r w:rsidRPr="00726415">
        <w:rPr>
          <w:rFonts w:ascii="AvantGarde Bk BT" w:hAnsi="AvantGarde Bk BT" w:cs="Arial"/>
          <w:sz w:val="24"/>
          <w:szCs w:val="24"/>
        </w:rPr>
        <w:t>; por oficio a las autoridades y al recurrente por el medio que designó.</w:t>
      </w:r>
    </w:p>
    <w:p w14:paraId="7767BA8E" w14:textId="3F3BB32B" w:rsidR="00D71927" w:rsidRPr="00726415" w:rsidRDefault="00D71927" w:rsidP="00AF0B51">
      <w:pPr>
        <w:pStyle w:val="corte4fondo"/>
        <w:tabs>
          <w:tab w:val="left" w:pos="567"/>
        </w:tabs>
        <w:spacing w:after="240"/>
        <w:rPr>
          <w:rFonts w:ascii="AvantGarde Bk BT" w:hAnsi="AvantGarde Bk BT" w:cs="Arial"/>
          <w:color w:val="000000" w:themeColor="text1"/>
          <w:sz w:val="24"/>
          <w:szCs w:val="24"/>
        </w:rPr>
      </w:pPr>
      <w:r w:rsidRPr="00726415">
        <w:rPr>
          <w:rFonts w:ascii="AvantGarde Bk BT" w:hAnsi="AvantGarde Bk BT" w:cs="Arial"/>
          <w:sz w:val="24"/>
          <w:szCs w:val="24"/>
        </w:rPr>
        <w:t>Así l</w:t>
      </w:r>
      <w:r w:rsidRPr="00726415">
        <w:rPr>
          <w:rFonts w:ascii="AvantGarde Bk BT" w:hAnsi="AvantGarde Bk BT"/>
          <w:sz w:val="24"/>
          <w:szCs w:val="24"/>
        </w:rPr>
        <w:t xml:space="preserve">o resolvieron por mayoría de votos en Sesión Ordinaria del </w:t>
      </w:r>
      <w:r w:rsidR="00486EEA" w:rsidRPr="00726415">
        <w:rPr>
          <w:rFonts w:ascii="AvantGarde Bk BT" w:hAnsi="AvantGarde Bk BT"/>
          <w:sz w:val="24"/>
          <w:szCs w:val="24"/>
        </w:rPr>
        <w:t>veintiséis de junio</w:t>
      </w:r>
      <w:r w:rsidR="00CF015A" w:rsidRPr="00726415">
        <w:rPr>
          <w:rFonts w:ascii="AvantGarde Bk BT" w:hAnsi="AvantGarde Bk BT"/>
          <w:sz w:val="24"/>
          <w:szCs w:val="24"/>
        </w:rPr>
        <w:t xml:space="preserve"> de dos mil veintiséis</w:t>
      </w:r>
      <w:r w:rsidRPr="00726415">
        <w:rPr>
          <w:rFonts w:ascii="AvantGarde Bk BT" w:hAnsi="AvantGarde Bk BT"/>
          <w:sz w:val="24"/>
          <w:szCs w:val="24"/>
        </w:rPr>
        <w:t xml:space="preserve">, </w:t>
      </w:r>
      <w:r w:rsidRPr="00726415">
        <w:rPr>
          <w:rFonts w:ascii="AvantGarde Bk BT" w:hAnsi="AvantGarde Bk BT" w:cs="Arial"/>
          <w:color w:val="000000" w:themeColor="text1"/>
          <w:sz w:val="24"/>
          <w:szCs w:val="24"/>
        </w:rPr>
        <w:t xml:space="preserve">los Comisionados </w:t>
      </w:r>
      <w:r w:rsidRPr="00726415">
        <w:rPr>
          <w:rFonts w:ascii="AvantGarde Bk BT" w:hAnsi="AvantGarde Bk BT" w:cs="Arial"/>
          <w:b/>
          <w:color w:val="000000" w:themeColor="text1"/>
          <w:sz w:val="24"/>
          <w:szCs w:val="24"/>
        </w:rPr>
        <w:t xml:space="preserve">Licenciado José Gerardo Navarro </w:t>
      </w:r>
      <w:proofErr w:type="spellStart"/>
      <w:r w:rsidRPr="00726415">
        <w:rPr>
          <w:rFonts w:ascii="AvantGarde Bk BT" w:hAnsi="AvantGarde Bk BT" w:cs="Arial"/>
          <w:b/>
          <w:color w:val="000000" w:themeColor="text1"/>
          <w:sz w:val="24"/>
          <w:szCs w:val="24"/>
        </w:rPr>
        <w:t>Alviso</w:t>
      </w:r>
      <w:proofErr w:type="spellEnd"/>
      <w:r w:rsidRPr="00726415">
        <w:rPr>
          <w:rFonts w:ascii="AvantGarde Bk BT" w:hAnsi="AvantGarde Bk BT" w:cs="Arial"/>
          <w:color w:val="000000" w:themeColor="text1"/>
          <w:sz w:val="24"/>
          <w:szCs w:val="24"/>
        </w:rPr>
        <w:t xml:space="preserve"> y Maestra Ana Cristina García </w:t>
      </w:r>
      <w:proofErr w:type="spellStart"/>
      <w:r w:rsidRPr="00726415">
        <w:rPr>
          <w:rFonts w:ascii="AvantGarde Bk BT" w:hAnsi="AvantGarde Bk BT" w:cs="Arial"/>
          <w:color w:val="000000" w:themeColor="text1"/>
          <w:sz w:val="24"/>
          <w:szCs w:val="24"/>
        </w:rPr>
        <w:t>Nales</w:t>
      </w:r>
      <w:proofErr w:type="spellEnd"/>
      <w:r w:rsidRPr="00726415">
        <w:rPr>
          <w:rFonts w:ascii="AvantGarde Bk BT" w:hAnsi="AvantGarde Bk BT" w:cs="Arial"/>
          <w:color w:val="000000" w:themeColor="text1"/>
          <w:sz w:val="24"/>
          <w:szCs w:val="24"/>
        </w:rPr>
        <w:t>, </w:t>
      </w:r>
      <w:r w:rsidRPr="00726415">
        <w:rPr>
          <w:rFonts w:ascii="AvantGarde Bk BT" w:hAnsi="AvantGarde Bk BT" w:cs="Arial"/>
          <w:b/>
          <w:bCs/>
          <w:color w:val="000000" w:themeColor="text1"/>
          <w:sz w:val="24"/>
          <w:szCs w:val="24"/>
        </w:rPr>
        <w:t>siendo ponente el primero de los nombrados</w:t>
      </w:r>
      <w:r w:rsidRPr="00726415">
        <w:rPr>
          <w:rFonts w:ascii="AvantGarde Bk BT" w:hAnsi="AvantGarde Bk BT" w:cs="Arial"/>
          <w:color w:val="000000" w:themeColor="text1"/>
          <w:sz w:val="24"/>
          <w:szCs w:val="24"/>
        </w:rPr>
        <w:t xml:space="preserve">, </w:t>
      </w:r>
      <w:r w:rsidRPr="00726415">
        <w:rPr>
          <w:rFonts w:ascii="AvantGarde Bk BT" w:hAnsi="AvantGarde Bk BT"/>
          <w:color w:val="000000" w:themeColor="text1"/>
          <w:sz w:val="24"/>
          <w:szCs w:val="24"/>
        </w:rPr>
        <w:t>quienes firman con la Licenciada Rosa María Motilla García, Secretaria de Pleno que autoriza y da fe</w:t>
      </w:r>
      <w:r w:rsidRPr="00726415">
        <w:rPr>
          <w:rFonts w:ascii="AvantGarde Bk BT" w:hAnsi="AvantGarde Bk BT" w:cs="Arial"/>
          <w:color w:val="000000" w:themeColor="text1"/>
          <w:sz w:val="24"/>
          <w:szCs w:val="24"/>
        </w:rPr>
        <w:t>.</w:t>
      </w:r>
    </w:p>
    <w:p w14:paraId="2D04CB2F" w14:textId="77777777" w:rsidR="00D71927" w:rsidRPr="00726415" w:rsidRDefault="00D71927" w:rsidP="00D71927">
      <w:pPr>
        <w:pStyle w:val="NormalWeb"/>
        <w:rPr>
          <w:rFonts w:ascii="AvantGarde Bk BT" w:hAnsi="AvantGarde Bk BT" w:cs="Arial"/>
          <w:b/>
          <w:color w:val="000000" w:themeColor="text1"/>
          <w:lang w:val="es-MX"/>
        </w:rPr>
      </w:pPr>
      <w:r w:rsidRPr="00726415">
        <w:rPr>
          <w:rFonts w:ascii="AvantGarde Bk BT" w:hAnsi="AvantGarde Bk BT" w:cs="Arial"/>
          <w:b/>
          <w:color w:val="000000" w:themeColor="text1"/>
          <w:lang w:val="es-MX"/>
        </w:rPr>
        <w:t xml:space="preserve">               COMISIONADO PRESIDENTE                                       COMISIONADA</w:t>
      </w:r>
    </w:p>
    <w:p w14:paraId="2BF3A44A" w14:textId="77777777" w:rsidR="00D71927" w:rsidRPr="00726415" w:rsidRDefault="00D71927" w:rsidP="00D71927">
      <w:pPr>
        <w:pStyle w:val="NormalWeb"/>
        <w:jc w:val="both"/>
        <w:rPr>
          <w:rFonts w:ascii="AvantGarde Bk BT" w:hAnsi="AvantGarde Bk BT" w:cs="Arial"/>
          <w:b/>
          <w:color w:val="000000" w:themeColor="text1"/>
          <w:lang w:val="es-MX"/>
        </w:rPr>
      </w:pPr>
    </w:p>
    <w:p w14:paraId="7A56E23E" w14:textId="7CB2157B" w:rsidR="00D71927" w:rsidRPr="00726415" w:rsidRDefault="00D71927" w:rsidP="002B05F6">
      <w:pPr>
        <w:pStyle w:val="NormalWeb"/>
        <w:spacing w:line="600" w:lineRule="auto"/>
        <w:jc w:val="center"/>
        <w:rPr>
          <w:rFonts w:ascii="AvantGarde Bk BT" w:hAnsi="AvantGarde Bk BT" w:cs="Arial"/>
          <w:b/>
          <w:color w:val="000000" w:themeColor="text1"/>
          <w:lang w:val="es-MX"/>
        </w:rPr>
      </w:pPr>
      <w:r w:rsidRPr="00726415">
        <w:rPr>
          <w:rFonts w:ascii="AvantGarde Bk BT" w:hAnsi="AvantGarde Bk BT" w:cs="Arial"/>
          <w:b/>
          <w:color w:val="000000" w:themeColor="text1"/>
          <w:lang w:val="es-MX"/>
        </w:rPr>
        <w:t xml:space="preserve">   LIC. JOSÉ GERARDO NAVARRO ALVISO.           MTRA. </w:t>
      </w:r>
      <w:r w:rsidRPr="00726415">
        <w:rPr>
          <w:rFonts w:ascii="AvantGarde Bk BT" w:hAnsi="AvantGarde Bk BT" w:cs="Arial"/>
          <w:b/>
          <w:bCs/>
          <w:color w:val="000000" w:themeColor="text1"/>
          <w:lang w:val="es-MX"/>
        </w:rPr>
        <w:t>ANA CRISTINA GARCÍA NALES</w:t>
      </w:r>
      <w:r w:rsidRPr="00726415">
        <w:rPr>
          <w:rFonts w:ascii="AvantGarde Bk BT" w:hAnsi="AvantGarde Bk BT" w:cs="Arial"/>
          <w:b/>
          <w:color w:val="000000" w:themeColor="text1"/>
          <w:lang w:val="es-MX"/>
        </w:rPr>
        <w:t>.</w:t>
      </w:r>
    </w:p>
    <w:p w14:paraId="3D1A130E" w14:textId="77777777" w:rsidR="00D71927" w:rsidRPr="00726415" w:rsidRDefault="00D71927" w:rsidP="00D71927">
      <w:pPr>
        <w:pStyle w:val="NormalWeb"/>
        <w:jc w:val="center"/>
        <w:rPr>
          <w:rFonts w:ascii="AvantGarde Bk BT" w:hAnsi="AvantGarde Bk BT" w:cs="Arial"/>
          <w:b/>
          <w:color w:val="000000" w:themeColor="text1"/>
          <w:lang w:val="es-MX"/>
        </w:rPr>
      </w:pPr>
      <w:r w:rsidRPr="00726415">
        <w:rPr>
          <w:rFonts w:ascii="AvantGarde Bk BT" w:hAnsi="AvantGarde Bk BT" w:cs="Arial"/>
          <w:b/>
          <w:color w:val="000000" w:themeColor="text1"/>
          <w:lang w:val="es-MX"/>
        </w:rPr>
        <w:t>SECRETARIA DE PLENO</w:t>
      </w:r>
    </w:p>
    <w:p w14:paraId="2C59D030" w14:textId="77777777" w:rsidR="00D71927" w:rsidRPr="00726415" w:rsidRDefault="00D71927" w:rsidP="00D71927">
      <w:pPr>
        <w:pStyle w:val="NormalWeb"/>
        <w:rPr>
          <w:rFonts w:ascii="AvantGarde Bk BT" w:hAnsi="AvantGarde Bk BT" w:cs="Arial"/>
          <w:b/>
          <w:color w:val="000000" w:themeColor="text1"/>
          <w:lang w:val="es-MX"/>
        </w:rPr>
      </w:pPr>
    </w:p>
    <w:p w14:paraId="4FBE8F4C" w14:textId="77777777" w:rsidR="00557DE4" w:rsidRPr="00726415" w:rsidRDefault="00D71927" w:rsidP="00557DE4">
      <w:pPr>
        <w:pStyle w:val="NormalWeb"/>
        <w:spacing w:line="600" w:lineRule="auto"/>
        <w:contextualSpacing/>
        <w:jc w:val="center"/>
        <w:rPr>
          <w:rFonts w:ascii="AvantGarde Bk BT" w:hAnsi="AvantGarde Bk BT" w:cs="Arial"/>
          <w:b/>
          <w:color w:val="000000" w:themeColor="text1"/>
          <w:lang w:val="es-MX"/>
        </w:rPr>
      </w:pPr>
      <w:r w:rsidRPr="00726415">
        <w:rPr>
          <w:rFonts w:ascii="AvantGarde Bk BT" w:hAnsi="AvantGarde Bk BT" w:cs="Arial"/>
          <w:b/>
          <w:color w:val="000000" w:themeColor="text1"/>
          <w:lang w:val="es-MX"/>
        </w:rPr>
        <w:t>LIC. ROSA MARÍA MOTILLA GARCÍA.</w:t>
      </w:r>
    </w:p>
    <w:p w14:paraId="59C8D7FB" w14:textId="77777777" w:rsidR="00557DE4" w:rsidRPr="00726415" w:rsidRDefault="0068215D" w:rsidP="00557DE4">
      <w:pPr>
        <w:pStyle w:val="NormalWeb"/>
        <w:contextualSpacing/>
        <w:rPr>
          <w:rFonts w:ascii="AvantGarde Bk BT" w:hAnsi="AvantGarde Bk BT" w:cs="Arial"/>
          <w:color w:val="000000" w:themeColor="text1"/>
          <w:sz w:val="16"/>
          <w:szCs w:val="16"/>
          <w:vertAlign w:val="superscript"/>
        </w:rPr>
      </w:pPr>
      <w:r w:rsidRPr="00726415">
        <w:rPr>
          <w:rFonts w:ascii="AvantGarde Bk BT" w:hAnsi="AvantGarde Bk BT" w:cs="Arial"/>
          <w:color w:val="000000" w:themeColor="text1"/>
          <w:sz w:val="16"/>
          <w:szCs w:val="16"/>
          <w:vertAlign w:val="superscript"/>
        </w:rPr>
        <w:t>MAI</w:t>
      </w:r>
      <w:r w:rsidR="00D71927" w:rsidRPr="00726415">
        <w:rPr>
          <w:rFonts w:ascii="AvantGarde Bk BT" w:hAnsi="AvantGarde Bk BT" w:cs="Arial"/>
          <w:color w:val="000000" w:themeColor="text1"/>
          <w:sz w:val="16"/>
          <w:szCs w:val="16"/>
          <w:vertAlign w:val="superscript"/>
        </w:rPr>
        <w:t>.</w:t>
      </w:r>
    </w:p>
    <w:p w14:paraId="41A776EA" w14:textId="7E9C1C85" w:rsidR="005873DB" w:rsidRPr="003B7E49" w:rsidRDefault="00D71927" w:rsidP="003B7E49">
      <w:pPr>
        <w:pStyle w:val="NormalWeb"/>
        <w:contextualSpacing/>
        <w:jc w:val="both"/>
        <w:rPr>
          <w:rFonts w:ascii="AvantGarde Bk BT" w:hAnsi="AvantGarde Bk BT" w:cs="Arial"/>
          <w:color w:val="000000" w:themeColor="text1"/>
          <w:sz w:val="14"/>
          <w:szCs w:val="14"/>
        </w:rPr>
      </w:pPr>
      <w:r w:rsidRPr="003B7E49">
        <w:rPr>
          <w:rFonts w:ascii="AvantGarde Bk BT" w:hAnsi="AvantGarde Bk BT" w:cs="Arial"/>
          <w:color w:val="000000" w:themeColor="text1"/>
          <w:sz w:val="14"/>
          <w:szCs w:val="14"/>
        </w:rPr>
        <w:t>(Estas firmas corresponden a la resolución dictada por el Pleno de la Comisión Estatal de Garantía de Acceso a la Información Públi</w:t>
      </w:r>
      <w:r w:rsidR="003B7E49" w:rsidRPr="003B7E49">
        <w:rPr>
          <w:rFonts w:ascii="AvantGarde Bk BT" w:hAnsi="AvantGarde Bk BT" w:cs="Arial"/>
          <w:color w:val="000000" w:themeColor="text1"/>
          <w:sz w:val="14"/>
          <w:szCs w:val="14"/>
        </w:rPr>
        <w:t xml:space="preserve">ca de San Luis Potosí en sesión </w:t>
      </w:r>
      <w:r w:rsidRPr="003B7E49">
        <w:rPr>
          <w:rFonts w:ascii="AvantGarde Bk BT" w:hAnsi="AvantGarde Bk BT" w:cs="Arial"/>
          <w:color w:val="000000" w:themeColor="text1"/>
          <w:sz w:val="14"/>
          <w:szCs w:val="14"/>
        </w:rPr>
        <w:t xml:space="preserve">ordinaria de </w:t>
      </w:r>
      <w:r w:rsidR="00486EEA" w:rsidRPr="003B7E49">
        <w:rPr>
          <w:rFonts w:ascii="AvantGarde Bk BT" w:hAnsi="AvantGarde Bk BT" w:cs="Arial"/>
          <w:color w:val="000000" w:themeColor="text1"/>
          <w:sz w:val="14"/>
          <w:szCs w:val="14"/>
        </w:rPr>
        <w:t xml:space="preserve">veintiséis de junio </w:t>
      </w:r>
      <w:r w:rsidR="006A5086" w:rsidRPr="003B7E49">
        <w:rPr>
          <w:rFonts w:ascii="AvantGarde Bk BT" w:hAnsi="AvantGarde Bk BT" w:cs="Arial"/>
          <w:color w:val="000000" w:themeColor="text1"/>
          <w:sz w:val="14"/>
          <w:szCs w:val="14"/>
        </w:rPr>
        <w:t>de dos mil veintiséis</w:t>
      </w:r>
      <w:r w:rsidRPr="003B7E49">
        <w:rPr>
          <w:rFonts w:ascii="AvantGarde Bk BT" w:hAnsi="AvantGarde Bk BT" w:cs="Arial"/>
          <w:color w:val="000000" w:themeColor="text1"/>
          <w:sz w:val="14"/>
          <w:szCs w:val="14"/>
        </w:rPr>
        <w:t>, dentro de los autos del recurso de revisi</w:t>
      </w:r>
      <w:r w:rsidR="00A1601E" w:rsidRPr="003B7E49">
        <w:rPr>
          <w:rFonts w:ascii="AvantGarde Bk BT" w:hAnsi="AvantGarde Bk BT" w:cs="Arial"/>
          <w:color w:val="000000" w:themeColor="text1"/>
          <w:sz w:val="14"/>
          <w:szCs w:val="14"/>
        </w:rPr>
        <w:t>ón RR-</w:t>
      </w:r>
      <w:r w:rsidR="00486EEA" w:rsidRPr="003B7E49">
        <w:rPr>
          <w:rFonts w:ascii="AvantGarde Bk BT" w:hAnsi="AvantGarde Bk BT" w:cs="Arial"/>
          <w:color w:val="000000" w:themeColor="text1"/>
          <w:sz w:val="14"/>
          <w:szCs w:val="14"/>
        </w:rPr>
        <w:t>018</w:t>
      </w:r>
      <w:r w:rsidR="00014F22" w:rsidRPr="003B7E49">
        <w:rPr>
          <w:rFonts w:ascii="AvantGarde Bk BT" w:hAnsi="AvantGarde Bk BT" w:cs="Arial"/>
          <w:color w:val="000000" w:themeColor="text1"/>
          <w:sz w:val="14"/>
          <w:szCs w:val="14"/>
        </w:rPr>
        <w:t>/2026</w:t>
      </w:r>
      <w:r w:rsidRPr="003B7E49">
        <w:rPr>
          <w:rFonts w:ascii="AvantGarde Bk BT" w:hAnsi="AvantGarde Bk BT" w:cs="Arial"/>
          <w:color w:val="000000" w:themeColor="text1"/>
          <w:sz w:val="14"/>
          <w:szCs w:val="14"/>
        </w:rPr>
        <w:t>-1</w:t>
      </w:r>
      <w:r w:rsidR="00486EEA" w:rsidRPr="003B7E49">
        <w:rPr>
          <w:rFonts w:ascii="AvantGarde Bk BT" w:hAnsi="AvantGarde Bk BT" w:cs="Arial"/>
          <w:color w:val="000000" w:themeColor="text1"/>
          <w:sz w:val="14"/>
          <w:szCs w:val="14"/>
        </w:rPr>
        <w:t xml:space="preserve"> OP</w:t>
      </w:r>
      <w:r w:rsidRPr="003B7E49">
        <w:rPr>
          <w:rFonts w:ascii="AvantGarde Bk BT" w:hAnsi="AvantGarde Bk BT" w:cs="Arial"/>
          <w:color w:val="000000" w:themeColor="text1"/>
          <w:sz w:val="14"/>
          <w:szCs w:val="14"/>
        </w:rPr>
        <w:t>.)</w:t>
      </w:r>
    </w:p>
    <w:p w14:paraId="3BA96634" w14:textId="64508DFE" w:rsidR="00AF7E34" w:rsidRPr="003B7E49" w:rsidRDefault="00AF7E34" w:rsidP="00AF7E34">
      <w:pPr>
        <w:pStyle w:val="NormalWeb"/>
        <w:contextualSpacing/>
        <w:rPr>
          <w:rFonts w:ascii="AvantGarde Bk BT" w:hAnsi="AvantGarde Bk BT" w:cs="Arial"/>
          <w:b/>
          <w:color w:val="000000" w:themeColor="text1"/>
          <w:sz w:val="12"/>
          <w:szCs w:val="12"/>
          <w:lang w:val="es-MX"/>
        </w:rPr>
      </w:pPr>
    </w:p>
    <w:sectPr w:rsidR="00AF7E34" w:rsidRPr="003B7E49"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D2683" w14:textId="77777777" w:rsidR="00170645" w:rsidRDefault="00170645" w:rsidP="003864ED">
      <w:pPr>
        <w:spacing w:after="0" w:line="240" w:lineRule="auto"/>
      </w:pPr>
      <w:r>
        <w:separator/>
      </w:r>
    </w:p>
  </w:endnote>
  <w:endnote w:type="continuationSeparator" w:id="0">
    <w:p w14:paraId="77BD5529" w14:textId="77777777" w:rsidR="00170645" w:rsidRDefault="00170645"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9221E2" w:rsidRDefault="009221E2">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096CF" w14:textId="77777777" w:rsidR="00170645" w:rsidRDefault="00170645" w:rsidP="003864ED">
      <w:pPr>
        <w:spacing w:after="0" w:line="240" w:lineRule="auto"/>
      </w:pPr>
      <w:r>
        <w:separator/>
      </w:r>
    </w:p>
  </w:footnote>
  <w:footnote w:type="continuationSeparator" w:id="0">
    <w:p w14:paraId="4892FE50" w14:textId="77777777" w:rsidR="00170645" w:rsidRDefault="00170645" w:rsidP="003864ED">
      <w:pPr>
        <w:spacing w:after="0" w:line="240" w:lineRule="auto"/>
      </w:pPr>
      <w:r>
        <w:continuationSeparator/>
      </w:r>
    </w:p>
  </w:footnote>
  <w:footnote w:id="1">
    <w:p w14:paraId="12F2DA26" w14:textId="77777777" w:rsidR="009221E2" w:rsidRPr="009E3945" w:rsidRDefault="009221E2" w:rsidP="00847C98">
      <w:pPr>
        <w:pStyle w:val="Textonotapie"/>
        <w:jc w:val="both"/>
        <w:rPr>
          <w:sz w:val="16"/>
          <w:szCs w:val="16"/>
        </w:rPr>
      </w:pPr>
      <w:r w:rsidRPr="009E3945">
        <w:rPr>
          <w:rStyle w:val="Refdenotaalpie"/>
          <w:sz w:val="16"/>
          <w:szCs w:val="16"/>
        </w:rPr>
        <w:footnoteRef/>
      </w:r>
      <w:r w:rsidRPr="009E3945">
        <w:rPr>
          <w:sz w:val="16"/>
          <w:szCs w:val="16"/>
        </w:rPr>
        <w:t xml:space="preserve"> Suprema Corte de Justicia de la Nación, Registro digital: 164618, Instancia: Segunda Sala, Novena Época, Materias(s): Común, Tesis: 2a./J. 58/2010, Fuente: Semanario Judicial de la Federación y su Gaceta. Tomo XXXI, </w:t>
      </w:r>
      <w:proofErr w:type="gramStart"/>
      <w:r w:rsidRPr="009E3945">
        <w:rPr>
          <w:sz w:val="16"/>
          <w:szCs w:val="16"/>
        </w:rPr>
        <w:t>Mayo</w:t>
      </w:r>
      <w:proofErr w:type="gramEnd"/>
      <w:r w:rsidRPr="009E3945">
        <w:rPr>
          <w:sz w:val="16"/>
          <w:szCs w:val="16"/>
        </w:rPr>
        <w:t xml:space="preserve"> de 2010, página 830, Tipo: Jurisprudencia.</w:t>
      </w:r>
    </w:p>
  </w:footnote>
  <w:footnote w:id="2">
    <w:p w14:paraId="56EB5E0D" w14:textId="77777777" w:rsidR="009221E2" w:rsidRPr="00D13DB0" w:rsidRDefault="009221E2" w:rsidP="00182D88">
      <w:pPr>
        <w:pStyle w:val="Textonotapie"/>
        <w:jc w:val="both"/>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II. La información </w:t>
      </w:r>
      <w:r w:rsidRPr="00D23F98">
        <w:rPr>
          <w:rFonts w:ascii="Arial" w:hAnsi="Arial" w:cs="Arial"/>
          <w:sz w:val="16"/>
          <w:szCs w:val="16"/>
        </w:rPr>
        <w:t>que se refiere a la vida privada y los datos personales será protegida en los términos y con las excepciones que fijen las leyes.</w:t>
      </w:r>
      <w:r w:rsidRPr="00D13DB0">
        <w:rPr>
          <w:rFonts w:ascii="Arial" w:hAnsi="Arial" w:cs="Arial"/>
          <w:sz w:val="16"/>
          <w:szCs w:val="16"/>
        </w:rPr>
        <w:t xml:space="preserve">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3">
    <w:p w14:paraId="1E83F303" w14:textId="77777777" w:rsidR="009221E2" w:rsidRDefault="009221E2" w:rsidP="00182D88">
      <w:pPr>
        <w:pStyle w:val="Textonotapie"/>
        <w:jc w:val="both"/>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p>
    <w:p w14:paraId="470E8F35" w14:textId="77777777" w:rsidR="009221E2" w:rsidRDefault="009221E2" w:rsidP="00182D88">
      <w:pPr>
        <w:pStyle w:val="Textonotapie"/>
        <w:jc w:val="both"/>
        <w:rPr>
          <w:rFonts w:ascii="Arial" w:hAnsi="Arial" w:cs="Arial"/>
          <w:sz w:val="16"/>
          <w:szCs w:val="16"/>
        </w:rPr>
      </w:pPr>
      <w:r w:rsidRPr="00D13DB0">
        <w:rPr>
          <w:rFonts w:ascii="Arial" w:hAnsi="Arial" w:cs="Arial"/>
          <w:sz w:val="16"/>
          <w:szCs w:val="16"/>
        </w:rPr>
        <w:t>El derecho a la información será garantizado por el Estado.</w:t>
      </w:r>
      <w:r w:rsidRPr="00D13DB0">
        <w:rPr>
          <w:rFonts w:eastAsiaTheme="minorHAnsi"/>
          <w:sz w:val="22"/>
          <w:szCs w:val="22"/>
          <w:lang w:eastAsia="en-US"/>
        </w:rPr>
        <w:t xml:space="preserve"> </w:t>
      </w:r>
      <w:r w:rsidRPr="00D13DB0">
        <w:rPr>
          <w:rFonts w:ascii="Arial" w:hAnsi="Arial" w:cs="Arial"/>
          <w:sz w:val="16"/>
          <w:szCs w:val="16"/>
        </w:rPr>
        <w:t>Toda persona tiene derecho al libre acceso a información plural y oportuna, así como a buscar, recibir y difundir información e ideas de toda índole por cualquier medio de expresión.</w:t>
      </w:r>
    </w:p>
    <w:p w14:paraId="1498CB49" w14:textId="77777777" w:rsidR="009221E2" w:rsidRDefault="009221E2" w:rsidP="00182D88">
      <w:pPr>
        <w:pStyle w:val="Textonotapie"/>
        <w:jc w:val="both"/>
        <w:rPr>
          <w:rFonts w:ascii="Arial" w:hAnsi="Arial" w:cs="Arial"/>
          <w:sz w:val="16"/>
          <w:szCs w:val="16"/>
        </w:rPr>
      </w:pPr>
      <w:r w:rsidRPr="00D13DB0">
        <w:rPr>
          <w:rFonts w:ascii="Arial" w:hAnsi="Arial" w:cs="Arial"/>
          <w:sz w:val="16"/>
          <w:szCs w:val="16"/>
        </w:rPr>
        <w:t xml:space="preserve">A. Para el ejercicio del derecho de acceso a la información, la Federación y las entidades federativas, en el ámbito de sus respectivas competencias, se regirán por los siguientes principios y bases: </w:t>
      </w:r>
    </w:p>
    <w:p w14:paraId="44BB59A1" w14:textId="77777777" w:rsidR="009221E2" w:rsidRDefault="009221E2" w:rsidP="00182D88">
      <w:pPr>
        <w:pStyle w:val="Textonotapie"/>
        <w:jc w:val="both"/>
        <w:rPr>
          <w:rFonts w:ascii="Arial" w:hAnsi="Arial" w:cs="Arial"/>
          <w:sz w:val="16"/>
          <w:szCs w:val="16"/>
        </w:rPr>
      </w:pPr>
      <w:r w:rsidRPr="00D13DB0">
        <w:rPr>
          <w:rFonts w:ascii="Arial" w:hAnsi="Arial" w:cs="Arial"/>
          <w:sz w:val="16"/>
          <w:szCs w:val="16"/>
        </w:rPr>
        <w:t xml:space="preserve">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w:t>
      </w:r>
      <w:r w:rsidRPr="00360628">
        <w:rPr>
          <w:rFonts w:ascii="Arial" w:hAnsi="Arial" w:cs="Arial"/>
          <w:sz w:val="16"/>
          <w:szCs w:val="16"/>
        </w:rPr>
        <w:t>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26A5279" w14:textId="77777777" w:rsidR="009221E2" w:rsidRPr="00360628" w:rsidRDefault="009221E2" w:rsidP="00182D88">
      <w:pPr>
        <w:pStyle w:val="Textonotapie"/>
        <w:jc w:val="both"/>
        <w:rPr>
          <w:rFonts w:ascii="Arial" w:hAnsi="Arial" w:cs="Arial"/>
          <w:sz w:val="16"/>
          <w:szCs w:val="16"/>
        </w:rPr>
      </w:pPr>
      <w:r w:rsidRPr="00EF5307">
        <w:rPr>
          <w:rFonts w:ascii="Arial" w:hAnsi="Arial" w:cs="Arial"/>
          <w:sz w:val="16"/>
          <w:szCs w:val="16"/>
        </w:rPr>
        <w:t>II. La información que se refiere a la vida privada y los datos personales será protegida en los términos y con las excepciones que fijen las leyes.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4">
    <w:p w14:paraId="23EAD5C2" w14:textId="77777777" w:rsidR="009221E2" w:rsidRDefault="009221E2" w:rsidP="00182D88">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Semanario Judicial de la Federación y su Gaceta, Novena Época, Tomo XV, </w:t>
      </w:r>
      <w:proofErr w:type="gramStart"/>
      <w:r>
        <w:rPr>
          <w:rFonts w:ascii="Arial" w:hAnsi="Arial" w:cs="Arial"/>
          <w:sz w:val="16"/>
          <w:szCs w:val="16"/>
        </w:rPr>
        <w:t>Marzo</w:t>
      </w:r>
      <w:proofErr w:type="gramEnd"/>
      <w:r>
        <w:rPr>
          <w:rFonts w:ascii="Arial" w:hAnsi="Arial" w:cs="Arial"/>
          <w:sz w:val="16"/>
          <w:szCs w:val="16"/>
        </w:rPr>
        <w:t xml:space="preserve"> de 2002, página 1284, Tribunales Colegiados de Circuito, Tesis</w:t>
      </w:r>
      <w:r>
        <w:rPr>
          <w:rFonts w:eastAsiaTheme="minorHAnsi"/>
          <w:sz w:val="22"/>
          <w:szCs w:val="22"/>
          <w:lang w:eastAsia="en-US"/>
        </w:rPr>
        <w:t xml:space="preserve"> </w:t>
      </w:r>
      <w:r>
        <w:rPr>
          <w:rFonts w:ascii="Arial" w:hAnsi="Arial" w:cs="Arial"/>
          <w:sz w:val="16"/>
          <w:szCs w:val="16"/>
        </w:rPr>
        <w:t>I.4o.A.341 A, Registro: 187637.</w:t>
      </w:r>
    </w:p>
  </w:footnote>
  <w:footnote w:id="5">
    <w:p w14:paraId="0317393D" w14:textId="77777777" w:rsidR="009221E2" w:rsidRPr="004B6CE4" w:rsidRDefault="009221E2" w:rsidP="00182D88">
      <w:pPr>
        <w:pStyle w:val="Textonotapie"/>
        <w:jc w:val="both"/>
        <w:rPr>
          <w:rFonts w:ascii="Arial" w:hAnsi="Arial" w:cs="Arial"/>
          <w:sz w:val="16"/>
          <w:szCs w:val="16"/>
          <w:lang w:val="es-ES"/>
        </w:rPr>
      </w:pPr>
      <w:r w:rsidRPr="0060272A">
        <w:rPr>
          <w:rStyle w:val="Refdenotaalpie"/>
          <w:sz w:val="16"/>
          <w:szCs w:val="16"/>
        </w:rPr>
        <w:footnoteRef/>
      </w:r>
      <w:r>
        <w:rPr>
          <w:sz w:val="16"/>
          <w:szCs w:val="16"/>
        </w:rPr>
        <w:t xml:space="preserve"> </w:t>
      </w:r>
      <w:r w:rsidRPr="004965FC">
        <w:rPr>
          <w:rFonts w:ascii="Arial" w:eastAsia="Calibri" w:hAnsi="Arial" w:cs="Arial"/>
          <w:sz w:val="16"/>
          <w:szCs w:val="16"/>
          <w:lang w:eastAsia="en-US"/>
        </w:rPr>
        <w:t>Art</w:t>
      </w:r>
      <w:r>
        <w:rPr>
          <w:rFonts w:ascii="Arial" w:eastAsia="Calibri" w:hAnsi="Arial" w:cs="Arial"/>
          <w:sz w:val="16"/>
          <w:szCs w:val="16"/>
          <w:lang w:eastAsia="en-US"/>
        </w:rPr>
        <w:t xml:space="preserve">ículo. 16. </w:t>
      </w:r>
      <w:r w:rsidRPr="004965FC">
        <w:rPr>
          <w:rFonts w:ascii="Arial" w:eastAsia="Calibri" w:hAnsi="Arial" w:cs="Arial"/>
          <w:sz w:val="16"/>
          <w:szCs w:val="16"/>
          <w:lang w:eastAsia="en-US"/>
        </w:rPr>
        <w:t xml:space="preserve">Nadie puede ser molestado en su persona, familia, domicilio, papeles o posesiones, sino en virtud de mandamiento escrito de la autoridad competente, que funde y motive la causa legal del procedimiento.” </w:t>
      </w:r>
      <w:r w:rsidRPr="004965FC">
        <w:rPr>
          <w:rFonts w:ascii="Arial" w:hAnsi="Arial" w:cs="Arial"/>
          <w:sz w:val="16"/>
          <w:szCs w:val="16"/>
        </w:rPr>
        <w:t xml:space="preserve">Artículo 16, de la Constitución Política de los Estados Unidos Mexicanos, con última reforma publicada en el Diario Oficial de la Federación, el </w:t>
      </w:r>
      <w:r w:rsidRPr="004B6CE4">
        <w:rPr>
          <w:rFonts w:ascii="Arial" w:hAnsi="Arial" w:cs="Arial"/>
          <w:sz w:val="16"/>
          <w:szCs w:val="16"/>
        </w:rPr>
        <w:t>17 diecisiete de enero de 2025 dos mil veinticinco.</w:t>
      </w:r>
    </w:p>
  </w:footnote>
  <w:footnote w:id="6">
    <w:p w14:paraId="2CFB90C2" w14:textId="77777777" w:rsidR="009221E2" w:rsidRDefault="009221E2" w:rsidP="00182D88">
      <w:pPr>
        <w:pStyle w:val="Textonotapie"/>
        <w:jc w:val="both"/>
        <w:rPr>
          <w:rFonts w:ascii="Arial" w:hAnsi="Arial" w:cs="Arial"/>
          <w:sz w:val="16"/>
          <w:szCs w:val="16"/>
        </w:rPr>
      </w:pPr>
      <w:r w:rsidRPr="004965FC">
        <w:rPr>
          <w:rStyle w:val="Refdenotaalpie"/>
          <w:rFonts w:ascii="Arial" w:hAnsi="Arial" w:cs="Arial"/>
          <w:sz w:val="16"/>
          <w:szCs w:val="16"/>
        </w:rPr>
        <w:footnoteRef/>
      </w:r>
      <w:r w:rsidRPr="004965FC">
        <w:rPr>
          <w:rFonts w:ascii="Arial" w:hAnsi="Arial" w:cs="Arial"/>
          <w:sz w:val="16"/>
          <w:szCs w:val="16"/>
        </w:rPr>
        <w:t xml:space="preserve"> ARTÍCULO 164. Son elementos del acto administrativo: </w:t>
      </w:r>
    </w:p>
    <w:p w14:paraId="49ED33C7" w14:textId="77777777" w:rsidR="009221E2" w:rsidRDefault="009221E2" w:rsidP="00182D88">
      <w:pPr>
        <w:pStyle w:val="Textonotapie"/>
        <w:jc w:val="both"/>
        <w:rPr>
          <w:rFonts w:ascii="Arial" w:hAnsi="Arial" w:cs="Arial"/>
          <w:sz w:val="16"/>
          <w:szCs w:val="16"/>
        </w:rPr>
      </w:pPr>
      <w:r w:rsidRPr="004965FC">
        <w:rPr>
          <w:rFonts w:ascii="Arial" w:hAnsi="Arial" w:cs="Arial"/>
          <w:sz w:val="16"/>
          <w:szCs w:val="16"/>
        </w:rPr>
        <w:t xml:space="preserve">I. Ser expedido por autoridades competentes, a través de servidor público u órgano colegiado facultados para tal efecto, y en términos de las disposiciones jurídicas aplicables; </w:t>
      </w:r>
    </w:p>
    <w:p w14:paraId="2BE826D8" w14:textId="77777777" w:rsidR="009221E2" w:rsidRDefault="009221E2" w:rsidP="00182D88">
      <w:pPr>
        <w:pStyle w:val="Textonotapie"/>
        <w:jc w:val="both"/>
        <w:rPr>
          <w:rFonts w:ascii="Arial" w:hAnsi="Arial" w:cs="Arial"/>
          <w:sz w:val="16"/>
          <w:szCs w:val="16"/>
        </w:rPr>
      </w:pPr>
      <w:r w:rsidRPr="004965FC">
        <w:rPr>
          <w:rFonts w:ascii="Arial" w:hAnsi="Arial" w:cs="Arial"/>
          <w:sz w:val="16"/>
          <w:szCs w:val="16"/>
        </w:rPr>
        <w:t xml:space="preserve">II. Que su objeto esté previsto por el ordenamiento jurídico aplicable, determinado o determinable y preciso en cuanto a las circunstancias de tiempo y lugar; </w:t>
      </w:r>
    </w:p>
    <w:p w14:paraId="0427063D" w14:textId="77777777" w:rsidR="009221E2" w:rsidRDefault="009221E2" w:rsidP="00182D88">
      <w:pPr>
        <w:pStyle w:val="Textonotapie"/>
        <w:jc w:val="both"/>
        <w:rPr>
          <w:rFonts w:ascii="Arial" w:hAnsi="Arial" w:cs="Arial"/>
          <w:sz w:val="16"/>
          <w:szCs w:val="16"/>
        </w:rPr>
      </w:pPr>
      <w:r w:rsidRPr="004965FC">
        <w:rPr>
          <w:rFonts w:ascii="Arial" w:hAnsi="Arial" w:cs="Arial"/>
          <w:sz w:val="16"/>
          <w:szCs w:val="16"/>
        </w:rPr>
        <w:t xml:space="preserve">III. Cumplir con la finalidad de interés público, derivado de las normas jurídicas que regulen la materia; </w:t>
      </w:r>
    </w:p>
    <w:p w14:paraId="6826F680" w14:textId="77777777" w:rsidR="009221E2" w:rsidRDefault="009221E2" w:rsidP="00182D88">
      <w:pPr>
        <w:pStyle w:val="Textonotapie"/>
        <w:jc w:val="both"/>
        <w:rPr>
          <w:rFonts w:ascii="Arial" w:hAnsi="Arial" w:cs="Arial"/>
          <w:sz w:val="16"/>
          <w:szCs w:val="16"/>
        </w:rPr>
      </w:pPr>
      <w:r w:rsidRPr="004965FC">
        <w:rPr>
          <w:rFonts w:ascii="Arial" w:hAnsi="Arial" w:cs="Arial"/>
          <w:sz w:val="16"/>
          <w:szCs w:val="16"/>
        </w:rPr>
        <w:t xml:space="preserve">IV. Constar por escrito, indicando la autoridad de que emana; </w:t>
      </w:r>
    </w:p>
    <w:p w14:paraId="39CB6A03" w14:textId="77777777" w:rsidR="009221E2" w:rsidRDefault="009221E2" w:rsidP="00182D88">
      <w:pPr>
        <w:pStyle w:val="Textonotapie"/>
        <w:jc w:val="both"/>
        <w:rPr>
          <w:rFonts w:ascii="Arial" w:hAnsi="Arial" w:cs="Arial"/>
          <w:sz w:val="16"/>
          <w:szCs w:val="16"/>
        </w:rPr>
      </w:pPr>
      <w:r w:rsidRPr="004965FC">
        <w:rPr>
          <w:rFonts w:ascii="Arial" w:hAnsi="Arial" w:cs="Arial"/>
          <w:sz w:val="16"/>
          <w:szCs w:val="16"/>
        </w:rPr>
        <w:t xml:space="preserve">V. Estar fundado y motivado; </w:t>
      </w:r>
      <w:r>
        <w:rPr>
          <w:rFonts w:ascii="Arial" w:hAnsi="Arial" w:cs="Arial"/>
          <w:sz w:val="16"/>
          <w:szCs w:val="16"/>
        </w:rPr>
        <w:t>y</w:t>
      </w:r>
    </w:p>
    <w:p w14:paraId="4BAEC2F1" w14:textId="77777777" w:rsidR="009221E2" w:rsidRPr="008F0B57" w:rsidRDefault="009221E2" w:rsidP="00182D88">
      <w:pPr>
        <w:pStyle w:val="Textonotapie"/>
        <w:jc w:val="both"/>
        <w:rPr>
          <w:rFonts w:ascii="Arial" w:hAnsi="Arial" w:cs="Arial"/>
          <w:sz w:val="16"/>
          <w:szCs w:val="16"/>
        </w:rPr>
      </w:pPr>
      <w:r w:rsidRPr="004965FC">
        <w:rPr>
          <w:rFonts w:ascii="Arial" w:hAnsi="Arial" w:cs="Arial"/>
          <w:sz w:val="16"/>
          <w:szCs w:val="16"/>
        </w:rPr>
        <w:t xml:space="preserve">VI. Ser </w:t>
      </w:r>
      <w:r w:rsidRPr="008F0B57">
        <w:rPr>
          <w:rFonts w:ascii="Arial" w:hAnsi="Arial" w:cs="Arial"/>
          <w:sz w:val="16"/>
          <w:szCs w:val="16"/>
        </w:rPr>
        <w:t xml:space="preserve">expedido sin que </w:t>
      </w:r>
      <w:proofErr w:type="gramStart"/>
      <w:r>
        <w:rPr>
          <w:rFonts w:ascii="Arial" w:hAnsi="Arial" w:cs="Arial"/>
          <w:sz w:val="16"/>
          <w:szCs w:val="16"/>
        </w:rPr>
        <w:t>medie</w:t>
      </w:r>
      <w:proofErr w:type="gramEnd"/>
      <w:r w:rsidRPr="008F0B57">
        <w:rPr>
          <w:rFonts w:ascii="Arial" w:hAnsi="Arial" w:cs="Arial"/>
          <w:sz w:val="16"/>
          <w:szCs w:val="16"/>
        </w:rPr>
        <w:t xml:space="preserve"> error de hecho o de derecho sobre el objeto, causa o motivo,</w:t>
      </w:r>
      <w:r>
        <w:rPr>
          <w:rFonts w:ascii="Arial" w:hAnsi="Arial" w:cs="Arial"/>
          <w:sz w:val="16"/>
          <w:szCs w:val="16"/>
        </w:rPr>
        <w:t xml:space="preserve"> o fin del acto y su emisión, </w:t>
      </w:r>
      <w:r w:rsidRPr="008F0B57">
        <w:rPr>
          <w:rFonts w:ascii="Arial" w:hAnsi="Arial" w:cs="Arial"/>
          <w:sz w:val="16"/>
          <w:szCs w:val="16"/>
        </w:rPr>
        <w:t>VII. Ser expedido sin que medie dolo o violencia en su emisión.</w:t>
      </w:r>
    </w:p>
  </w:footnote>
  <w:footnote w:id="7">
    <w:p w14:paraId="0A7966D4" w14:textId="77777777" w:rsidR="009221E2" w:rsidRDefault="009221E2" w:rsidP="00182D88">
      <w:pPr>
        <w:pStyle w:val="Textonotapie"/>
        <w:jc w:val="both"/>
        <w:rPr>
          <w:rFonts w:ascii="Arial" w:hAnsi="Arial" w:cs="Arial"/>
          <w:sz w:val="16"/>
          <w:szCs w:val="16"/>
        </w:rPr>
      </w:pPr>
      <w:r w:rsidRPr="008F0B57">
        <w:rPr>
          <w:rStyle w:val="Refdenotaalpie"/>
          <w:rFonts w:ascii="Arial" w:hAnsi="Arial" w:cs="Arial"/>
          <w:sz w:val="16"/>
          <w:szCs w:val="16"/>
        </w:rPr>
        <w:footnoteRef/>
      </w:r>
      <w:r w:rsidRPr="008F0B57">
        <w:rPr>
          <w:rFonts w:ascii="Arial" w:hAnsi="Arial" w:cs="Arial"/>
          <w:sz w:val="16"/>
          <w:szCs w:val="16"/>
        </w:rPr>
        <w:t xml:space="preserve"> ARTÍCULO 165. Son requisitos del acto administrativo: </w:t>
      </w:r>
    </w:p>
    <w:p w14:paraId="6E6A8D3B" w14:textId="77777777" w:rsidR="009221E2" w:rsidRDefault="009221E2" w:rsidP="00182D88">
      <w:pPr>
        <w:pStyle w:val="Textonotapie"/>
        <w:jc w:val="both"/>
        <w:rPr>
          <w:rFonts w:ascii="Arial" w:hAnsi="Arial" w:cs="Arial"/>
          <w:sz w:val="16"/>
          <w:szCs w:val="16"/>
        </w:rPr>
      </w:pPr>
      <w:r w:rsidRPr="008F0B57">
        <w:rPr>
          <w:rFonts w:ascii="Arial" w:hAnsi="Arial" w:cs="Arial"/>
          <w:sz w:val="16"/>
          <w:szCs w:val="16"/>
        </w:rPr>
        <w:t xml:space="preserve">I. Que cumpla con las formalidades del procedimiento; </w:t>
      </w:r>
    </w:p>
    <w:p w14:paraId="08B915CF" w14:textId="77777777" w:rsidR="009221E2" w:rsidRDefault="009221E2" w:rsidP="00182D88">
      <w:pPr>
        <w:pStyle w:val="Textonotapie"/>
        <w:jc w:val="both"/>
        <w:rPr>
          <w:rFonts w:ascii="Arial" w:hAnsi="Arial" w:cs="Arial"/>
          <w:sz w:val="16"/>
          <w:szCs w:val="16"/>
        </w:rPr>
      </w:pPr>
      <w:r w:rsidRPr="008F0B57">
        <w:rPr>
          <w:rFonts w:ascii="Arial" w:hAnsi="Arial" w:cs="Arial"/>
          <w:sz w:val="16"/>
          <w:szCs w:val="16"/>
        </w:rPr>
        <w:t xml:space="preserve">II. Que se encuentre adecuadamente fundado y motivado; </w:t>
      </w:r>
    </w:p>
    <w:p w14:paraId="3F8665F7" w14:textId="77777777" w:rsidR="009221E2" w:rsidRDefault="009221E2" w:rsidP="00182D88">
      <w:pPr>
        <w:pStyle w:val="Textonotapie"/>
        <w:jc w:val="both"/>
        <w:rPr>
          <w:rFonts w:ascii="Arial" w:hAnsi="Arial" w:cs="Arial"/>
          <w:sz w:val="16"/>
          <w:szCs w:val="16"/>
        </w:rPr>
      </w:pPr>
      <w:r w:rsidRPr="008F0B57">
        <w:rPr>
          <w:rFonts w:ascii="Arial" w:hAnsi="Arial" w:cs="Arial"/>
          <w:sz w:val="16"/>
          <w:szCs w:val="16"/>
        </w:rPr>
        <w:t xml:space="preserve">III. Que se expida de manera congruente con lo solicitado y resolver expresamente todos los puntos propuestos por el interesado o previstos por las normas. </w:t>
      </w:r>
    </w:p>
    <w:p w14:paraId="22027E50" w14:textId="77777777" w:rsidR="009221E2" w:rsidRDefault="009221E2" w:rsidP="00182D88">
      <w:pPr>
        <w:pStyle w:val="Textonotapie"/>
        <w:jc w:val="both"/>
        <w:rPr>
          <w:rFonts w:ascii="Arial" w:hAnsi="Arial" w:cs="Arial"/>
          <w:sz w:val="16"/>
          <w:szCs w:val="16"/>
        </w:rPr>
      </w:pPr>
      <w:r w:rsidRPr="008F0B57">
        <w:rPr>
          <w:rFonts w:ascii="Arial" w:hAnsi="Arial" w:cs="Arial"/>
          <w:sz w:val="16"/>
          <w:szCs w:val="16"/>
        </w:rPr>
        <w:t xml:space="preserve">IV. Que en su expedición se señale lugar y fecha de emisión; </w:t>
      </w:r>
    </w:p>
    <w:p w14:paraId="54B484C6" w14:textId="77777777" w:rsidR="009221E2" w:rsidRDefault="009221E2" w:rsidP="00182D88">
      <w:pPr>
        <w:pStyle w:val="Textonotapie"/>
        <w:jc w:val="both"/>
        <w:rPr>
          <w:rFonts w:ascii="Arial" w:hAnsi="Arial" w:cs="Arial"/>
          <w:sz w:val="16"/>
          <w:szCs w:val="16"/>
        </w:rPr>
      </w:pPr>
      <w:r w:rsidRPr="008F0B57">
        <w:rPr>
          <w:rFonts w:ascii="Arial" w:hAnsi="Arial" w:cs="Arial"/>
          <w:sz w:val="16"/>
          <w:szCs w:val="16"/>
        </w:rPr>
        <w:t xml:space="preserve">V. Tratándose de actos administrativos que deban notificarse deberá hacerse mención de la oficina en que se encuentra y pueda ser consultado el expediente respectivo, y </w:t>
      </w:r>
    </w:p>
    <w:p w14:paraId="2C56853C" w14:textId="77777777" w:rsidR="009221E2" w:rsidRPr="008F0B57" w:rsidRDefault="009221E2" w:rsidP="00182D88">
      <w:pPr>
        <w:pStyle w:val="Textonotapie"/>
        <w:jc w:val="both"/>
        <w:rPr>
          <w:rFonts w:ascii="Arial" w:hAnsi="Arial" w:cs="Arial"/>
          <w:sz w:val="16"/>
          <w:szCs w:val="16"/>
        </w:rPr>
      </w:pPr>
      <w:r w:rsidRPr="008F0B57">
        <w:rPr>
          <w:rFonts w:ascii="Arial" w:hAnsi="Arial" w:cs="Arial"/>
          <w:sz w:val="16"/>
          <w:szCs w:val="16"/>
        </w:rPr>
        <w:t>VI. Tratándose de actos administrativos recurribles, deberá mencionarse el recurso que proceda y el término con que se cuenta para interponerlo, así como la autoridad ante la cual puede ser presentado. […]”.</w:t>
      </w:r>
    </w:p>
  </w:footnote>
  <w:footnote w:id="8">
    <w:p w14:paraId="0E421874" w14:textId="77777777" w:rsidR="009221E2" w:rsidRPr="003D22C9" w:rsidRDefault="009221E2" w:rsidP="00182D88">
      <w:pPr>
        <w:pStyle w:val="Textonotapie"/>
        <w:jc w:val="both"/>
        <w:rPr>
          <w:rFonts w:ascii="Arial" w:hAnsi="Arial" w:cs="Arial"/>
          <w:sz w:val="16"/>
          <w:szCs w:val="16"/>
        </w:rPr>
      </w:pPr>
      <w:r w:rsidRPr="00557FA0">
        <w:rPr>
          <w:rStyle w:val="Refdenotaalpie"/>
          <w:rFonts w:ascii="Arial" w:hAnsi="Arial" w:cs="Arial"/>
          <w:sz w:val="16"/>
          <w:szCs w:val="16"/>
        </w:rPr>
        <w:footnoteRef/>
      </w:r>
      <w:r w:rsidRPr="00557FA0">
        <w:rPr>
          <w:rFonts w:ascii="Arial" w:hAnsi="Arial" w:cs="Arial"/>
          <w:sz w:val="16"/>
          <w:szCs w:val="16"/>
        </w:rPr>
        <w:t xml:space="preserve"> Cfr. Jurisprudencia número </w:t>
      </w:r>
      <w:r>
        <w:rPr>
          <w:rFonts w:ascii="Arial" w:hAnsi="Arial" w:cs="Arial"/>
          <w:sz w:val="16"/>
          <w:szCs w:val="16"/>
        </w:rPr>
        <w:t>VI. 2o. J/248</w:t>
      </w:r>
      <w:r w:rsidRPr="00557FA0">
        <w:rPr>
          <w:rFonts w:ascii="Arial" w:hAnsi="Arial" w:cs="Arial"/>
          <w:sz w:val="16"/>
          <w:szCs w:val="16"/>
        </w:rPr>
        <w:t xml:space="preserve">, visible en la Octava Época, de la Gaceta del Semanario Judicial de la </w:t>
      </w:r>
      <w:r w:rsidRPr="003D22C9">
        <w:rPr>
          <w:rFonts w:ascii="Arial" w:hAnsi="Arial" w:cs="Arial"/>
          <w:sz w:val="16"/>
          <w:szCs w:val="16"/>
        </w:rPr>
        <w:t xml:space="preserve">Federación, Núm. 64, </w:t>
      </w:r>
      <w:proofErr w:type="gramStart"/>
      <w:r w:rsidRPr="003D22C9">
        <w:rPr>
          <w:rFonts w:ascii="Arial" w:hAnsi="Arial" w:cs="Arial"/>
          <w:sz w:val="16"/>
          <w:szCs w:val="16"/>
        </w:rPr>
        <w:t>Abril</w:t>
      </w:r>
      <w:proofErr w:type="gramEnd"/>
      <w:r w:rsidRPr="003D22C9">
        <w:rPr>
          <w:rFonts w:ascii="Arial" w:hAnsi="Arial" w:cs="Arial"/>
          <w:sz w:val="16"/>
          <w:szCs w:val="16"/>
        </w:rPr>
        <w:t xml:space="preserve"> de 1993, página 43. Instancia: Tribunales Colegiados de Circuito, con Registro electrónico: 216534.</w:t>
      </w:r>
    </w:p>
  </w:footnote>
  <w:footnote w:id="9">
    <w:p w14:paraId="18B0E2D3" w14:textId="77777777" w:rsidR="009221E2" w:rsidRPr="00C36858" w:rsidRDefault="009221E2" w:rsidP="00182D88">
      <w:pPr>
        <w:pStyle w:val="Textonotapie"/>
        <w:jc w:val="both"/>
        <w:rPr>
          <w:rFonts w:ascii="Arial" w:hAnsi="Arial" w:cs="Arial"/>
          <w:sz w:val="16"/>
          <w:szCs w:val="16"/>
        </w:rPr>
      </w:pPr>
      <w:r w:rsidRPr="00C36858">
        <w:rPr>
          <w:rStyle w:val="Refdenotaalpie"/>
          <w:rFonts w:ascii="Arial" w:hAnsi="Arial" w:cs="Arial"/>
          <w:sz w:val="16"/>
          <w:szCs w:val="16"/>
        </w:rPr>
        <w:footnoteRef/>
      </w:r>
      <w:r w:rsidRPr="00C36858">
        <w:rPr>
          <w:rFonts w:ascii="Arial" w:hAnsi="Arial" w:cs="Arial"/>
          <w:sz w:val="16"/>
          <w:szCs w:val="16"/>
        </w:rPr>
        <w:t xml:space="preserve"> Artículo 17 […]</w:t>
      </w:r>
    </w:p>
    <w:p w14:paraId="54FA7378" w14:textId="77777777" w:rsidR="009221E2" w:rsidRPr="00C36858" w:rsidRDefault="009221E2" w:rsidP="00182D88">
      <w:pPr>
        <w:pStyle w:val="Textonotapie"/>
        <w:jc w:val="both"/>
        <w:rPr>
          <w:rFonts w:ascii="Arial" w:hAnsi="Arial" w:cs="Arial"/>
          <w:sz w:val="16"/>
          <w:szCs w:val="16"/>
        </w:rPr>
      </w:pPr>
      <w:r w:rsidRPr="00C36858">
        <w:rPr>
          <w:rFonts w:ascii="Arial" w:hAnsi="Arial" w:cs="Arial"/>
          <w:sz w:val="16"/>
          <w:szCs w:val="16"/>
        </w:rPr>
        <w:t>III. El sistema para garantizar el acceso a la información pública. En el Estado de San Luis Potosí es derecho humano de todas las personas, conocer y acceder a la información pública</w:t>
      </w:r>
      <w:r w:rsidRPr="00C36858">
        <w:rPr>
          <w:rFonts w:ascii="Arial" w:hAnsi="Arial" w:cs="Arial"/>
          <w:b/>
          <w:sz w:val="16"/>
          <w:szCs w:val="16"/>
        </w:rPr>
        <w:t>, con las excepciones previstas en esta Constitución, y en la ley de la materia.</w:t>
      </w:r>
      <w:r>
        <w:rPr>
          <w:rFonts w:ascii="Arial" w:hAnsi="Arial" w:cs="Arial"/>
          <w:b/>
          <w:sz w:val="16"/>
          <w:szCs w:val="16"/>
        </w:rPr>
        <w:t xml:space="preserve"> </w:t>
      </w:r>
      <w:r w:rsidRPr="00C36858">
        <w:rPr>
          <w:rFonts w:ascii="Arial" w:hAnsi="Arial" w:cs="Arial"/>
          <w:sz w:val="16"/>
          <w:szCs w:val="16"/>
        </w:rPr>
        <w:t xml:space="preserve">Toda persona tiene el derecho a acceder a la información sobre sí misma o sus bienes, asentada en archivos, bases de datos y registros públicos o privados de quienes tengan el carácter de entes obligados conforme a la ley; así como a actualizar, rectificar, suprimir o mantener en reserva dicha información, en los términos de la ley. En cualquier caso, </w:t>
      </w:r>
      <w:r w:rsidRPr="00C36858">
        <w:rPr>
          <w:rFonts w:ascii="Arial" w:hAnsi="Arial" w:cs="Arial"/>
          <w:b/>
          <w:sz w:val="16"/>
          <w:szCs w:val="16"/>
        </w:rPr>
        <w:t>la ley protegerá a las personas contra cualquier lesión en sus derechos, resultante del tratamiento de sus-datos personales.</w:t>
      </w:r>
    </w:p>
  </w:footnote>
  <w:footnote w:id="10">
    <w:p w14:paraId="272CB2FD" w14:textId="77777777" w:rsidR="009221E2" w:rsidRPr="00F93781" w:rsidRDefault="009221E2" w:rsidP="00182D88">
      <w:pPr>
        <w:pStyle w:val="Textonotapie"/>
        <w:jc w:val="both"/>
        <w:rPr>
          <w:rFonts w:ascii="Arial" w:hAnsi="Arial" w:cs="Arial"/>
          <w:sz w:val="16"/>
          <w:szCs w:val="16"/>
        </w:rPr>
      </w:pPr>
      <w:r w:rsidRPr="00F93781">
        <w:rPr>
          <w:rStyle w:val="Refdenotaalpie"/>
          <w:rFonts w:ascii="Arial" w:hAnsi="Arial" w:cs="Arial"/>
          <w:sz w:val="16"/>
          <w:szCs w:val="16"/>
        </w:rPr>
        <w:footnoteRef/>
      </w:r>
      <w:r w:rsidRPr="00F93781">
        <w:rPr>
          <w:rFonts w:ascii="Arial" w:hAnsi="Arial" w:cs="Arial"/>
          <w:sz w:val="16"/>
          <w:szCs w:val="16"/>
        </w:rPr>
        <w:t xml:space="preserve"> ARTÍCULO 1°. La presente Ley es de orden público y de observancia general en el Estado de San Luis Potosí. Este Ordenamiento es reglamentario de la fracción III del artículo 17 de la Constitución Política del Estado, y acorde a lo previsto en el artículo 6° de la Constitución Política de los Estados Unidos Mexicanos, y la Ley General de Transparencia y Acceso a la Información Pública.</w:t>
      </w:r>
    </w:p>
    <w:p w14:paraId="78DB5911" w14:textId="77777777" w:rsidR="009221E2" w:rsidRPr="00F93781" w:rsidRDefault="009221E2" w:rsidP="00182D88">
      <w:pPr>
        <w:pStyle w:val="Textonotapie"/>
        <w:jc w:val="both"/>
        <w:rPr>
          <w:rFonts w:ascii="Arial" w:hAnsi="Arial" w:cs="Arial"/>
          <w:sz w:val="16"/>
          <w:szCs w:val="16"/>
        </w:rPr>
      </w:pPr>
      <w:r w:rsidRPr="00F93781">
        <w:rPr>
          <w:rFonts w:ascii="Arial" w:hAnsi="Arial" w:cs="Arial"/>
          <w:sz w:val="16"/>
          <w:szCs w:val="16"/>
        </w:rPr>
        <w:t>Tiene por objeto transparentar el ejercicio de la función pública y establecer los principios, bases generales y procedimientos para garantizar a toda persona el derecho humano de acceso a la información en posesión de cualquier autoridad, entidad, órgano y organismo de los poderes, Legislativo; Ejecutivo; y Judicial; organismos autónomos; partidos políticos; fideicomisos y fondos públicos; así como de cualquier persona física, moral o sindicato que reciba y ejerza recursos públicos o realice actos de autoridad en el ámbito estatal y municipal.</w:t>
      </w:r>
    </w:p>
    <w:p w14:paraId="11F4D41E" w14:textId="77777777" w:rsidR="009221E2" w:rsidRPr="00F93781" w:rsidRDefault="009221E2" w:rsidP="00182D88">
      <w:pPr>
        <w:pStyle w:val="Textonotapie"/>
        <w:jc w:val="both"/>
        <w:rPr>
          <w:rFonts w:ascii="Arial" w:hAnsi="Arial" w:cs="Arial"/>
          <w:sz w:val="16"/>
          <w:szCs w:val="16"/>
        </w:rPr>
      </w:pPr>
      <w:r w:rsidRPr="00F93781">
        <w:rPr>
          <w:rFonts w:ascii="Arial" w:hAnsi="Arial" w:cs="Arial"/>
          <w:sz w:val="16"/>
          <w:szCs w:val="16"/>
        </w:rPr>
        <w:t>La Ley General de Transparencia y Acceso a la Información Pública, los lineamientos que determine el Sistema Nacional de Transparencia, la Constitución Política del Estado de San Luis Potosí, la Ley de Responsabilidades Administrativas para el Estado de San Luis Potosí, el Código Procesal Administrativo para el Estado de San Luis Potosí, y demás disposiciones relacionadas con el derecho de acceso a la información y la protección de datos personales, se aplicarán de manera supletoria en lo no previsto por esta Ley.</w:t>
      </w:r>
    </w:p>
  </w:footnote>
  <w:footnote w:id="11">
    <w:p w14:paraId="787A4EF3" w14:textId="77777777" w:rsidR="009221E2" w:rsidRPr="006816CB" w:rsidRDefault="009221E2" w:rsidP="00182D88">
      <w:pPr>
        <w:pStyle w:val="Textonotapie"/>
        <w:jc w:val="both"/>
        <w:rPr>
          <w:rFonts w:ascii="Arial" w:hAnsi="Arial" w:cs="Arial"/>
          <w:sz w:val="16"/>
          <w:szCs w:val="16"/>
        </w:rPr>
      </w:pPr>
      <w:r>
        <w:rPr>
          <w:rStyle w:val="Refdenotaalpie"/>
        </w:rPr>
        <w:footnoteRef/>
      </w:r>
      <w:r>
        <w:t xml:space="preserve"> </w:t>
      </w:r>
      <w:r w:rsidRPr="006816CB">
        <w:rPr>
          <w:rFonts w:ascii="Arial" w:hAnsi="Arial" w:cs="Arial"/>
          <w:iCs/>
          <w:sz w:val="16"/>
          <w:szCs w:val="16"/>
        </w:rPr>
        <w:t>ARTÍCULO 4°. El derecho humano de acceso a la información comprende solicitar, investigar, difundir, buscar y recibir información.</w:t>
      </w:r>
      <w:r w:rsidRPr="006816CB">
        <w:rPr>
          <w:rFonts w:ascii="Arial" w:hAnsi="Arial" w:cs="Arial"/>
          <w:bCs/>
          <w:iCs/>
          <w:sz w:val="16"/>
          <w:szCs w:val="16"/>
        </w:rPr>
        <w:t xml:space="preserve"> Toda la información generada, obtenida, adquirida, transformada o en posesión de los sujetos obligados es pública y accesible a cualquier persona en los términos y condiciones que se establezcan en la Ley</w:t>
      </w:r>
      <w:r w:rsidRPr="006816CB">
        <w:rPr>
          <w:rFonts w:ascii="Arial" w:hAnsi="Arial" w:cs="Arial"/>
          <w:iCs/>
          <w:sz w:val="16"/>
          <w:szCs w:val="16"/>
        </w:rPr>
        <w:t xml:space="preserve"> General; en los tratados internacionales de los que el Estado mexicano sea parte; la esta Ley; y la normatividad aplicable en sus respectivas competencias, </w:t>
      </w:r>
      <w:r w:rsidRPr="006816CB">
        <w:rPr>
          <w:rFonts w:ascii="Arial" w:hAnsi="Arial" w:cs="Arial"/>
          <w:bCs/>
          <w:iCs/>
          <w:sz w:val="16"/>
          <w:szCs w:val="16"/>
        </w:rPr>
        <w:t>sólo podrá ser clasificada excepcionalmente en los términos que fija la ley</w:t>
      </w:r>
    </w:p>
  </w:footnote>
  <w:footnote w:id="12">
    <w:p w14:paraId="0733A822" w14:textId="77777777" w:rsidR="009221E2" w:rsidRPr="00254BCC" w:rsidRDefault="009221E2" w:rsidP="00182D88">
      <w:pPr>
        <w:pStyle w:val="Textonotapie"/>
        <w:jc w:val="both"/>
        <w:rPr>
          <w:rFonts w:ascii="Arial" w:hAnsi="Arial" w:cs="Arial"/>
          <w:sz w:val="16"/>
          <w:szCs w:val="16"/>
        </w:rPr>
      </w:pPr>
      <w:r w:rsidRPr="00254BCC">
        <w:rPr>
          <w:rStyle w:val="Refdenotaalpie"/>
          <w:rFonts w:ascii="Arial" w:hAnsi="Arial" w:cs="Arial"/>
          <w:sz w:val="16"/>
          <w:szCs w:val="16"/>
        </w:rPr>
        <w:footnoteRef/>
      </w:r>
      <w:r w:rsidRPr="00254BCC">
        <w:rPr>
          <w:rFonts w:ascii="Arial" w:hAnsi="Arial" w:cs="Arial"/>
          <w:sz w:val="16"/>
          <w:szCs w:val="16"/>
        </w:rPr>
        <w:t xml:space="preserve"> Artículo 8. […]</w:t>
      </w:r>
    </w:p>
    <w:p w14:paraId="63C5CA89" w14:textId="77777777" w:rsidR="009221E2" w:rsidRPr="00254BCC" w:rsidRDefault="009221E2" w:rsidP="00182D88">
      <w:pPr>
        <w:pStyle w:val="Textonotapie"/>
        <w:jc w:val="both"/>
        <w:rPr>
          <w:rFonts w:ascii="Arial" w:hAnsi="Arial" w:cs="Arial"/>
          <w:sz w:val="16"/>
          <w:szCs w:val="16"/>
        </w:rPr>
      </w:pPr>
      <w:r>
        <w:t xml:space="preserve"> </w:t>
      </w:r>
      <w:r w:rsidRPr="00254BCC">
        <w:rPr>
          <w:rFonts w:ascii="Arial" w:hAnsi="Arial" w:cs="Arial"/>
          <w:sz w:val="16"/>
          <w:szCs w:val="16"/>
        </w:rPr>
        <w:t>VI. Máxima Publicidad: toda la información en posesión de los sujetos obligados será pública, completa, oportuna y accesible, sujeta a un claro régimen de excepciones que deberán estar definidas y ser además legítimas y estrictamente necesarias en una sociedad democrática;</w:t>
      </w:r>
    </w:p>
  </w:footnote>
  <w:footnote w:id="13">
    <w:p w14:paraId="35F7CDBA" w14:textId="77777777" w:rsidR="009221E2" w:rsidRPr="004F5146" w:rsidRDefault="009221E2" w:rsidP="00182D88">
      <w:pPr>
        <w:pStyle w:val="Textonotapie"/>
        <w:jc w:val="both"/>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ARTÍCULO 113. Las figuras jurídicas de excepción al derecho de acceso a la información pública, son las de información </w:t>
      </w:r>
      <w:r w:rsidRPr="004F5146">
        <w:rPr>
          <w:rFonts w:ascii="Arial" w:hAnsi="Arial" w:cs="Arial"/>
          <w:sz w:val="16"/>
          <w:szCs w:val="16"/>
        </w:rPr>
        <w:t>reservada, e información confidencial.</w:t>
      </w:r>
    </w:p>
  </w:footnote>
  <w:footnote w:id="14">
    <w:p w14:paraId="7E9C17E2" w14:textId="77777777" w:rsidR="009221E2" w:rsidRPr="004F5146" w:rsidRDefault="009221E2" w:rsidP="00182D88">
      <w:pPr>
        <w:pStyle w:val="Estilo"/>
        <w:jc w:val="both"/>
        <w:rPr>
          <w:sz w:val="16"/>
          <w:szCs w:val="16"/>
        </w:rPr>
      </w:pPr>
      <w:r w:rsidRPr="004F5146">
        <w:rPr>
          <w:rStyle w:val="Refdenotaalpie"/>
          <w:sz w:val="16"/>
          <w:szCs w:val="16"/>
        </w:rPr>
        <w:footnoteRef/>
      </w:r>
      <w:r w:rsidRPr="004F5146">
        <w:rPr>
          <w:sz w:val="16"/>
          <w:szCs w:val="16"/>
        </w:rPr>
        <w:t xml:space="preserve"> “ARTÍCULO 138. Se considera información confidencial la que contiene datos personales concernientes a una persona identificada o identificable</w:t>
      </w:r>
      <w:r>
        <w:rPr>
          <w:sz w:val="16"/>
          <w:szCs w:val="16"/>
        </w:rPr>
        <w:t xml:space="preserve">. </w:t>
      </w:r>
      <w:r w:rsidRPr="004F5146">
        <w:rPr>
          <w:sz w:val="16"/>
          <w:szCs w:val="16"/>
        </w:rPr>
        <w:t xml:space="preserve">La información confidencial no estará sujeta a temporalidad alguna y sólo podrán tener acceso a ella los titulares de la misma, sus representantes y los Servidores Públicos facultados para ello. </w:t>
      </w:r>
    </w:p>
  </w:footnote>
  <w:footnote w:id="15">
    <w:p w14:paraId="454D2599" w14:textId="77777777" w:rsidR="009221E2" w:rsidRPr="004F5146" w:rsidRDefault="009221E2" w:rsidP="00182D88">
      <w:pPr>
        <w:pStyle w:val="Textonotapie"/>
        <w:jc w:val="both"/>
        <w:rPr>
          <w:rFonts w:ascii="Arial" w:hAnsi="Arial" w:cs="Arial"/>
          <w:sz w:val="16"/>
          <w:szCs w:val="16"/>
        </w:rPr>
      </w:pPr>
      <w:r w:rsidRPr="004F5146">
        <w:rPr>
          <w:rStyle w:val="Refdenotaalpie"/>
          <w:rFonts w:ascii="Arial" w:hAnsi="Arial" w:cs="Arial"/>
          <w:sz w:val="16"/>
          <w:szCs w:val="16"/>
        </w:rPr>
        <w:footnoteRef/>
      </w:r>
      <w:r w:rsidRPr="004F5146">
        <w:rPr>
          <w:rFonts w:ascii="Arial" w:hAnsi="Arial" w:cs="Arial"/>
          <w:sz w:val="16"/>
          <w:szCs w:val="16"/>
        </w:rPr>
        <w:t xml:space="preserve"> ARTÍCULO 138.</w:t>
      </w:r>
      <w:r>
        <w:rPr>
          <w:rFonts w:ascii="Arial" w:hAnsi="Arial" w:cs="Arial"/>
          <w:sz w:val="16"/>
          <w:szCs w:val="16"/>
        </w:rPr>
        <w:t xml:space="preserve"> […] </w:t>
      </w:r>
      <w:r w:rsidRPr="004F5146">
        <w:rPr>
          <w:rFonts w:ascii="Arial" w:hAnsi="Arial" w:cs="Arial"/>
          <w:sz w:val="16"/>
          <w:szCs w:val="16"/>
        </w:rPr>
        <w:t xml:space="preserve">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BA83905" w14:textId="77777777" w:rsidR="009221E2" w:rsidRPr="00855C4E" w:rsidRDefault="009221E2" w:rsidP="00182D88">
      <w:pPr>
        <w:pStyle w:val="Textonotapie"/>
        <w:jc w:val="both"/>
        <w:rPr>
          <w:rFonts w:ascii="Arial" w:hAnsi="Arial" w:cs="Arial"/>
          <w:sz w:val="16"/>
          <w:szCs w:val="16"/>
        </w:rPr>
      </w:pPr>
      <w:r w:rsidRPr="004F5146">
        <w:rPr>
          <w:rFonts w:ascii="Arial" w:hAnsi="Arial" w:cs="Arial"/>
          <w:sz w:val="16"/>
          <w:szCs w:val="16"/>
        </w:rPr>
        <w:t xml:space="preserve">Asimismo, será información confidencial aquella que presenten los particulares a los sujetos obligados, siempre que </w:t>
      </w:r>
      <w:r w:rsidRPr="00855C4E">
        <w:rPr>
          <w:rFonts w:ascii="Arial" w:hAnsi="Arial" w:cs="Arial"/>
          <w:sz w:val="16"/>
          <w:szCs w:val="16"/>
        </w:rPr>
        <w:t>tengan el derecho a ello, de conformidad con lo dispuesto por las leyes o los tratados internacionales.</w:t>
      </w:r>
    </w:p>
  </w:footnote>
  <w:footnote w:id="16">
    <w:p w14:paraId="3FA057DF" w14:textId="77777777" w:rsidR="009221E2" w:rsidRPr="00855C4E" w:rsidRDefault="009221E2" w:rsidP="00182D88">
      <w:pPr>
        <w:pStyle w:val="Textonotapie"/>
        <w:jc w:val="both"/>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“Información Reservada” Diccionario de Transparencia y Acceso a la Información Pública. Instituto Nacional de Transparencia y Acceso a la Información Pública. Primera Edición, Ciudad de México, 2019.</w:t>
      </w:r>
    </w:p>
  </w:footnote>
  <w:footnote w:id="17">
    <w:p w14:paraId="0557E4CD" w14:textId="77777777" w:rsidR="009221E2" w:rsidRPr="00855C4E" w:rsidRDefault="009221E2" w:rsidP="00182D88">
      <w:pPr>
        <w:pStyle w:val="Textonotapie"/>
        <w:jc w:val="both"/>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ARTÍCULO 129. Como información reservada podrá clasificarse aquella cuya publicación:</w:t>
      </w:r>
    </w:p>
    <w:p w14:paraId="17F13756" w14:textId="77777777" w:rsidR="009221E2" w:rsidRPr="00855C4E" w:rsidRDefault="009221E2" w:rsidP="00182D88">
      <w:pPr>
        <w:pStyle w:val="Textonotapie"/>
        <w:jc w:val="both"/>
        <w:rPr>
          <w:rFonts w:ascii="Arial" w:hAnsi="Arial" w:cs="Arial"/>
          <w:sz w:val="16"/>
          <w:szCs w:val="16"/>
        </w:rPr>
      </w:pPr>
      <w:r w:rsidRPr="00855C4E">
        <w:rPr>
          <w:rFonts w:ascii="Arial" w:hAnsi="Arial" w:cs="Arial"/>
          <w:sz w:val="16"/>
          <w:szCs w:val="16"/>
        </w:rPr>
        <w:t>I. Comprometa la seguridad pública y cuente con un propósito genuino y un efecto demostrable; II. Pueda menoscabar la conducción de las negociaciones y relaciones internacionales; III. Se entregue al Estado mexicano expresamente con ese carácter o el de confidencial por otro u otros sujetos de derecho internacional, excepto cuando se trate de violaciones graves de derechos humanos o delitos de lesa humanidad de conformidad con el derecho internacional; IV. Pueda poner en riesgo la vida, seguridad o salud de una persona física; V. Obstruya las actividades de verificación, inspección y auditoría relativas al cumplimiento de las leyes o afecte la recaudación de contribuciones; VI. Obstruya la prevención o persecución de los delitos; VII. La que contenga las opiniones, recomendaciones o puntos de vista que formen parte del proceso deliberativo de los servidores públicos, hasta en tanto no sea adoptada la decisión definitiva, la cual deberá estar documentada; VIII. Obstruya los procedimientos para fincar responsabilidad a los Servidores Públicos, en tanto no se haya dictado la resolución administrativa; IX. Afecte los derechos del debido proceso; X. Vulnere la conducción de los Expedientes judiciales o de los procedimientos administrativos seguidos en forma de juicio, en tanto no hayan causado estado; XI. Se encuentre contenida dentro de las investigaciones de hechos que la ley señale como delitos y se tramiten ante el Ministerio Público, y XII. Las que por disposición expresa de una ley tengan tal carácter, siempre que sean acordes con las bases, principios y disposiciones establecidos en esta Ley y no la contravengan; así como las previstas en tratados internacionales</w:t>
      </w:r>
    </w:p>
  </w:footnote>
  <w:footnote w:id="18">
    <w:p w14:paraId="1BE48DD3" w14:textId="77777777" w:rsidR="009221E2" w:rsidRPr="00C1032B" w:rsidRDefault="009221E2" w:rsidP="004076F7">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119. Los sujetos obligados deberán aplicar, de manera restrictiva y limitada, las excepciones al derecho de acceso a la información prevista en el presente Título y deberán acreditar su procedencia. La carga de la prueba para justificar toda negativa de acceso a la información, por actualizarse cualquiera de los supuestos de reserva previstos, corresponderá a los sujetos obligados.</w:t>
      </w:r>
    </w:p>
  </w:footnote>
  <w:footnote w:id="19">
    <w:p w14:paraId="2A21983E" w14:textId="77777777" w:rsidR="009221E2" w:rsidRPr="00C1032B" w:rsidRDefault="009221E2" w:rsidP="004076F7">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0">
    <w:p w14:paraId="65DA4C07" w14:textId="77777777" w:rsidR="009221E2" w:rsidRPr="00A041BE" w:rsidRDefault="009221E2" w:rsidP="004076F7">
      <w:pPr>
        <w:spacing w:after="0" w:line="240" w:lineRule="auto"/>
        <w:ind w:right="51"/>
        <w:jc w:val="both"/>
        <w:rPr>
          <w:rFonts w:ascii="Arial" w:hAnsi="Arial" w:cs="Arial"/>
          <w:b/>
          <w:sz w:val="16"/>
          <w:szCs w:val="16"/>
          <w:lang w:val="es-ES_tradnl"/>
        </w:rPr>
      </w:pPr>
      <w:r>
        <w:rPr>
          <w:rStyle w:val="Refdenotaalpie"/>
        </w:rPr>
        <w:footnoteRef/>
      </w:r>
      <w:r>
        <w:t xml:space="preserve"> </w:t>
      </w:r>
      <w:r w:rsidRPr="00A041BE">
        <w:rPr>
          <w:rFonts w:ascii="Arial" w:hAnsi="Arial" w:cs="Arial"/>
          <w:b/>
          <w:sz w:val="16"/>
          <w:szCs w:val="16"/>
          <w:lang w:val="es-ES_tradnl"/>
        </w:rPr>
        <w:t>Trigésimo octavo. Se considera susceptible de clasificarse como información confidencial:</w:t>
      </w:r>
    </w:p>
    <w:p w14:paraId="02A389A7"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w:t>
      </w:r>
      <w:r w:rsidRPr="00A041BE">
        <w:rPr>
          <w:rFonts w:ascii="Arial" w:hAnsi="Arial" w:cs="Arial"/>
          <w:sz w:val="16"/>
          <w:szCs w:val="16"/>
          <w:lang w:val="es-ES_tradnl"/>
        </w:rPr>
        <w:t xml:space="preserve"> Los datos personales, entendidos como cualquier información concerniente a una persona física identificada o identificable, en términos de la norma aplicable que, de manera enunciativa más no limitativa, se pueden identificar de acuer</w:t>
      </w:r>
      <w:r>
        <w:rPr>
          <w:rFonts w:ascii="Arial" w:hAnsi="Arial" w:cs="Arial"/>
          <w:sz w:val="16"/>
          <w:szCs w:val="16"/>
          <w:lang w:val="es-ES_tradnl"/>
        </w:rPr>
        <w:t>do a las siguientes categorías:</w:t>
      </w:r>
    </w:p>
    <w:p w14:paraId="56E48EBA"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 Datos identificativos:</w:t>
      </w:r>
      <w:r w:rsidRPr="00A041BE">
        <w:rPr>
          <w:rFonts w:ascii="Arial" w:hAnsi="Arial" w:cs="Arial"/>
          <w:sz w:val="16"/>
          <w:szCs w:val="16"/>
          <w:lang w:val="es-ES_tradnl"/>
        </w:rPr>
        <w:t xml:space="preserve"> El nombre, alias, pseudónimo, </w:t>
      </w:r>
      <w:r w:rsidRPr="00A041BE">
        <w:rPr>
          <w:rFonts w:ascii="Arial" w:hAnsi="Arial" w:cs="Arial"/>
          <w:b/>
          <w:sz w:val="16"/>
          <w:szCs w:val="16"/>
          <w:lang w:val="es-ES_tradnl"/>
        </w:rPr>
        <w:t>domicilio</w:t>
      </w:r>
      <w:r w:rsidRPr="00A041BE">
        <w:rPr>
          <w:rFonts w:ascii="Arial" w:hAnsi="Arial" w:cs="Arial"/>
          <w:sz w:val="16"/>
          <w:szCs w:val="16"/>
          <w:lang w:val="es-ES_tradnl"/>
        </w:rPr>
        <w:t xml:space="preserve">, código postal, teléfono particular, sexo, estado civil, teléfono </w:t>
      </w:r>
      <w:r w:rsidRPr="00A041BE">
        <w:rPr>
          <w:rFonts w:ascii="Arial" w:hAnsi="Arial" w:cs="Arial"/>
          <w:b/>
          <w:sz w:val="16"/>
          <w:szCs w:val="16"/>
          <w:lang w:val="es-ES_tradnl"/>
        </w:rPr>
        <w:t>celular</w:t>
      </w:r>
      <w:r w:rsidRPr="00A041BE">
        <w:rPr>
          <w:rFonts w:ascii="Arial" w:hAnsi="Arial" w:cs="Arial"/>
          <w:sz w:val="16"/>
          <w:szCs w:val="16"/>
          <w:lang w:val="es-ES_tradnl"/>
        </w:rPr>
        <w:t xml:space="preserve">, </w:t>
      </w:r>
      <w:r w:rsidRPr="00A041BE">
        <w:rPr>
          <w:rFonts w:ascii="Arial" w:hAnsi="Arial" w:cs="Arial"/>
          <w:b/>
          <w:sz w:val="16"/>
          <w:szCs w:val="16"/>
          <w:lang w:val="es-ES_tradnl"/>
        </w:rPr>
        <w:t>firma</w:t>
      </w:r>
      <w:r w:rsidRPr="00A041BE">
        <w:rPr>
          <w:rFonts w:ascii="Arial" w:hAnsi="Arial" w:cs="Arial"/>
          <w:sz w:val="16"/>
          <w:szCs w:val="16"/>
          <w:lang w:val="es-ES_tradnl"/>
        </w:rPr>
        <w:t xml:space="preserve">, clave de Registro Federal de Contribuyentes (RFC), Clave Única de Registro de Población (CURP), </w:t>
      </w:r>
      <w:r w:rsidRPr="00A041BE">
        <w:rPr>
          <w:rFonts w:ascii="Arial" w:hAnsi="Arial" w:cs="Arial"/>
          <w:b/>
          <w:sz w:val="16"/>
          <w:szCs w:val="16"/>
          <w:lang w:val="es-ES_tradnl"/>
        </w:rPr>
        <w:t>Clave de Elector</w:t>
      </w:r>
      <w:r w:rsidRPr="00A041BE">
        <w:rPr>
          <w:rFonts w:ascii="Arial" w:hAnsi="Arial" w:cs="Arial"/>
          <w:sz w:val="16"/>
          <w:szCs w:val="16"/>
          <w:lang w:val="es-ES_tradnl"/>
        </w:rPr>
        <w:t xml:space="preserve">, Matrícula del Servicio Militar Nacional, número de pasaporte, lugar y fecha de nacimiento, nacionalidad, edad, fotografía, localidad y </w:t>
      </w:r>
      <w:r>
        <w:rPr>
          <w:rFonts w:ascii="Arial" w:hAnsi="Arial" w:cs="Arial"/>
          <w:sz w:val="16"/>
          <w:szCs w:val="16"/>
          <w:lang w:val="es-ES_tradnl"/>
        </w:rPr>
        <w:t xml:space="preserve">sección electoral, y análogos. </w:t>
      </w:r>
    </w:p>
    <w:p w14:paraId="19446538"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2. Datos de origen</w:t>
      </w:r>
      <w:r w:rsidRPr="00A041BE">
        <w:rPr>
          <w:rFonts w:ascii="Arial" w:hAnsi="Arial" w:cs="Arial"/>
          <w:sz w:val="16"/>
          <w:szCs w:val="16"/>
          <w:lang w:val="es-ES_tradnl"/>
        </w:rPr>
        <w:t>: Origen, etnia, raza, color de piel, color de ojos, color y tipo de cabello, est</w:t>
      </w:r>
      <w:r>
        <w:rPr>
          <w:rFonts w:ascii="Arial" w:hAnsi="Arial" w:cs="Arial"/>
          <w:sz w:val="16"/>
          <w:szCs w:val="16"/>
          <w:lang w:val="es-ES_tradnl"/>
        </w:rPr>
        <w:t xml:space="preserve">atura, complexión, y análogos. </w:t>
      </w:r>
    </w:p>
    <w:p w14:paraId="6FEBD22F"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3. Datos ideológicos:</w:t>
      </w:r>
      <w:r w:rsidRPr="00A041BE">
        <w:rPr>
          <w:rFonts w:ascii="Arial" w:hAnsi="Arial" w:cs="Arial"/>
          <w:sz w:val="16"/>
          <w:szCs w:val="16"/>
          <w:lang w:val="es-ES_tradnl"/>
        </w:rPr>
        <w:t xml:space="preserve"> Ideologías, creencias, opinión política, afiliación política, opinión pública, afiliación sindical, religión, con</w:t>
      </w:r>
      <w:r>
        <w:rPr>
          <w:rFonts w:ascii="Arial" w:hAnsi="Arial" w:cs="Arial"/>
          <w:sz w:val="16"/>
          <w:szCs w:val="16"/>
          <w:lang w:val="es-ES_tradnl"/>
        </w:rPr>
        <w:t xml:space="preserve">vicción filosófica y análogos. </w:t>
      </w:r>
    </w:p>
    <w:p w14:paraId="44EB41CC"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4. Datos sobre la salud:</w:t>
      </w:r>
      <w:r w:rsidRPr="00A041BE">
        <w:rPr>
          <w:rFonts w:ascii="Arial" w:hAnsi="Arial" w:cs="Arial"/>
          <w:sz w:val="16"/>
          <w:szCs w:val="16"/>
          <w:lang w:val="es-ES_tradnl"/>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ortopédicos, auditivos, prótesis, estado físico o mental de la persona, así como la información sobre la vida </w:t>
      </w:r>
      <w:r>
        <w:rPr>
          <w:rFonts w:ascii="Arial" w:hAnsi="Arial" w:cs="Arial"/>
          <w:sz w:val="16"/>
          <w:szCs w:val="16"/>
          <w:lang w:val="es-ES_tradnl"/>
        </w:rPr>
        <w:t xml:space="preserve">sexual, y análogos. </w:t>
      </w:r>
    </w:p>
    <w:p w14:paraId="1047F82B"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5. Datos Laborales:</w:t>
      </w:r>
      <w:r w:rsidRPr="00A041BE">
        <w:rPr>
          <w:rFonts w:ascii="Arial" w:hAnsi="Arial" w:cs="Arial"/>
          <w:sz w:val="16"/>
          <w:szCs w:val="16"/>
          <w:lang w:val="es-ES_tradnl"/>
        </w:rPr>
        <w:t xml:space="preserve"> Número de seguridad social, documentos de reclutamiento o selección, nombramiento, incidencia, capacitación, actividades extracurriculares, referencias laborales, referencias personales, solicitud de empleo, hoja d</w:t>
      </w:r>
      <w:r>
        <w:rPr>
          <w:rFonts w:ascii="Arial" w:hAnsi="Arial" w:cs="Arial"/>
          <w:sz w:val="16"/>
          <w:szCs w:val="16"/>
          <w:lang w:val="es-ES_tradnl"/>
        </w:rPr>
        <w:t>e servicio, y análogos.</w:t>
      </w:r>
    </w:p>
    <w:p w14:paraId="340840EB"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 xml:space="preserve"> 6. Datos patrimoniales</w:t>
      </w:r>
      <w:r w:rsidRPr="00A041BE">
        <w:rPr>
          <w:rFonts w:ascii="Arial" w:hAnsi="Arial" w:cs="Arial"/>
          <w:sz w:val="16"/>
          <w:szCs w:val="16"/>
          <w:lang w:val="es-ES_tradnl"/>
        </w:rPr>
        <w:t>: Bienes muebles e inmuebles de su propiedad, información fiscal, historial crediticio, ingresos y egresos, número de cuenta bancaria y/o CLABE interbancaria de personas físicas y morales privadas, inversiones, seguros, fianzas, servicios contratados, referencias personales, beneficiarios, dependientes económicos, decisi</w:t>
      </w:r>
      <w:r>
        <w:rPr>
          <w:rFonts w:ascii="Arial" w:hAnsi="Arial" w:cs="Arial"/>
          <w:sz w:val="16"/>
          <w:szCs w:val="16"/>
          <w:lang w:val="es-ES_tradnl"/>
        </w:rPr>
        <w:t xml:space="preserve">ones patrimoniales y análogos. </w:t>
      </w:r>
    </w:p>
    <w:p w14:paraId="3BAF5329"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7. Datos sobre situación jurídica o legal</w:t>
      </w:r>
      <w:r w:rsidRPr="00A041BE">
        <w:rPr>
          <w:rFonts w:ascii="Arial" w:hAnsi="Arial" w:cs="Arial"/>
          <w:sz w:val="16"/>
          <w:szCs w:val="16"/>
          <w:lang w:val="es-ES_tradnl"/>
        </w:rPr>
        <w:t>: La información relativa a una persona que se encuentre o haya sido sujeta a un procedimiento administrativo seguido en forma de juicio o jurisdiccional en materia laboral, civil, penal, fiscal, administrativa o de cualquier otr</w:t>
      </w:r>
      <w:r>
        <w:rPr>
          <w:rFonts w:ascii="Arial" w:hAnsi="Arial" w:cs="Arial"/>
          <w:sz w:val="16"/>
          <w:szCs w:val="16"/>
          <w:lang w:val="es-ES_tradnl"/>
        </w:rPr>
        <w:t>a rama del Derecho, y análogos;</w:t>
      </w:r>
    </w:p>
    <w:p w14:paraId="501612ED"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8. Datos académicos</w:t>
      </w:r>
      <w:r w:rsidRPr="00A041BE">
        <w:rPr>
          <w:rFonts w:ascii="Arial" w:hAnsi="Arial" w:cs="Arial"/>
          <w:sz w:val="16"/>
          <w:szCs w:val="16"/>
          <w:lang w:val="es-ES_tradnl"/>
        </w:rPr>
        <w:t>: Trayectoria educativa, avances de créditos, tipos de exámenes, promedio, calificaciones, títulos, cédula profesional, certificado</w:t>
      </w:r>
      <w:r>
        <w:rPr>
          <w:rFonts w:ascii="Arial" w:hAnsi="Arial" w:cs="Arial"/>
          <w:sz w:val="16"/>
          <w:szCs w:val="16"/>
          <w:lang w:val="es-ES_tradnl"/>
        </w:rPr>
        <w:t xml:space="preserve">s, reconocimientos y análogos, </w:t>
      </w:r>
    </w:p>
    <w:p w14:paraId="79E0EF6D"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9. Datos de tránsito y movimientos migratorios:</w:t>
      </w:r>
      <w:r w:rsidRPr="00A041BE">
        <w:rPr>
          <w:rFonts w:ascii="Arial" w:hAnsi="Arial" w:cs="Arial"/>
          <w:sz w:val="16"/>
          <w:szCs w:val="16"/>
          <w:lang w:val="es-ES_tradnl"/>
        </w:rPr>
        <w:t xml:space="preserve"> Información relativa al tránsito de las personas dentro y fuera del país, así como información migratoria, cédul</w:t>
      </w:r>
      <w:r>
        <w:rPr>
          <w:rFonts w:ascii="Arial" w:hAnsi="Arial" w:cs="Arial"/>
          <w:sz w:val="16"/>
          <w:szCs w:val="16"/>
          <w:lang w:val="es-ES_tradnl"/>
        </w:rPr>
        <w:t xml:space="preserve">a migratoria, visa, pasaporte. </w:t>
      </w:r>
    </w:p>
    <w:p w14:paraId="454E26ED"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10. Datos electrónicos</w:t>
      </w:r>
      <w:r w:rsidRPr="00A041BE">
        <w:rPr>
          <w:rFonts w:ascii="Arial" w:hAnsi="Arial" w:cs="Arial"/>
          <w:sz w:val="16"/>
          <w:szCs w:val="16"/>
          <w:lang w:val="es-ES_tradnl"/>
        </w:rPr>
        <w:t xml:space="preserve">: Firma electrónica, </w:t>
      </w:r>
      <w:r w:rsidRPr="00A041BE">
        <w:rPr>
          <w:rFonts w:ascii="Arial" w:hAnsi="Arial" w:cs="Arial"/>
          <w:b/>
          <w:sz w:val="16"/>
          <w:szCs w:val="16"/>
          <w:lang w:val="es-ES_tradnl"/>
        </w:rPr>
        <w:t>dirección de correo electrónico</w:t>
      </w:r>
      <w:r>
        <w:rPr>
          <w:rFonts w:ascii="Arial" w:hAnsi="Arial" w:cs="Arial"/>
          <w:sz w:val="16"/>
          <w:szCs w:val="16"/>
          <w:lang w:val="es-ES_tradnl"/>
        </w:rPr>
        <w:t xml:space="preserve">, código QR. </w:t>
      </w:r>
    </w:p>
    <w:p w14:paraId="62383587"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11. Datos biométricos</w:t>
      </w:r>
      <w:r w:rsidRPr="00A041BE">
        <w:rPr>
          <w:rFonts w:ascii="Arial" w:hAnsi="Arial" w:cs="Arial"/>
          <w:sz w:val="16"/>
          <w:szCs w:val="16"/>
          <w:lang w:val="es-ES_tradnl"/>
        </w:rPr>
        <w:t>: Huella dactilar, reconocimiento facial, reconocimiento de iris, reconocimiento de la geometría de la mano, reconocimiento vascular, reconocimiento de escritura, reconocimiento de voz, reconocimiento de escritura de teclado y análogos.</w:t>
      </w:r>
    </w:p>
    <w:p w14:paraId="216A574F" w14:textId="77777777" w:rsidR="009221E2" w:rsidRPr="00A041BE" w:rsidRDefault="009221E2" w:rsidP="004076F7">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II.</w:t>
      </w:r>
      <w:r w:rsidRPr="00A041BE">
        <w:rPr>
          <w:rFonts w:ascii="Arial" w:hAnsi="Arial" w:cs="Arial"/>
          <w:sz w:val="16"/>
          <w:szCs w:val="16"/>
          <w:lang w:val="es-ES_tradnl"/>
        </w:rPr>
        <w:t xml:space="preserve"> La que se entregue con tal carácter por los particulares a los sujetos obligados, siempre y cuando tengan el derecho de entregar con dicho carácter la información, de conformidad con lo dispuesto en las leyes o en los Tratados Internacionales de los que el Estado mexicano sea parte, y </w:t>
      </w:r>
    </w:p>
    <w:p w14:paraId="07A42E52" w14:textId="77777777" w:rsidR="009221E2" w:rsidRPr="005D7D19" w:rsidRDefault="009221E2" w:rsidP="004076F7">
      <w:pPr>
        <w:spacing w:after="0" w:line="240" w:lineRule="auto"/>
        <w:ind w:right="51"/>
        <w:jc w:val="both"/>
        <w:rPr>
          <w:rFonts w:ascii="Arial" w:hAnsi="Arial" w:cs="Arial"/>
          <w:sz w:val="16"/>
          <w:szCs w:val="16"/>
        </w:rPr>
      </w:pPr>
      <w:r w:rsidRPr="00A041BE">
        <w:rPr>
          <w:rFonts w:ascii="Arial" w:hAnsi="Arial" w:cs="Arial"/>
          <w:b/>
          <w:sz w:val="16"/>
          <w:szCs w:val="16"/>
          <w:lang w:val="es-ES_tradnl"/>
        </w:rPr>
        <w:t>III</w:t>
      </w:r>
      <w:r w:rsidRPr="00A041BE">
        <w:rPr>
          <w:rFonts w:ascii="Arial" w:hAnsi="Arial" w:cs="Arial"/>
          <w:sz w:val="16"/>
          <w:szCs w:val="16"/>
          <w:lang w:val="es-ES_tradnl"/>
        </w:rPr>
        <w:t>. Los secretos bancario, fiduciario, industrial, comercial, fiscal, bursátil y postal cuya titularidad corresponda a particulares, sujetos de derecho internacional o a sujetos obligados cuando no involucren el ejercicio de recursos públicos</w:t>
      </w:r>
      <w:r>
        <w:rPr>
          <w:rFonts w:ascii="Arial" w:hAnsi="Arial" w:cs="Arial"/>
          <w:sz w:val="16"/>
          <w:szCs w:val="16"/>
        </w:rPr>
        <w:t>.”</w:t>
      </w:r>
    </w:p>
  </w:footnote>
  <w:footnote w:id="21">
    <w:p w14:paraId="4091B13E" w14:textId="77777777" w:rsidR="009221E2" w:rsidRPr="00BD3442" w:rsidRDefault="009221E2" w:rsidP="004076F7">
      <w:pPr>
        <w:pStyle w:val="Estilo"/>
        <w:rPr>
          <w:sz w:val="16"/>
        </w:rPr>
      </w:pPr>
      <w:r w:rsidRPr="00BD3442">
        <w:rPr>
          <w:rStyle w:val="Refdenotaalpie"/>
          <w:sz w:val="16"/>
        </w:rPr>
        <w:footnoteRef/>
      </w:r>
      <w:r w:rsidRPr="00BD3442">
        <w:rPr>
          <w:sz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2">
    <w:p w14:paraId="30496CDE" w14:textId="77777777" w:rsidR="009221E2" w:rsidRPr="003F5E3F" w:rsidRDefault="009221E2" w:rsidP="004076F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“REGLAMENTO” Diccionario Multimedia “DICCIONARIO JURÍDICO 2000”, Editorial Desarrollo Jurídico Copyright 2000, México 2000, DJ2K-2205.</w:t>
      </w:r>
    </w:p>
  </w:footnote>
  <w:footnote w:id="23">
    <w:p w14:paraId="05126675" w14:textId="77777777" w:rsidR="009221E2" w:rsidRPr="003F5E3F" w:rsidRDefault="009221E2" w:rsidP="004076F7">
      <w:pPr>
        <w:pStyle w:val="Textonotapie"/>
        <w:rPr>
          <w:rFonts w:ascii="Arial" w:hAnsi="Arial" w:cs="Arial"/>
          <w:sz w:val="16"/>
          <w:szCs w:val="16"/>
        </w:rPr>
      </w:pPr>
      <w:r w:rsidRPr="003F5E3F">
        <w:rPr>
          <w:rStyle w:val="Refdenotaalpie"/>
          <w:rFonts w:ascii="Arial" w:hAnsi="Arial" w:cs="Arial"/>
          <w:sz w:val="16"/>
          <w:szCs w:val="16"/>
        </w:rPr>
        <w:footnoteRef/>
      </w:r>
      <w:r>
        <w:rPr>
          <w:rFonts w:ascii="Arial" w:hAnsi="Arial" w:cs="Arial"/>
          <w:sz w:val="16"/>
          <w:szCs w:val="16"/>
        </w:rPr>
        <w:t xml:space="preserve"> SERRA ROJAS, And</w:t>
      </w:r>
      <w:r w:rsidRPr="003F5E3F">
        <w:rPr>
          <w:rFonts w:ascii="Arial" w:hAnsi="Arial" w:cs="Arial"/>
          <w:sz w:val="16"/>
          <w:szCs w:val="16"/>
        </w:rPr>
        <w:t xml:space="preserve">rés, </w:t>
      </w:r>
      <w:r>
        <w:rPr>
          <w:rFonts w:ascii="Arial" w:hAnsi="Arial" w:cs="Arial"/>
          <w:sz w:val="16"/>
          <w:szCs w:val="16"/>
        </w:rPr>
        <w:t>“Derecho Administrativo segundo curso” Decimonovena Edición, Porrúa, México 1999.</w:t>
      </w:r>
    </w:p>
  </w:footnote>
  <w:footnote w:id="24">
    <w:p w14:paraId="2DF14E41" w14:textId="77777777" w:rsidR="009221E2" w:rsidRDefault="009221E2" w:rsidP="004076F7">
      <w:pPr>
        <w:pStyle w:val="Textonotapie"/>
      </w:pPr>
      <w:r w:rsidRPr="003F5E3F">
        <w:rPr>
          <w:rStyle w:val="Refdenotaalpie"/>
          <w:rFonts w:ascii="Arial" w:hAnsi="Arial" w:cs="Arial"/>
          <w:sz w:val="16"/>
          <w:szCs w:val="16"/>
        </w:rPr>
        <w:footnoteRef/>
      </w:r>
      <w:r w:rsidRPr="003F5E3F">
        <w:rPr>
          <w:rFonts w:ascii="Arial" w:hAnsi="Arial" w:cs="Arial"/>
          <w:sz w:val="16"/>
          <w:szCs w:val="16"/>
        </w:rPr>
        <w:t xml:space="preserve"> BURGOA ORIHUELA, Ignacio, </w:t>
      </w:r>
      <w:r>
        <w:rPr>
          <w:rFonts w:ascii="Arial" w:hAnsi="Arial" w:cs="Arial"/>
          <w:sz w:val="16"/>
          <w:szCs w:val="16"/>
        </w:rPr>
        <w:t>“</w:t>
      </w:r>
      <w:r w:rsidRPr="002B2DE3">
        <w:rPr>
          <w:rFonts w:ascii="Arial" w:hAnsi="Arial" w:cs="Arial"/>
          <w:sz w:val="16"/>
          <w:szCs w:val="16"/>
        </w:rPr>
        <w:t>Derecho Constitucional Mexicano</w:t>
      </w:r>
      <w:r>
        <w:rPr>
          <w:rFonts w:ascii="Arial" w:hAnsi="Arial" w:cs="Arial"/>
          <w:sz w:val="16"/>
          <w:szCs w:val="16"/>
        </w:rPr>
        <w:t>” Novena Edición, Porrúa México 1994</w:t>
      </w:r>
      <w:r w:rsidRPr="003F5E3F">
        <w:rPr>
          <w:rFonts w:ascii="Arial" w:hAnsi="Arial" w:cs="Arial"/>
          <w:sz w:val="16"/>
          <w:szCs w:val="16"/>
        </w:rPr>
        <w:t>. pág. 780.</w:t>
      </w:r>
    </w:p>
  </w:footnote>
  <w:footnote w:id="25">
    <w:p w14:paraId="1D53CC7C" w14:textId="77777777" w:rsidR="009221E2" w:rsidRPr="003F5E3F" w:rsidRDefault="009221E2" w:rsidP="004076F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CORONADO, Mariano. "Elementos de Derecho constitucional". Citado por CERRA ROJAS, </w:t>
      </w:r>
      <w:proofErr w:type="spellStart"/>
      <w:r w:rsidRPr="003F5E3F">
        <w:rPr>
          <w:rFonts w:ascii="Arial" w:hAnsi="Arial" w:cs="Arial"/>
          <w:sz w:val="16"/>
          <w:szCs w:val="16"/>
        </w:rPr>
        <w:t>Andres</w:t>
      </w:r>
      <w:proofErr w:type="spellEnd"/>
      <w:r w:rsidRPr="003F5E3F">
        <w:rPr>
          <w:rFonts w:ascii="Arial" w:hAnsi="Arial" w:cs="Arial"/>
          <w:sz w:val="16"/>
          <w:szCs w:val="16"/>
        </w:rPr>
        <w:t xml:space="preserve">, </w:t>
      </w:r>
      <w:proofErr w:type="spellStart"/>
      <w:r w:rsidRPr="003F5E3F">
        <w:rPr>
          <w:rFonts w:ascii="Arial" w:hAnsi="Arial" w:cs="Arial"/>
          <w:sz w:val="16"/>
          <w:szCs w:val="16"/>
        </w:rPr>
        <w:t>Op</w:t>
      </w:r>
      <w:proofErr w:type="spellEnd"/>
      <w:r w:rsidRPr="003F5E3F">
        <w:rPr>
          <w:rFonts w:ascii="Arial" w:hAnsi="Arial" w:cs="Arial"/>
          <w:sz w:val="16"/>
          <w:szCs w:val="16"/>
        </w:rPr>
        <w:t>. cit. página 222.</w:t>
      </w:r>
    </w:p>
  </w:footnote>
  <w:footnote w:id="26">
    <w:p w14:paraId="32D885B8" w14:textId="77777777" w:rsidR="009221E2" w:rsidRPr="003F5E3F" w:rsidRDefault="009221E2" w:rsidP="004076F7">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GORDILLO AGUSTÍN. Citado por MARTÍNEZ MORALES </w:t>
      </w:r>
      <w:proofErr w:type="spellStart"/>
      <w:r w:rsidRPr="003F5E3F">
        <w:rPr>
          <w:rFonts w:ascii="Arial" w:hAnsi="Arial" w:cs="Arial"/>
          <w:sz w:val="16"/>
          <w:szCs w:val="16"/>
        </w:rPr>
        <w:t>Rafaél</w:t>
      </w:r>
      <w:proofErr w:type="spellEnd"/>
      <w:r w:rsidRPr="003F5E3F">
        <w:rPr>
          <w:rFonts w:ascii="Arial" w:hAnsi="Arial" w:cs="Arial"/>
          <w:sz w:val="16"/>
          <w:szCs w:val="16"/>
        </w:rPr>
        <w:t xml:space="preserve"> I. "Derecho Administrativo 1er y 2do. Cursos" Cuarta Edición, Editorial Oxford </w:t>
      </w:r>
      <w:proofErr w:type="spellStart"/>
      <w:r w:rsidRPr="003F5E3F">
        <w:rPr>
          <w:rFonts w:ascii="Arial" w:hAnsi="Arial" w:cs="Arial"/>
          <w:sz w:val="16"/>
          <w:szCs w:val="16"/>
        </w:rPr>
        <w:t>University</w:t>
      </w:r>
      <w:proofErr w:type="spellEnd"/>
      <w:r w:rsidRPr="003F5E3F">
        <w:rPr>
          <w:rFonts w:ascii="Arial" w:hAnsi="Arial" w:cs="Arial"/>
          <w:sz w:val="16"/>
          <w:szCs w:val="16"/>
        </w:rPr>
        <w:t xml:space="preserve"> </w:t>
      </w:r>
      <w:proofErr w:type="spellStart"/>
      <w:r w:rsidRPr="003F5E3F">
        <w:rPr>
          <w:rFonts w:ascii="Arial" w:hAnsi="Arial" w:cs="Arial"/>
          <w:sz w:val="16"/>
          <w:szCs w:val="16"/>
        </w:rPr>
        <w:t>Press</w:t>
      </w:r>
      <w:proofErr w:type="spellEnd"/>
      <w:r w:rsidRPr="003F5E3F">
        <w:rPr>
          <w:rFonts w:ascii="Arial" w:hAnsi="Arial" w:cs="Arial"/>
          <w:sz w:val="16"/>
          <w:szCs w:val="16"/>
        </w:rPr>
        <w:t xml:space="preserve">, </w:t>
      </w:r>
      <w:proofErr w:type="spellStart"/>
      <w:r w:rsidRPr="003F5E3F">
        <w:rPr>
          <w:rFonts w:ascii="Arial" w:hAnsi="Arial" w:cs="Arial"/>
          <w:sz w:val="16"/>
          <w:szCs w:val="16"/>
        </w:rPr>
        <w:t>pág</w:t>
      </w:r>
      <w:proofErr w:type="spellEnd"/>
      <w:r w:rsidRPr="003F5E3F">
        <w:rPr>
          <w:rFonts w:ascii="Arial" w:hAnsi="Arial" w:cs="Arial"/>
          <w:sz w:val="16"/>
          <w:szCs w:val="16"/>
        </w:rPr>
        <w:t xml:space="preserve"> 308.</w:t>
      </w:r>
    </w:p>
  </w:footnote>
  <w:footnote w:id="27">
    <w:p w14:paraId="378EA110" w14:textId="77777777" w:rsidR="009221E2" w:rsidRPr="00086726" w:rsidRDefault="009221E2" w:rsidP="004076F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Jurisprudencia número I. 3o. A. J/</w:t>
      </w:r>
      <w:proofErr w:type="gramStart"/>
      <w:r w:rsidRPr="00086726">
        <w:rPr>
          <w:rFonts w:ascii="Arial" w:hAnsi="Arial" w:cs="Arial"/>
          <w:sz w:val="16"/>
          <w:szCs w:val="16"/>
        </w:rPr>
        <w:t>25 ,</w:t>
      </w:r>
      <w:proofErr w:type="gramEnd"/>
      <w:r w:rsidRPr="00086726">
        <w:rPr>
          <w:rFonts w:ascii="Arial" w:hAnsi="Arial" w:cs="Arial"/>
          <w:sz w:val="16"/>
          <w:szCs w:val="16"/>
        </w:rPr>
        <w:t xml:space="preserve"> visible en la Octava Época, de la Gaceta del Semanario Judicial de la Federación, Libro 13, Enero 1991, Tomo VII, página 83. Instancia: Tribunales Colegiados de Circuito, con Registro electrónico:  2236</w:t>
      </w:r>
      <w:r>
        <w:rPr>
          <w:rFonts w:ascii="Arial" w:hAnsi="Arial" w:cs="Arial"/>
          <w:sz w:val="16"/>
          <w:szCs w:val="16"/>
        </w:rPr>
        <w:t>1</w:t>
      </w:r>
      <w:r w:rsidRPr="00086726">
        <w:rPr>
          <w:rFonts w:ascii="Arial" w:hAnsi="Arial" w:cs="Arial"/>
          <w:sz w:val="16"/>
          <w:szCs w:val="16"/>
        </w:rPr>
        <w:t>1.</w:t>
      </w:r>
    </w:p>
  </w:footnote>
  <w:footnote w:id="28">
    <w:p w14:paraId="75C5A5A5" w14:textId="77777777" w:rsidR="009221E2" w:rsidRPr="00086726" w:rsidRDefault="009221E2" w:rsidP="004076F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Quinta Época, de la Gaceta del Seman</w:t>
      </w:r>
      <w:r>
        <w:rPr>
          <w:rFonts w:ascii="Arial" w:hAnsi="Arial" w:cs="Arial"/>
          <w:sz w:val="16"/>
          <w:szCs w:val="16"/>
        </w:rPr>
        <w:t>ario Judicial de la Federación,</w:t>
      </w:r>
      <w:r w:rsidRPr="00086726">
        <w:rPr>
          <w:rFonts w:ascii="Arial" w:hAnsi="Arial" w:cs="Arial"/>
          <w:sz w:val="16"/>
          <w:szCs w:val="16"/>
        </w:rPr>
        <w:t xml:space="preserve"> Tomo CXXIX, página </w:t>
      </w:r>
      <w:proofErr w:type="gramStart"/>
      <w:r w:rsidRPr="00086726">
        <w:rPr>
          <w:rFonts w:ascii="Arial" w:hAnsi="Arial" w:cs="Arial"/>
          <w:sz w:val="16"/>
          <w:szCs w:val="16"/>
        </w:rPr>
        <w:t>762 .</w:t>
      </w:r>
      <w:proofErr w:type="gramEnd"/>
      <w:r w:rsidRPr="00086726">
        <w:rPr>
          <w:rFonts w:ascii="Arial" w:hAnsi="Arial" w:cs="Arial"/>
          <w:sz w:val="16"/>
          <w:szCs w:val="16"/>
        </w:rPr>
        <w:t xml:space="preserve"> Instancia: Segunda Sala de la Suprema Corte de Justicia de la Nación, con Registro electrónico:  316251</w:t>
      </w:r>
    </w:p>
  </w:footnote>
  <w:footnote w:id="29">
    <w:p w14:paraId="3A70AC0B" w14:textId="77777777" w:rsidR="009221E2" w:rsidRPr="00086726" w:rsidRDefault="009221E2" w:rsidP="004076F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Séptima Época, de la Gaceta del Semanario Judicial de la Federación, Volumen 103-108, Sexta Parte, página 198. Instancia: Tribunales Colegiados de Circuito, con Registro electrónico:  252861</w:t>
      </w:r>
    </w:p>
  </w:footnote>
  <w:footnote w:id="30">
    <w:p w14:paraId="0F84FAA4" w14:textId="77777777" w:rsidR="009221E2" w:rsidRPr="00086726" w:rsidRDefault="009221E2" w:rsidP="004076F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número:  P. XIX/96, visible en la Novena Época, de la Gaceta del Semanario Judicial de la Federación, Tomo III, Marzo de 1996, página </w:t>
      </w:r>
      <w:proofErr w:type="gramStart"/>
      <w:r w:rsidRPr="00086726">
        <w:rPr>
          <w:rFonts w:ascii="Arial" w:hAnsi="Arial" w:cs="Arial"/>
          <w:sz w:val="16"/>
          <w:szCs w:val="16"/>
        </w:rPr>
        <w:t>465 .</w:t>
      </w:r>
      <w:proofErr w:type="gramEnd"/>
      <w:r w:rsidRPr="00086726">
        <w:rPr>
          <w:rFonts w:ascii="Arial" w:hAnsi="Arial" w:cs="Arial"/>
          <w:sz w:val="16"/>
          <w:szCs w:val="16"/>
        </w:rPr>
        <w:t xml:space="preserve"> Instancia: Tribunales Colegiados de Circuito, con Registro electrónico:  200184</w:t>
      </w:r>
    </w:p>
  </w:footnote>
  <w:footnote w:id="31">
    <w:p w14:paraId="7B90147B" w14:textId="77777777" w:rsidR="009221E2" w:rsidRPr="00086726" w:rsidRDefault="009221E2" w:rsidP="004076F7">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Semanario Judicial de la Federación y su Gaceta, Novena Época, </w:t>
      </w:r>
      <w:r w:rsidRPr="00086726">
        <w:rPr>
          <w:rStyle w:val="ng-star-inserted"/>
          <w:rFonts w:ascii="Arial" w:hAnsi="Arial" w:cs="Arial"/>
          <w:sz w:val="16"/>
          <w:szCs w:val="16"/>
        </w:rPr>
        <w:t xml:space="preserve">Tomo III, </w:t>
      </w:r>
      <w:proofErr w:type="gramStart"/>
      <w:r w:rsidRPr="00086726">
        <w:rPr>
          <w:rStyle w:val="ng-star-inserted"/>
          <w:rFonts w:ascii="Arial" w:hAnsi="Arial" w:cs="Arial"/>
          <w:sz w:val="16"/>
          <w:szCs w:val="16"/>
        </w:rPr>
        <w:t>Marzo</w:t>
      </w:r>
      <w:proofErr w:type="gramEnd"/>
      <w:r w:rsidRPr="00086726">
        <w:rPr>
          <w:rStyle w:val="ng-star-inserted"/>
          <w:rFonts w:ascii="Arial" w:hAnsi="Arial" w:cs="Arial"/>
          <w:sz w:val="16"/>
          <w:szCs w:val="16"/>
        </w:rPr>
        <w:t xml:space="preserve"> de 1996</w:t>
      </w:r>
      <w:r w:rsidRPr="00086726">
        <w:rPr>
          <w:rFonts w:ascii="Arial" w:hAnsi="Arial" w:cs="Arial"/>
          <w:sz w:val="16"/>
          <w:szCs w:val="16"/>
        </w:rPr>
        <w:t xml:space="preserve">, Pleno de la Suprema Corte de Justicia de la Nación, p. </w:t>
      </w:r>
      <w:r>
        <w:rPr>
          <w:rFonts w:ascii="Arial" w:hAnsi="Arial" w:cs="Arial"/>
          <w:sz w:val="16"/>
          <w:szCs w:val="16"/>
        </w:rPr>
        <w:t>465</w:t>
      </w:r>
      <w:r w:rsidRPr="00086726">
        <w:rPr>
          <w:rFonts w:ascii="Arial" w:hAnsi="Arial" w:cs="Arial"/>
          <w:sz w:val="16"/>
          <w:szCs w:val="16"/>
        </w:rPr>
        <w:t>, Tesis: P. XX/96, Registro: 200185.</w:t>
      </w:r>
    </w:p>
  </w:footnote>
  <w:footnote w:id="32">
    <w:p w14:paraId="616EA7A5" w14:textId="77777777" w:rsidR="009221E2" w:rsidRDefault="009221E2" w:rsidP="004076F7">
      <w:pPr>
        <w:pStyle w:val="Textonotapie"/>
      </w:pPr>
      <w:r>
        <w:rPr>
          <w:rStyle w:val="Refdenotaalpie"/>
        </w:rPr>
        <w:footnoteRef/>
      </w:r>
      <w:r>
        <w:t xml:space="preserve"> </w:t>
      </w:r>
      <w:r w:rsidRPr="00086726">
        <w:rPr>
          <w:rFonts w:ascii="Arial" w:hAnsi="Arial" w:cs="Arial"/>
          <w:sz w:val="16"/>
          <w:szCs w:val="16"/>
        </w:rPr>
        <w:t xml:space="preserve">Cfr. Tesis Aislada, número:  P. XIX/96, visible en la </w:t>
      </w:r>
      <w:r>
        <w:rPr>
          <w:rFonts w:ascii="Arial" w:hAnsi="Arial" w:cs="Arial"/>
          <w:sz w:val="16"/>
          <w:szCs w:val="16"/>
        </w:rPr>
        <w:t>Séptima</w:t>
      </w:r>
      <w:r w:rsidRPr="00086726">
        <w:rPr>
          <w:rFonts w:ascii="Arial" w:hAnsi="Arial" w:cs="Arial"/>
          <w:sz w:val="16"/>
          <w:szCs w:val="16"/>
        </w:rPr>
        <w:t xml:space="preserve"> Época, de la Gaceta del Semanario Judicial de la Federación, </w:t>
      </w:r>
      <w:r w:rsidRPr="00EC3105">
        <w:rPr>
          <w:rFonts w:ascii="Arial" w:hAnsi="Arial" w:cs="Arial"/>
          <w:sz w:val="16"/>
          <w:szCs w:val="16"/>
        </w:rPr>
        <w:t>Volumen 61, Sexta Parte, página 53</w:t>
      </w:r>
      <w:r w:rsidRPr="00086726">
        <w:rPr>
          <w:rFonts w:ascii="Arial" w:hAnsi="Arial" w:cs="Arial"/>
          <w:sz w:val="16"/>
          <w:szCs w:val="16"/>
        </w:rPr>
        <w:t>. Instancia: Tribunales Colegiados de Circuito, con Registro electrónico:  </w:t>
      </w:r>
      <w:r w:rsidRPr="00EC3105">
        <w:rPr>
          <w:rFonts w:ascii="Arial" w:hAnsi="Arial" w:cs="Arial"/>
          <w:sz w:val="16"/>
          <w:szCs w:val="16"/>
        </w:rPr>
        <w:t>255178</w:t>
      </w:r>
      <w:r>
        <w:rPr>
          <w:rFonts w:ascii="Arial" w:hAnsi="Arial" w:cs="Arial"/>
          <w:sz w:val="16"/>
          <w:szCs w:val="16"/>
        </w:rPr>
        <w:t>.</w:t>
      </w:r>
    </w:p>
  </w:footnote>
  <w:footnote w:id="33">
    <w:p w14:paraId="6D22539C" w14:textId="77777777" w:rsidR="009221E2" w:rsidRPr="00DA6DE5" w:rsidRDefault="009221E2" w:rsidP="004076F7">
      <w:pPr>
        <w:pStyle w:val="Textonotapie"/>
        <w:rPr>
          <w:rFonts w:ascii="Arial" w:hAnsi="Arial" w:cs="Arial"/>
          <w:sz w:val="16"/>
          <w:szCs w:val="16"/>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hAnsi="Arial" w:cs="Arial"/>
          <w:i/>
          <w:sz w:val="16"/>
          <w:szCs w:val="16"/>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w:t>
      </w:r>
      <w:proofErr w:type="gramStart"/>
      <w:r w:rsidRPr="00DA6DE5">
        <w:rPr>
          <w:rFonts w:ascii="Arial" w:hAnsi="Arial" w:cs="Arial"/>
          <w:i/>
          <w:sz w:val="16"/>
          <w:szCs w:val="16"/>
        </w:rPr>
        <w:t>ley.</w:t>
      </w:r>
      <w:r w:rsidRPr="00DA6DE5">
        <w:rPr>
          <w:rFonts w:ascii="Arial" w:hAnsi="Arial" w:cs="Arial"/>
          <w:sz w:val="16"/>
          <w:szCs w:val="16"/>
        </w:rPr>
        <w:t>[</w:t>
      </w:r>
      <w:proofErr w:type="gramEnd"/>
      <w:r w:rsidRPr="00DA6DE5">
        <w:rPr>
          <w:rFonts w:ascii="Arial" w:hAnsi="Arial" w:cs="Arial"/>
          <w:sz w:val="16"/>
          <w:szCs w:val="16"/>
        </w:rPr>
        <w:t>…]” Constitución Política de los Estados Unidos Mexicanos, con última Reforma publicada en el Diario Oficial de la Federación, el quince de octubre de dos mil veinticinco.</w:t>
      </w:r>
    </w:p>
  </w:footnote>
  <w:footnote w:id="34">
    <w:p w14:paraId="58EE6C60" w14:textId="77777777" w:rsidR="009221E2" w:rsidRPr="00DA6DE5" w:rsidRDefault="009221E2" w:rsidP="004076F7">
      <w:pPr>
        <w:spacing w:after="0" w:line="240" w:lineRule="auto"/>
        <w:jc w:val="both"/>
        <w:rPr>
          <w:rFonts w:ascii="Arial" w:eastAsia="Times New Roman" w:hAnsi="Arial" w:cs="Arial"/>
          <w:sz w:val="16"/>
          <w:szCs w:val="16"/>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eastAsia="Times New Roman" w:hAnsi="Arial" w:cs="Arial"/>
          <w:sz w:val="16"/>
          <w:szCs w:val="16"/>
        </w:rPr>
        <w:t>PRINCIPIO DE PROGRESIVIDAD DE LOS DERECHOS HUMANOS. LA PROHIBICIÓN QUE TIENEN LAS AUTORIDADES DEL ESTADO MEXICANO DE ADOPTAR MEDIDAS REGRESIVAS NO ES ABSOLUTA, PUES EXCEPCIONALMENTE ÉSTAS SON ADMISIBLES SI SE JUSTIFICAN PLENAMENTE.</w:t>
      </w:r>
    </w:p>
    <w:p w14:paraId="4DC07D82" w14:textId="77777777" w:rsidR="009221E2" w:rsidRPr="006B7D88" w:rsidRDefault="009221E2" w:rsidP="004076F7">
      <w:pPr>
        <w:spacing w:after="0" w:line="240" w:lineRule="auto"/>
        <w:jc w:val="both"/>
        <w:rPr>
          <w:rFonts w:ascii="Arial" w:eastAsia="Times New Roman" w:hAnsi="Arial" w:cs="Arial"/>
          <w:sz w:val="16"/>
          <w:szCs w:val="16"/>
        </w:rPr>
      </w:pPr>
      <w:r w:rsidRPr="00DA6DE5">
        <w:rPr>
          <w:rFonts w:ascii="Arial" w:eastAsia="Times New Roman" w:hAnsi="Arial" w:cs="Arial"/>
          <w:sz w:val="16"/>
          <w:szCs w:val="16"/>
        </w:rPr>
        <w:t xml:space="preserve">El principio referido impone al Estado, entre otras cuestiones, la prohibición de regresividad, la cual no es absoluta y puede haber circunstancias que justifiquen una regresión en cuanto al alcance y tutela de un determinado derecho fundamental. Sin embargo, dichas circunstancias están sujetas a un escrutinio estricto, pues implican la restricción de un derecho humano. En este sentido, </w:t>
      </w:r>
      <w:r w:rsidRPr="00DA6DE5">
        <w:rPr>
          <w:rFonts w:ascii="Arial" w:eastAsia="Times New Roman" w:hAnsi="Arial" w:cs="Arial"/>
          <w:b/>
          <w:sz w:val="16"/>
          <w:szCs w:val="16"/>
        </w:rPr>
        <w:t>corresponde a la autoridad que pretende realizar una medida regresiva</w:t>
      </w:r>
      <w:r w:rsidRPr="00DA6DE5">
        <w:rPr>
          <w:rFonts w:ascii="Arial" w:eastAsia="Times New Roman" w:hAnsi="Arial" w:cs="Arial"/>
          <w:sz w:val="16"/>
          <w:szCs w:val="16"/>
        </w:rPr>
        <w:t xml:space="preserve"> (legislativa, administrativa o, incluso, judicial) </w:t>
      </w:r>
      <w:r w:rsidRPr="00DA6DE5">
        <w:rPr>
          <w:rFonts w:ascii="Arial" w:eastAsia="Times New Roman" w:hAnsi="Arial" w:cs="Arial"/>
          <w:b/>
          <w:sz w:val="16"/>
          <w:szCs w:val="16"/>
        </w:rPr>
        <w:t>justificar plenamente esa decisión</w:t>
      </w:r>
      <w:r w:rsidRPr="00DA6DE5">
        <w:rPr>
          <w:rFonts w:ascii="Arial" w:eastAsia="Times New Roman" w:hAnsi="Arial" w:cs="Arial"/>
          <w:sz w:val="16"/>
          <w:szCs w:val="16"/>
        </w:rPr>
        <w:t xml:space="preserve">. En efecto, en virtud de que el artículo </w:t>
      </w:r>
      <w:hyperlink r:id="rId1" w:history="1">
        <w:r w:rsidRPr="00DA6DE5">
          <w:rPr>
            <w:rFonts w:ascii="Arial" w:eastAsia="Times New Roman" w:hAnsi="Arial" w:cs="Arial"/>
            <w:b/>
            <w:bCs/>
            <w:color w:val="0000FF"/>
            <w:sz w:val="16"/>
            <w:szCs w:val="16"/>
            <w:u w:val="single"/>
          </w:rPr>
          <w:t>1o. de la Constitución Política de los Estados Unidos Mexicanos</w:t>
        </w:r>
      </w:hyperlink>
      <w:r w:rsidRPr="00DA6DE5">
        <w:rPr>
          <w:rFonts w:ascii="Arial" w:eastAsia="Times New Roman" w:hAnsi="Arial" w:cs="Arial"/>
          <w:sz w:val="16"/>
          <w:szCs w:val="16"/>
        </w:rPr>
        <w:t xml:space="preserve"> impone a todas las autoridades del Estado Mexicano la obligación de respetar el principio de progresividad, </w:t>
      </w:r>
      <w:r w:rsidRPr="00DA6DE5">
        <w:rPr>
          <w:rFonts w:ascii="Arial" w:eastAsia="Times New Roman" w:hAnsi="Arial" w:cs="Arial"/>
          <w:b/>
          <w:sz w:val="16"/>
          <w:szCs w:val="16"/>
        </w:rPr>
        <w:t>cuando cualquier autoridad, en el ámbito de su competencia,</w:t>
      </w:r>
      <w:r w:rsidRPr="006B7D88">
        <w:rPr>
          <w:rFonts w:ascii="Arial" w:eastAsia="Times New Roman" w:hAnsi="Arial" w:cs="Arial"/>
          <w:b/>
          <w:sz w:val="16"/>
          <w:szCs w:val="16"/>
        </w:rPr>
        <w:t xml:space="preserve"> adopta una medida regresiva en perjuicio de un derecho humano y alega para justificar su actuación</w:t>
      </w:r>
      <w:r w:rsidRPr="006B7D88">
        <w:rPr>
          <w:rFonts w:ascii="Arial" w:eastAsia="Times New Roman" w:hAnsi="Arial" w:cs="Arial"/>
          <w:sz w:val="16"/>
          <w:szCs w:val="16"/>
        </w:rPr>
        <w:t xml:space="preserve">, por ejemplo, la falta de recursos, </w:t>
      </w:r>
      <w:r w:rsidRPr="006B7D88">
        <w:rPr>
          <w:rFonts w:ascii="Arial" w:eastAsia="Times New Roman" w:hAnsi="Arial" w:cs="Arial"/>
          <w:b/>
          <w:sz w:val="16"/>
          <w:szCs w:val="16"/>
        </w:rPr>
        <w:t>en ella recae la carga de probar fehacientemente esa situación</w:t>
      </w:r>
      <w:r w:rsidRPr="006B7D88">
        <w:rPr>
          <w:rFonts w:ascii="Arial" w:eastAsia="Times New Roman" w:hAnsi="Arial" w:cs="Arial"/>
          <w:sz w:val="16"/>
          <w:szCs w:val="16"/>
        </w:rPr>
        <w:t xml:space="preserve">, es decir, no sólo la carencia de recursos, sino que realizó todos los esfuerzos posibles para utilizar los recursos a su disposición, en el entendido de que las acciones y omisiones que impliquen regresión en el alcance y la tutela de un derecho humano sólo pueden justificarse si: a) se acredita la falta de recursos; b) se demuestra que se realizaron todos los esfuerzos necesarios para obtenerlos, sin éxito; y, c) se demuestra que se aplicó el máximo de los recursos o que los recursos de que se disponía se aplicaron a tutelar otro derecho humano (y no cualquier objetivo social), y que la importancia relativa de satisfacerlo prioritariamente, era mayor. </w:t>
      </w:r>
      <w:r w:rsidRPr="006B7D88">
        <w:rPr>
          <w:rFonts w:ascii="Arial" w:eastAsia="Times New Roman" w:hAnsi="Arial" w:cs="Arial"/>
          <w:b/>
          <w:sz w:val="16"/>
          <w:szCs w:val="16"/>
        </w:rPr>
        <w:t>Esto es, si bien es cierto que las autoridades legislativas y administrativas tienen, en ciertos ámbitos, un holgado margen de actuación para diseñar políticas públicas, determinar su prioridad relativa y asignar recursos, también lo es que dicha libertad se restringe significativamente cuando está en juego la garantía de los diversos derechos humanos reconocidos por nuestro sistema jurídico, ya que éstos, en tanto normas que expresan el reconocimiento de principios de justicia de la máxima importancia moral, tienen prioridad prima facie frente a cualquier otro objetivo social o colectivo, pues en una sociedad liberal y democrática, estos últimos tienen solamente valor instrumental y no final, como los derechos humanos.</w:t>
      </w:r>
      <w:r>
        <w:rPr>
          <w:rFonts w:ascii="Arial" w:eastAsia="Times New Roman" w:hAnsi="Arial" w:cs="Arial"/>
          <w:b/>
          <w:sz w:val="16"/>
          <w:szCs w:val="16"/>
        </w:rPr>
        <w:t xml:space="preserve">” </w:t>
      </w:r>
      <w:r w:rsidRPr="0090625B">
        <w:rPr>
          <w:rFonts w:ascii="Arial" w:hAnsi="Arial" w:cs="Arial"/>
          <w:sz w:val="16"/>
          <w:szCs w:val="16"/>
        </w:rPr>
        <w:t xml:space="preserve">Cfr. Jurisprudencia número </w:t>
      </w:r>
      <w:r w:rsidRPr="009548BA">
        <w:rPr>
          <w:rFonts w:ascii="Arial" w:hAnsi="Arial" w:cs="Arial"/>
          <w:sz w:val="16"/>
          <w:szCs w:val="16"/>
        </w:rPr>
        <w:t>1a./J. 87/2017 (10a.)</w:t>
      </w:r>
      <w:r w:rsidRPr="0090625B">
        <w:rPr>
          <w:rFonts w:ascii="Arial" w:hAnsi="Arial" w:cs="Arial"/>
          <w:sz w:val="16"/>
          <w:szCs w:val="16"/>
        </w:rPr>
        <w:t xml:space="preserve">, visible en la Décima Época, de la Gaceta del Semanario Judicial de la Federación </w:t>
      </w:r>
      <w:r w:rsidRPr="009548BA">
        <w:rPr>
          <w:rStyle w:val="ng-star-inserted"/>
          <w:rFonts w:ascii="Arial" w:hAnsi="Arial" w:cs="Arial"/>
          <w:sz w:val="16"/>
          <w:szCs w:val="16"/>
        </w:rPr>
        <w:t xml:space="preserve">Libro 47, </w:t>
      </w:r>
      <w:proofErr w:type="gramStart"/>
      <w:r w:rsidRPr="009548BA">
        <w:rPr>
          <w:rStyle w:val="ng-star-inserted"/>
          <w:rFonts w:ascii="Arial" w:hAnsi="Arial" w:cs="Arial"/>
          <w:sz w:val="16"/>
          <w:szCs w:val="16"/>
        </w:rPr>
        <w:t>Octubre</w:t>
      </w:r>
      <w:proofErr w:type="gramEnd"/>
      <w:r w:rsidRPr="009548BA">
        <w:rPr>
          <w:rStyle w:val="ng-star-inserted"/>
          <w:rFonts w:ascii="Arial" w:hAnsi="Arial" w:cs="Arial"/>
          <w:sz w:val="16"/>
          <w:szCs w:val="16"/>
        </w:rPr>
        <w:t xml:space="preserve"> de 2017, Tomo I, página 188</w:t>
      </w:r>
      <w:r w:rsidRPr="0090625B">
        <w:rPr>
          <w:rFonts w:ascii="Arial" w:hAnsi="Arial" w:cs="Arial"/>
          <w:sz w:val="16"/>
          <w:szCs w:val="16"/>
        </w:rPr>
        <w:t xml:space="preserve">. Instancia: </w:t>
      </w:r>
      <w:r>
        <w:rPr>
          <w:rFonts w:ascii="Arial" w:hAnsi="Arial" w:cs="Arial"/>
          <w:sz w:val="16"/>
          <w:szCs w:val="16"/>
        </w:rPr>
        <w:t>Primera Sala de la Suprema Corte de Justicia de la Nación</w:t>
      </w:r>
      <w:r w:rsidRPr="0090625B">
        <w:rPr>
          <w:rFonts w:ascii="Arial" w:hAnsi="Arial" w:cs="Arial"/>
          <w:sz w:val="16"/>
          <w:szCs w:val="16"/>
        </w:rPr>
        <w:t xml:space="preserve">, con Registro electrónico: </w:t>
      </w:r>
      <w:r w:rsidRPr="009548BA">
        <w:rPr>
          <w:rFonts w:ascii="Arial" w:hAnsi="Arial" w:cs="Arial"/>
          <w:sz w:val="16"/>
          <w:szCs w:val="16"/>
        </w:rPr>
        <w:t>2015304</w:t>
      </w:r>
      <w:r w:rsidRPr="0090625B">
        <w:rPr>
          <w:rFonts w:ascii="Arial" w:hAnsi="Arial" w:cs="Arial"/>
          <w:sz w:val="16"/>
          <w:szCs w:val="16"/>
        </w:rPr>
        <w:t>.</w:t>
      </w:r>
    </w:p>
  </w:footnote>
  <w:footnote w:id="35">
    <w:p w14:paraId="6C9BCDE0" w14:textId="77777777" w:rsidR="009221E2" w:rsidRPr="00C1032B" w:rsidRDefault="009221E2" w:rsidP="00F0140D">
      <w:pPr>
        <w:pStyle w:val="Textonotapie"/>
        <w:jc w:val="both"/>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120. La clasificación de la información se llevará a cabo en el momento en que: </w:t>
      </w:r>
    </w:p>
    <w:p w14:paraId="3035E890" w14:textId="77777777" w:rsidR="009221E2" w:rsidRPr="00C1032B" w:rsidRDefault="009221E2" w:rsidP="00F0140D">
      <w:pPr>
        <w:pStyle w:val="Textonotapie"/>
        <w:jc w:val="both"/>
        <w:rPr>
          <w:rFonts w:ascii="Arial" w:hAnsi="Arial" w:cs="Arial"/>
          <w:sz w:val="16"/>
          <w:szCs w:val="16"/>
        </w:rPr>
      </w:pPr>
      <w:r w:rsidRPr="00C1032B">
        <w:rPr>
          <w:rFonts w:ascii="Arial" w:hAnsi="Arial" w:cs="Arial"/>
          <w:sz w:val="16"/>
          <w:szCs w:val="16"/>
        </w:rPr>
        <w:t xml:space="preserve">I. Se reciba una solicitud de acceso a la información; </w:t>
      </w:r>
    </w:p>
    <w:p w14:paraId="1F279C3B" w14:textId="77777777" w:rsidR="009221E2" w:rsidRDefault="009221E2" w:rsidP="00F0140D">
      <w:pPr>
        <w:pStyle w:val="Textonotapie"/>
        <w:jc w:val="both"/>
        <w:rPr>
          <w:rFonts w:ascii="Arial" w:hAnsi="Arial" w:cs="Arial"/>
          <w:sz w:val="16"/>
          <w:szCs w:val="16"/>
        </w:rPr>
      </w:pPr>
      <w:r w:rsidRPr="00EF0945">
        <w:rPr>
          <w:rFonts w:ascii="Arial" w:hAnsi="Arial" w:cs="Arial"/>
          <w:sz w:val="16"/>
          <w:szCs w:val="16"/>
        </w:rPr>
        <w:t xml:space="preserve">II. Se determine mediante resolución de autoridad competente, o </w:t>
      </w:r>
    </w:p>
    <w:p w14:paraId="4DA13496" w14:textId="77777777" w:rsidR="009221E2" w:rsidRPr="00EF0945" w:rsidRDefault="009221E2" w:rsidP="00F0140D">
      <w:pPr>
        <w:pStyle w:val="Textonotapie"/>
        <w:jc w:val="both"/>
        <w:rPr>
          <w:rFonts w:ascii="Arial" w:hAnsi="Arial" w:cs="Arial"/>
          <w:sz w:val="16"/>
          <w:szCs w:val="16"/>
        </w:rPr>
      </w:pPr>
      <w:r w:rsidRPr="00EF0945">
        <w:rPr>
          <w:rFonts w:ascii="Arial" w:hAnsi="Arial" w:cs="Arial"/>
          <w:sz w:val="16"/>
          <w:szCs w:val="16"/>
        </w:rPr>
        <w:t>III. Se generen versiones públicas para dar cumplimiento a las obligaciones de transparencia previstas en esta Ley.</w:t>
      </w:r>
    </w:p>
  </w:footnote>
  <w:footnote w:id="36">
    <w:p w14:paraId="3C6B3E53" w14:textId="77777777" w:rsidR="009221E2" w:rsidRPr="00BB51BC" w:rsidRDefault="009221E2" w:rsidP="00F0140D">
      <w:pPr>
        <w:pStyle w:val="Textonotapie"/>
        <w:jc w:val="both"/>
        <w:rPr>
          <w:rFonts w:ascii="Arial" w:hAnsi="Arial" w:cs="Arial"/>
          <w:sz w:val="16"/>
          <w:szCs w:val="16"/>
        </w:rPr>
      </w:pPr>
      <w:r w:rsidRPr="003E3A0D">
        <w:rPr>
          <w:rStyle w:val="Refdenotaalpie"/>
          <w:rFonts w:ascii="Arial" w:hAnsi="Arial" w:cs="Arial"/>
          <w:sz w:val="16"/>
          <w:szCs w:val="16"/>
        </w:rPr>
        <w:footnoteRef/>
      </w:r>
      <w:r w:rsidRPr="003E3A0D">
        <w:rPr>
          <w:rFonts w:ascii="Arial" w:hAnsi="Arial" w:cs="Arial"/>
          <w:sz w:val="16"/>
          <w:szCs w:val="16"/>
        </w:rPr>
        <w:t xml:space="preserve"> ARTÍCULO 114. La clasificación</w:t>
      </w:r>
      <w:r w:rsidRPr="00BB51BC">
        <w:rPr>
          <w:rFonts w:ascii="Arial" w:hAnsi="Arial" w:cs="Arial"/>
          <w:sz w:val="16"/>
          <w:szCs w:val="16"/>
        </w:rPr>
        <w:t xml:space="preserve"> es el proceso mediante el cual el sujeto obligado determina que la información en su poder actualizar alguno de los supuestos de reserva o confidencialidad, de conformidad con lo dispuesto en el presente Título. Los supuestos de reserva o confidencialidad previstos en las leyes deberán ser acordes con las bases, principios y disposiciones establecidos en esta Ley y, en ningún caso, podrán contravenirla. Los titulares de las Áreas de los sujetos obligados serán los responsables de clasificar la información, de conformidad con lo dispuesto en, la Ley General y esta Ley.</w:t>
      </w:r>
    </w:p>
  </w:footnote>
  <w:footnote w:id="37">
    <w:p w14:paraId="7942DC34" w14:textId="77777777" w:rsidR="009221E2" w:rsidRDefault="009221E2" w:rsidP="004076F7">
      <w:pPr>
        <w:pStyle w:val="Textonotapie"/>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w:t>
      </w:r>
      <w:r w:rsidRPr="00B9342C">
        <w:rPr>
          <w:rFonts w:ascii="Arial" w:hAnsi="Arial" w:cs="Arial"/>
          <w:sz w:val="16"/>
          <w:szCs w:val="16"/>
        </w:rPr>
        <w:t>ARTÍCULO 159. En caso de que los sujetos obligados consideren que los documentos o la información deba ser clasificada, se sujetará a lo siguiente: El Área deberá remitir la solicitud, así como un escrito en el que funde y motive la clasificación al Comité de Transparencia, mismo</w:t>
      </w:r>
      <w:r w:rsidRPr="00BB51BC">
        <w:rPr>
          <w:rFonts w:ascii="Arial" w:hAnsi="Arial" w:cs="Arial"/>
          <w:sz w:val="16"/>
          <w:szCs w:val="16"/>
        </w:rPr>
        <w:t xml:space="preserve"> que deberá resolver para: </w:t>
      </w:r>
    </w:p>
    <w:p w14:paraId="15069FDE" w14:textId="77777777" w:rsidR="009221E2" w:rsidRDefault="009221E2" w:rsidP="004076F7">
      <w:pPr>
        <w:pStyle w:val="Textonotapie"/>
        <w:rPr>
          <w:rFonts w:ascii="Arial" w:hAnsi="Arial" w:cs="Arial"/>
          <w:sz w:val="16"/>
          <w:szCs w:val="16"/>
        </w:rPr>
      </w:pPr>
      <w:r w:rsidRPr="00BB51BC">
        <w:rPr>
          <w:rFonts w:ascii="Arial" w:hAnsi="Arial" w:cs="Arial"/>
          <w:sz w:val="16"/>
          <w:szCs w:val="16"/>
        </w:rPr>
        <w:t xml:space="preserve">I. Confirmar la clasificación; </w:t>
      </w:r>
    </w:p>
    <w:p w14:paraId="3A2FCD8F" w14:textId="77777777" w:rsidR="009221E2" w:rsidRDefault="009221E2" w:rsidP="004076F7">
      <w:pPr>
        <w:pStyle w:val="Textonotapie"/>
        <w:rPr>
          <w:rFonts w:ascii="Arial" w:hAnsi="Arial" w:cs="Arial"/>
          <w:sz w:val="16"/>
          <w:szCs w:val="16"/>
        </w:rPr>
      </w:pPr>
      <w:r w:rsidRPr="00BB51BC">
        <w:rPr>
          <w:rFonts w:ascii="Arial" w:hAnsi="Arial" w:cs="Arial"/>
          <w:sz w:val="16"/>
          <w:szCs w:val="16"/>
        </w:rPr>
        <w:t xml:space="preserve">II. Modificar la clasificación y otorgar total o parcialmente el acceso a la información, y </w:t>
      </w:r>
    </w:p>
    <w:p w14:paraId="56EDAC7B" w14:textId="77777777" w:rsidR="009221E2" w:rsidRPr="0031250F" w:rsidRDefault="009221E2" w:rsidP="004076F7">
      <w:pPr>
        <w:pStyle w:val="Textonotapie"/>
        <w:rPr>
          <w:rFonts w:ascii="Arial" w:hAnsi="Arial" w:cs="Arial"/>
          <w:sz w:val="16"/>
          <w:szCs w:val="16"/>
        </w:rPr>
      </w:pPr>
      <w:r w:rsidRPr="00BB51BC">
        <w:rPr>
          <w:rFonts w:ascii="Arial" w:hAnsi="Arial" w:cs="Arial"/>
          <w:sz w:val="16"/>
          <w:szCs w:val="16"/>
        </w:rPr>
        <w:t>III. Revocar la clasificación y conceder el acceso a la información. El Comité de Transparencia podrá tener acceso a la</w:t>
      </w:r>
      <w:r>
        <w:rPr>
          <w:rFonts w:ascii="Arial" w:hAnsi="Arial" w:cs="Arial"/>
          <w:sz w:val="16"/>
          <w:szCs w:val="16"/>
        </w:rPr>
        <w:t xml:space="preserve"> </w:t>
      </w:r>
      <w:r w:rsidRPr="0031250F">
        <w:rPr>
          <w:rFonts w:ascii="Arial" w:hAnsi="Arial" w:cs="Arial"/>
          <w:sz w:val="16"/>
          <w:szCs w:val="16"/>
        </w:rPr>
        <w:t>información que esté en poder del Área correspondiente, de la cual se haya solicitado su clasificación. La resolución del Comité de Transparencia será notificada al interesado en el plazo de respuesta a la solicitud que establece el artículo 154 de la presente Ley</w:t>
      </w:r>
    </w:p>
  </w:footnote>
  <w:footnote w:id="38">
    <w:p w14:paraId="05505C95" w14:textId="77777777" w:rsidR="009221E2" w:rsidRPr="00EC32C8" w:rsidRDefault="009221E2" w:rsidP="00F0140D">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39">
    <w:p w14:paraId="76FC7E17" w14:textId="77777777" w:rsidR="009221E2" w:rsidRPr="00EC32C8" w:rsidRDefault="009221E2" w:rsidP="00F0140D">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40">
    <w:p w14:paraId="4F7E40E0" w14:textId="77777777" w:rsidR="009221E2" w:rsidRPr="00EC32C8" w:rsidRDefault="009221E2" w:rsidP="00F0140D">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1">
    <w:p w14:paraId="398BA96B" w14:textId="77777777" w:rsidR="009221E2" w:rsidRPr="00EC32C8" w:rsidRDefault="009221E2" w:rsidP="00F0140D">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ARTÍCULO 166. El solicitante podrá interponer, por sí mismo o a través de su representante, de manera directa o por medios electrónicos, recurso de revisión ante la CEGAIP o ante la Unidad de Transparencia que haya conocido de la solicitud dentro de los quince días siguientes a la fecha de la notificación de la respuesta, o del vencimiento del plazo para su</w:t>
      </w:r>
      <w:r>
        <w:rPr>
          <w:rFonts w:ascii="Arial" w:hAnsi="Arial" w:cs="Arial"/>
          <w:sz w:val="16"/>
          <w:szCs w:val="16"/>
        </w:rPr>
        <w:t xml:space="preserve"> </w:t>
      </w:r>
      <w:r w:rsidRPr="00EC32C8">
        <w:rPr>
          <w:rFonts w:ascii="Arial" w:hAnsi="Arial" w:cs="Arial"/>
          <w:sz w:val="16"/>
          <w:szCs w:val="16"/>
        </w:rPr>
        <w:t>notificación.</w:t>
      </w:r>
    </w:p>
  </w:footnote>
  <w:footnote w:id="42">
    <w:p w14:paraId="3DEF31C2" w14:textId="77777777" w:rsidR="009221E2" w:rsidRPr="00BD4ABB" w:rsidRDefault="009221E2" w:rsidP="00F0140D">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w:t>
      </w:r>
      <w:r w:rsidRPr="001B1295">
        <w:rPr>
          <w:rFonts w:ascii="Arial" w:hAnsi="Arial" w:cs="Arial"/>
          <w:sz w:val="16"/>
          <w:szCs w:val="16"/>
        </w:rPr>
        <w:t>I. La clasificación de la información</w:t>
      </w:r>
    </w:p>
  </w:footnote>
  <w:footnote w:id="43">
    <w:p w14:paraId="1C54A8AF" w14:textId="77777777" w:rsidR="009221E2" w:rsidRPr="00BD4ABB" w:rsidRDefault="009221E2" w:rsidP="00F0140D">
      <w:pPr>
        <w:pStyle w:val="Textonotapie"/>
        <w:rPr>
          <w:rFonts w:ascii="Arial" w:hAnsi="Arial" w:cs="Arial"/>
          <w:sz w:val="16"/>
          <w:szCs w:val="16"/>
        </w:rPr>
      </w:pPr>
      <w:r w:rsidRPr="00BD4ABB">
        <w:rPr>
          <w:rStyle w:val="Refdenotaalpie"/>
          <w:rFonts w:ascii="Arial" w:hAnsi="Arial" w:cs="Arial"/>
          <w:sz w:val="16"/>
          <w:szCs w:val="16"/>
        </w:rPr>
        <w:footnoteRef/>
      </w:r>
      <w:r w:rsidRPr="00BD4ABB">
        <w:rPr>
          <w:rFonts w:ascii="Arial" w:hAnsi="Arial" w:cs="Arial"/>
          <w:sz w:val="16"/>
          <w:szCs w:val="16"/>
        </w:rPr>
        <w:t xml:space="preserve"> ARTÍCULO 167. El recurso de revisión procederá en contra de:</w:t>
      </w:r>
    </w:p>
  </w:footnote>
  <w:footnote w:id="44">
    <w:p w14:paraId="76D806CE" w14:textId="77777777" w:rsidR="009221E2" w:rsidRPr="00455D46" w:rsidRDefault="009221E2" w:rsidP="00F0140D">
      <w:pPr>
        <w:pStyle w:val="Textonotapie"/>
        <w:rPr>
          <w:rFonts w:ascii="Arial" w:hAnsi="Arial" w:cs="Arial"/>
          <w:sz w:val="16"/>
          <w:szCs w:val="16"/>
        </w:rPr>
      </w:pPr>
      <w:r w:rsidRPr="00455D46">
        <w:rPr>
          <w:rStyle w:val="Refdenotaalpie"/>
          <w:rFonts w:ascii="Arial" w:hAnsi="Arial" w:cs="Arial"/>
          <w:sz w:val="16"/>
          <w:szCs w:val="16"/>
        </w:rPr>
        <w:footnoteRef/>
      </w:r>
      <w:r w:rsidRPr="00455D46">
        <w:rPr>
          <w:rFonts w:ascii="Arial" w:hAnsi="Arial" w:cs="Arial"/>
          <w:sz w:val="16"/>
          <w:szCs w:val="16"/>
        </w:rPr>
        <w:t xml:space="preserve"> ARTÍCULO 173. La CEGAIP, al resolver el recurso de revisión, deberá aplicar una prueba de interés público con base en elementos de idoneidad, necesidad y proporcionalidad, cuando exista una colisión de derechos. Para estos efectos, se entenderá por: </w:t>
      </w:r>
    </w:p>
    <w:p w14:paraId="588A06BE" w14:textId="77777777" w:rsidR="009221E2" w:rsidRPr="00455D46" w:rsidRDefault="009221E2" w:rsidP="00F0140D">
      <w:pPr>
        <w:pStyle w:val="Textonotapie"/>
        <w:rPr>
          <w:rFonts w:ascii="Arial" w:hAnsi="Arial" w:cs="Arial"/>
          <w:sz w:val="16"/>
          <w:szCs w:val="16"/>
        </w:rPr>
      </w:pPr>
      <w:r w:rsidRPr="00455D46">
        <w:rPr>
          <w:rFonts w:ascii="Arial" w:hAnsi="Arial" w:cs="Arial"/>
          <w:sz w:val="16"/>
          <w:szCs w:val="16"/>
        </w:rPr>
        <w:t>I. Idoneidad: La legitimidad del derecho adoptado como preferente, que sea el adecuado para el logro de un fin constitucionalmente válido o apto para conseguir el fin pretendido;</w:t>
      </w:r>
    </w:p>
    <w:p w14:paraId="4231953E" w14:textId="77777777" w:rsidR="009221E2" w:rsidRPr="009B71E3" w:rsidRDefault="009221E2" w:rsidP="00F0140D">
      <w:pPr>
        <w:pStyle w:val="Textonotapie"/>
        <w:rPr>
          <w:rFonts w:ascii="Arial" w:hAnsi="Arial" w:cs="Arial"/>
          <w:sz w:val="16"/>
          <w:szCs w:val="16"/>
        </w:rPr>
      </w:pPr>
      <w:r w:rsidRPr="00455D46">
        <w:rPr>
          <w:rFonts w:ascii="Arial" w:hAnsi="Arial" w:cs="Arial"/>
          <w:sz w:val="16"/>
          <w:szCs w:val="16"/>
        </w:rPr>
        <w:t xml:space="preserve">II. </w:t>
      </w:r>
      <w:r w:rsidRPr="009B71E3">
        <w:rPr>
          <w:rFonts w:ascii="Arial" w:hAnsi="Arial" w:cs="Arial"/>
          <w:sz w:val="16"/>
          <w:szCs w:val="16"/>
        </w:rPr>
        <w:t xml:space="preserve">Necesidad: La falta de un medio alternativo menos lesivo a la apertura de la información, para satisfacer el interés público, y </w:t>
      </w:r>
    </w:p>
    <w:p w14:paraId="03374CC9" w14:textId="77777777" w:rsidR="009221E2" w:rsidRPr="00204F88" w:rsidRDefault="009221E2" w:rsidP="00F0140D">
      <w:pPr>
        <w:pStyle w:val="Textonotapie"/>
        <w:rPr>
          <w:rFonts w:ascii="Arial" w:hAnsi="Arial" w:cs="Arial"/>
          <w:sz w:val="16"/>
          <w:szCs w:val="16"/>
        </w:rPr>
      </w:pPr>
      <w:r w:rsidRPr="009B71E3">
        <w:rPr>
          <w:rFonts w:ascii="Arial" w:hAnsi="Arial" w:cs="Arial"/>
          <w:sz w:val="16"/>
          <w:szCs w:val="16"/>
        </w:rPr>
        <w:t xml:space="preserve">III. </w:t>
      </w:r>
      <w:r w:rsidRPr="00204F88">
        <w:rPr>
          <w:rFonts w:ascii="Arial" w:hAnsi="Arial" w:cs="Arial"/>
          <w:sz w:val="16"/>
          <w:szCs w:val="16"/>
        </w:rPr>
        <w:t>Proporcionalidad: El equilibrio entre perjuicio y beneficio a favor del interés público, a fin de que la decisión tomada represente un beneficio mayor al perjuicio que podría causar a la población.</w:t>
      </w:r>
    </w:p>
  </w:footnote>
  <w:footnote w:id="45">
    <w:p w14:paraId="7B8965A7" w14:textId="77777777" w:rsidR="009221E2" w:rsidRPr="00204F88" w:rsidRDefault="009221E2" w:rsidP="00F0140D">
      <w:pPr>
        <w:pStyle w:val="Textonotapie"/>
        <w:rPr>
          <w:rFonts w:ascii="Arial" w:hAnsi="Arial" w:cs="Arial"/>
          <w:sz w:val="16"/>
          <w:szCs w:val="16"/>
        </w:rPr>
      </w:pPr>
      <w:r w:rsidRPr="00204F88">
        <w:rPr>
          <w:rStyle w:val="Refdenotaalpie"/>
          <w:rFonts w:ascii="Arial" w:hAnsi="Arial" w:cs="Arial"/>
          <w:sz w:val="16"/>
          <w:szCs w:val="16"/>
        </w:rPr>
        <w:footnoteRef/>
      </w:r>
      <w:r w:rsidRPr="00204F88">
        <w:rPr>
          <w:rFonts w:ascii="Arial" w:hAnsi="Arial" w:cs="Arial"/>
          <w:sz w:val="16"/>
          <w:szCs w:val="16"/>
        </w:rPr>
        <w:t xml:space="preserve"> ARTÍCULO 23. Son sujetos obligados a transparentar y permitir el acceso a su información y proteger los datos personales que obren en su poder: cualquier autoridad, entidad, órgano y organismo de los poderes, Ejecutivo; Legislativo; y Judicial; y municipios, órganos autónomos, partidos políticos, candidatas y candidatos independientes, fideicomisos y fondos públicos, así como cualquier persona física, moral o sindicatos que reciban y ejerzan recursos públicos o realicen actos de autoridad en el ámbito estatal y municipal.</w:t>
      </w:r>
    </w:p>
  </w:footnote>
  <w:footnote w:id="46">
    <w:p w14:paraId="610D9F12" w14:textId="77777777" w:rsidR="009221E2" w:rsidRPr="009B71E3" w:rsidRDefault="009221E2" w:rsidP="00F0140D">
      <w:pPr>
        <w:pStyle w:val="Textonotapie"/>
        <w:jc w:val="both"/>
        <w:rPr>
          <w:rFonts w:ascii="Arial" w:hAnsi="Arial" w:cs="Arial"/>
          <w:sz w:val="16"/>
          <w:szCs w:val="16"/>
        </w:rPr>
      </w:pPr>
      <w:r w:rsidRPr="009B71E3">
        <w:rPr>
          <w:rStyle w:val="Refdenotaalpie"/>
          <w:rFonts w:ascii="Arial" w:hAnsi="Arial" w:cs="Arial"/>
          <w:sz w:val="16"/>
          <w:szCs w:val="16"/>
        </w:rPr>
        <w:footnoteRef/>
      </w:r>
      <w:r w:rsidRPr="009B71E3">
        <w:rPr>
          <w:rFonts w:ascii="Arial" w:hAnsi="Arial" w:cs="Arial"/>
          <w:sz w:val="16"/>
          <w:szCs w:val="16"/>
        </w:rPr>
        <w:t xml:space="preserve"> ARTÍCULO 4°. El derecho humano de acceso a la información comprende solicitar, investigar, difundir, buscar y recibir información. 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la esta Ley; y la normatividad aplicable en sus respectivas competencias, sólo podrá ser clasificada excepcionalmente en los términos que fija la ley</w:t>
      </w:r>
      <w:r>
        <w:rPr>
          <w:rFonts w:ascii="Arial" w:hAnsi="Arial" w:cs="Arial"/>
          <w:sz w:val="16"/>
          <w:szCs w:val="16"/>
        </w:rPr>
        <w:t xml:space="preserve"> […].</w:t>
      </w:r>
    </w:p>
  </w:footnote>
  <w:footnote w:id="47">
    <w:p w14:paraId="629C5991" w14:textId="77777777" w:rsidR="009221E2" w:rsidRPr="005F0121" w:rsidRDefault="009221E2" w:rsidP="00F0140D">
      <w:pPr>
        <w:pStyle w:val="Textonotapie"/>
        <w:jc w:val="both"/>
        <w:rPr>
          <w:rFonts w:ascii="Arial" w:hAnsi="Arial" w:cs="Arial"/>
          <w:sz w:val="16"/>
          <w:szCs w:val="16"/>
          <w:lang w:val="es-ES_tradnl"/>
        </w:rPr>
      </w:pPr>
      <w:r w:rsidRPr="005F0121">
        <w:rPr>
          <w:rStyle w:val="Refdenotaalpie"/>
          <w:rFonts w:ascii="Arial" w:hAnsi="Arial" w:cs="Arial"/>
          <w:sz w:val="16"/>
          <w:szCs w:val="16"/>
        </w:rPr>
        <w:footnoteRef/>
      </w:r>
      <w:r w:rsidRPr="005F0121">
        <w:rPr>
          <w:rFonts w:ascii="Arial" w:hAnsi="Arial" w:cs="Arial"/>
          <w:sz w:val="16"/>
          <w:szCs w:val="16"/>
        </w:rPr>
        <w:t xml:space="preserve"> Artículo 3º. </w:t>
      </w:r>
      <w:r w:rsidRPr="005F0121">
        <w:rPr>
          <w:rFonts w:ascii="Arial" w:hAnsi="Arial" w:cs="Arial"/>
          <w:sz w:val="16"/>
          <w:szCs w:val="16"/>
          <w:lang w:val="es-ES_tradnl"/>
        </w:rPr>
        <w:t>Para los efectos de la presente Ley se entenderá por:</w:t>
      </w:r>
    </w:p>
    <w:p w14:paraId="2324FC53" w14:textId="77777777" w:rsidR="009221E2" w:rsidRPr="005F0121" w:rsidRDefault="009221E2" w:rsidP="00F0140D">
      <w:pPr>
        <w:pStyle w:val="Textonotapie"/>
        <w:jc w:val="both"/>
        <w:rPr>
          <w:rFonts w:ascii="Arial" w:hAnsi="Arial" w:cs="Arial"/>
          <w:sz w:val="16"/>
          <w:szCs w:val="16"/>
          <w:lang w:val="es-ES_tradnl"/>
        </w:rPr>
      </w:pPr>
      <w:r w:rsidRPr="005F0121">
        <w:rPr>
          <w:rFonts w:ascii="Arial" w:hAnsi="Arial" w:cs="Arial"/>
          <w:sz w:val="16"/>
          <w:szCs w:val="16"/>
          <w:lang w:val="es-ES_tradnl"/>
        </w:rPr>
        <w:t>[…]</w:t>
      </w:r>
    </w:p>
    <w:p w14:paraId="5CF0BE2A" w14:textId="77777777" w:rsidR="009221E2" w:rsidRPr="00700018" w:rsidRDefault="009221E2" w:rsidP="00F0140D">
      <w:pPr>
        <w:pStyle w:val="Textonotapie"/>
        <w:jc w:val="both"/>
        <w:rPr>
          <w:rFonts w:ascii="Arial" w:hAnsi="Arial" w:cs="Arial"/>
          <w:sz w:val="16"/>
          <w:szCs w:val="16"/>
          <w:lang w:val="es-ES_tradnl"/>
        </w:rPr>
      </w:pPr>
      <w:r w:rsidRPr="005F0121">
        <w:rPr>
          <w:rFonts w:ascii="Arial" w:hAnsi="Arial" w:cs="Arial"/>
          <w:sz w:val="16"/>
          <w:szCs w:val="16"/>
          <w:lang w:val="es-ES_tradnl"/>
        </w:rPr>
        <w:t xml:space="preserve">XI. Datos personales: toda información sobre una persona física identificada o identificable, como lo es la relativa a su origen étnico o racial, características físicas, morales o emocionales, a su vida afectiva y familiar, domicilio, número telefónico, correo electrónico, patrimonio, ideología y opiniones políticas, afiliación sindical, creencias o convicciones religiosas o filosóficas, los estados de salud físicos o mentales, información genética, preferencia sexual, y otras análogas que afecten su intimidad. Se considerará identificable toda persona cuya identidad pueda determinarse, directa o </w:t>
      </w:r>
      <w:r w:rsidRPr="00700018">
        <w:rPr>
          <w:rFonts w:ascii="Arial" w:hAnsi="Arial" w:cs="Arial"/>
          <w:sz w:val="16"/>
          <w:szCs w:val="16"/>
          <w:lang w:val="es-ES_tradnl"/>
        </w:rPr>
        <w:t>indirectamente, en particular mediante un número de identificación o uno o varios elementos específicos, característicos de su identidad física, fisiológica, psíquica, económica, cultural o social.</w:t>
      </w:r>
      <w:r>
        <w:rPr>
          <w:rFonts w:ascii="Arial" w:hAnsi="Arial" w:cs="Arial"/>
          <w:sz w:val="16"/>
          <w:szCs w:val="16"/>
          <w:lang w:val="es-ES_tradnl"/>
        </w:rPr>
        <w:t xml:space="preserve"> […]”</w:t>
      </w:r>
      <w:r w:rsidRPr="00700018">
        <w:rPr>
          <w:rFonts w:ascii="Arial" w:hAnsi="Arial" w:cs="Arial"/>
          <w:sz w:val="16"/>
          <w:szCs w:val="16"/>
          <w:lang w:val="es-ES_tradnl"/>
        </w:rPr>
        <w:tab/>
      </w:r>
    </w:p>
    <w:p w14:paraId="1ABC2C13" w14:textId="77777777" w:rsidR="009221E2" w:rsidRPr="00700018" w:rsidRDefault="009221E2" w:rsidP="00F0140D">
      <w:pPr>
        <w:pStyle w:val="Textonotapie"/>
        <w:jc w:val="both"/>
        <w:rPr>
          <w:rFonts w:ascii="Arial" w:hAnsi="Arial" w:cs="Arial"/>
          <w:sz w:val="16"/>
          <w:szCs w:val="16"/>
        </w:rPr>
      </w:pPr>
      <w:r w:rsidRPr="00700018">
        <w:rPr>
          <w:rFonts w:ascii="Arial" w:hAnsi="Arial" w:cs="Arial"/>
          <w:sz w:val="16"/>
          <w:szCs w:val="16"/>
        </w:rPr>
        <w:t xml:space="preserve">fracción XI de la Ley de Transparencia y Acceso a la Información Pública del Estado.  </w:t>
      </w:r>
    </w:p>
  </w:footnote>
  <w:footnote w:id="48">
    <w:p w14:paraId="3FF38E13" w14:textId="77777777" w:rsidR="009221E2" w:rsidRPr="00700018" w:rsidRDefault="009221E2" w:rsidP="00F0140D">
      <w:pPr>
        <w:pStyle w:val="Textonotapie"/>
        <w:jc w:val="both"/>
        <w:rPr>
          <w:rFonts w:ascii="Arial" w:hAnsi="Arial" w:cs="Arial"/>
          <w:sz w:val="16"/>
          <w:szCs w:val="16"/>
          <w:lang w:val="es-ES_tradnl"/>
        </w:rPr>
      </w:pPr>
      <w:r w:rsidRPr="00700018">
        <w:rPr>
          <w:rStyle w:val="Refdenotaalpie"/>
          <w:rFonts w:ascii="Arial" w:hAnsi="Arial" w:cs="Arial"/>
          <w:sz w:val="16"/>
          <w:szCs w:val="16"/>
        </w:rPr>
        <w:footnoteRef/>
      </w:r>
      <w:r w:rsidRPr="00700018">
        <w:rPr>
          <w:rFonts w:ascii="Arial" w:hAnsi="Arial" w:cs="Arial"/>
          <w:sz w:val="16"/>
          <w:szCs w:val="16"/>
        </w:rPr>
        <w:t xml:space="preserve"> </w:t>
      </w:r>
      <w:r w:rsidRPr="00700018">
        <w:rPr>
          <w:rFonts w:ascii="Arial" w:hAnsi="Arial" w:cs="Arial"/>
          <w:sz w:val="16"/>
          <w:szCs w:val="16"/>
          <w:lang w:val="es-ES_tradnl"/>
        </w:rPr>
        <w:t>“XVII. Información confidencial</w:t>
      </w:r>
      <w:r w:rsidRPr="00700018">
        <w:rPr>
          <w:rFonts w:ascii="Arial" w:hAnsi="Arial" w:cs="Arial"/>
          <w:b/>
          <w:sz w:val="16"/>
          <w:szCs w:val="16"/>
          <w:lang w:val="es-ES_tradnl"/>
        </w:rPr>
        <w:t>.</w:t>
      </w:r>
      <w:r w:rsidRPr="00700018">
        <w:rPr>
          <w:rFonts w:ascii="Arial" w:hAnsi="Arial" w:cs="Arial"/>
          <w:sz w:val="16"/>
          <w:szCs w:val="16"/>
          <w:lang w:val="es-ES_tradnl"/>
        </w:rPr>
        <w:t xml:space="preserve"> la información en posesión de los sujetos obligados que refiera a datos personales; la que se refiere a los secretos bancario, fiduciario, industrial, comercial, 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titulares o sus representantes legales”. </w:t>
      </w:r>
    </w:p>
  </w:footnote>
  <w:footnote w:id="49">
    <w:p w14:paraId="0866DEA7" w14:textId="77777777" w:rsidR="009221E2" w:rsidRDefault="009221E2" w:rsidP="00182D88">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 </w:t>
      </w:r>
    </w:p>
    <w:p w14:paraId="6D786D07" w14:textId="77777777" w:rsidR="009221E2" w:rsidRDefault="009221E2" w:rsidP="00182D88">
      <w:pPr>
        <w:pStyle w:val="Textonotapie"/>
        <w:rPr>
          <w:rFonts w:ascii="Arial" w:hAnsi="Arial" w:cs="Arial"/>
          <w:sz w:val="16"/>
          <w:szCs w:val="16"/>
        </w:rPr>
      </w:pPr>
      <w:r w:rsidRPr="004C182E">
        <w:rPr>
          <w:rFonts w:ascii="Arial" w:hAnsi="Arial" w:cs="Arial"/>
          <w:sz w:val="16"/>
          <w:szCs w:val="16"/>
        </w:rPr>
        <w:t xml:space="preserve">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favoreciendo en todo tiempo a las personas la protección más amplia. </w:t>
      </w:r>
    </w:p>
    <w:p w14:paraId="3FFBA6DF" w14:textId="77777777" w:rsidR="009221E2" w:rsidRPr="004C182E" w:rsidRDefault="009221E2" w:rsidP="00182D88">
      <w:pPr>
        <w:pStyle w:val="Textonotapie"/>
        <w:rPr>
          <w:rFonts w:ascii="Arial" w:hAnsi="Arial" w:cs="Arial"/>
          <w:sz w:val="16"/>
          <w:szCs w:val="16"/>
        </w:rPr>
      </w:pPr>
      <w:r w:rsidRPr="004C182E">
        <w:rPr>
          <w:rFonts w:ascii="Arial" w:hAnsi="Arial" w:cs="Arial"/>
          <w:sz w:val="16"/>
          <w:szCs w:val="16"/>
        </w:rPr>
        <w:t xml:space="preserve">Para el caso de la interpretación, se podrá tomar en cuenta los criterios, determinaciones y opiniones de los organismos nacionales e internacionales, en materia de transparencia. Las disposiciones que regulen aspectos de transparencia y acceso a la información previstas en la legislación Estatal en su conjunto, deberán interpretarse armónicamente con la Ley General, atendiendo al principio </w:t>
      </w:r>
      <w:proofErr w:type="spellStart"/>
      <w:r w:rsidRPr="004C182E">
        <w:rPr>
          <w:rFonts w:ascii="Arial" w:hAnsi="Arial" w:cs="Arial"/>
          <w:sz w:val="16"/>
          <w:szCs w:val="16"/>
        </w:rPr>
        <w:t>pro</w:t>
      </w:r>
      <w:proofErr w:type="spellEnd"/>
      <w:r w:rsidRPr="004C182E">
        <w:rPr>
          <w:rFonts w:ascii="Arial" w:hAnsi="Arial" w:cs="Arial"/>
          <w:sz w:val="16"/>
          <w:szCs w:val="16"/>
        </w:rPr>
        <w:t xml:space="preserve"> persona.</w:t>
      </w:r>
    </w:p>
  </w:footnote>
  <w:footnote w:id="50">
    <w:p w14:paraId="343D8045" w14:textId="77777777" w:rsidR="009221E2" w:rsidRPr="004C182E" w:rsidRDefault="009221E2" w:rsidP="00182D88">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 xml:space="preserve">1a. VII/2012 (10a.), visible en la Décima Época, de la Gaceta del Semanario Judicial de la Federación, Libro V, </w:t>
      </w:r>
      <w:proofErr w:type="gramStart"/>
      <w:r w:rsidRPr="004C182E">
        <w:rPr>
          <w:rFonts w:ascii="Arial" w:hAnsi="Arial" w:cs="Arial"/>
          <w:sz w:val="16"/>
          <w:szCs w:val="16"/>
        </w:rPr>
        <w:t>Febrero</w:t>
      </w:r>
      <w:proofErr w:type="gramEnd"/>
      <w:r w:rsidRPr="004C182E">
        <w:rPr>
          <w:rFonts w:ascii="Arial" w:hAnsi="Arial" w:cs="Arial"/>
          <w:sz w:val="16"/>
          <w:szCs w:val="16"/>
        </w:rPr>
        <w:t xml:space="preserve"> de 2012, Tomo 1, página 655</w:t>
      </w:r>
      <w:r>
        <w:rPr>
          <w:rFonts w:ascii="Arial" w:hAnsi="Arial" w:cs="Arial"/>
          <w:sz w:val="16"/>
          <w:szCs w:val="16"/>
        </w:rPr>
        <w:t xml:space="preserve">, </w:t>
      </w:r>
      <w:r w:rsidRPr="004C182E">
        <w:rPr>
          <w:rFonts w:ascii="Arial" w:hAnsi="Arial" w:cs="Arial"/>
          <w:sz w:val="16"/>
          <w:szCs w:val="16"/>
        </w:rPr>
        <w:t xml:space="preserve">Instancia: </w:t>
      </w:r>
      <w:r>
        <w:rPr>
          <w:rFonts w:ascii="Arial" w:hAnsi="Arial" w:cs="Arial"/>
          <w:sz w:val="16"/>
          <w:szCs w:val="16"/>
        </w:rPr>
        <w:t>Primera Sala</w:t>
      </w:r>
      <w:r w:rsidRPr="004C182E">
        <w:rPr>
          <w:rFonts w:ascii="Arial" w:hAnsi="Arial" w:cs="Arial"/>
          <w:sz w:val="16"/>
          <w:szCs w:val="16"/>
        </w:rPr>
        <w:t>, con Registro electrónico: 2000233</w:t>
      </w:r>
      <w:r>
        <w:rPr>
          <w:rFonts w:ascii="Arial" w:hAnsi="Arial" w:cs="Arial"/>
          <w:sz w:val="16"/>
          <w:szCs w:val="16"/>
        </w:rPr>
        <w:t>.</w:t>
      </w:r>
    </w:p>
  </w:footnote>
  <w:footnote w:id="51">
    <w:p w14:paraId="366EA6F1" w14:textId="77777777" w:rsidR="009221E2" w:rsidRPr="007F0190" w:rsidRDefault="009221E2" w:rsidP="00182D88">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 xml:space="preserve">I.4o.A.40 A (10a.), visible en la Décima Época, de la Gaceta del Semanario Judicial de la Federación, </w:t>
      </w:r>
      <w:r w:rsidRPr="007F0190">
        <w:rPr>
          <w:rFonts w:ascii="Arial" w:hAnsi="Arial" w:cs="Arial"/>
          <w:sz w:val="16"/>
          <w:szCs w:val="16"/>
        </w:rPr>
        <w:t xml:space="preserve">Libro XVIII, </w:t>
      </w:r>
      <w:proofErr w:type="gramStart"/>
      <w:r w:rsidRPr="007F0190">
        <w:rPr>
          <w:rFonts w:ascii="Arial" w:hAnsi="Arial" w:cs="Arial"/>
          <w:sz w:val="16"/>
          <w:szCs w:val="16"/>
        </w:rPr>
        <w:t>Marzo</w:t>
      </w:r>
      <w:proofErr w:type="gramEnd"/>
      <w:r w:rsidRPr="007F0190">
        <w:rPr>
          <w:rFonts w:ascii="Arial" w:hAnsi="Arial" w:cs="Arial"/>
          <w:sz w:val="16"/>
          <w:szCs w:val="16"/>
        </w:rPr>
        <w:t xml:space="preserve"> de 2013, Tomo 3, página 1899 Instancia: Tribunales Colegiados de Circuito, con Registro electrónico: 2002944.</w:t>
      </w:r>
    </w:p>
  </w:footnote>
  <w:footnote w:id="52">
    <w:p w14:paraId="63D53348" w14:textId="77777777" w:rsidR="009221E2" w:rsidRPr="00D64FCC" w:rsidRDefault="009221E2" w:rsidP="00427E33">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Disponible en:</w:t>
      </w:r>
    </w:p>
    <w:p w14:paraId="051D3BC8" w14:textId="77777777" w:rsidR="009221E2" w:rsidRPr="00D64FCC" w:rsidRDefault="00170645" w:rsidP="00427E33">
      <w:pPr>
        <w:pStyle w:val="Textonotapie"/>
        <w:rPr>
          <w:rFonts w:ascii="Arial" w:hAnsi="Arial" w:cs="Arial"/>
          <w:sz w:val="16"/>
          <w:szCs w:val="16"/>
        </w:rPr>
      </w:pPr>
      <w:hyperlink r:id="rId2" w:history="1">
        <w:r w:rsidR="009221E2" w:rsidRPr="00D64FCC">
          <w:rPr>
            <w:rStyle w:val="Hipervnculo"/>
            <w:rFonts w:ascii="Arial" w:hAnsi="Arial" w:cs="Arial"/>
            <w:sz w:val="16"/>
            <w:szCs w:val="16"/>
          </w:rPr>
          <w:t>http://www.cegaipslp.org.mx/HV2020Tres.nsf/nombre_de_la_vista/7C42ECB368F78EF28625866B006135EE/$File/SLP+REGLAMENTO+INTERIOR+SGG+(14-MAR-2020).PDF</w:t>
        </w:r>
      </w:hyperlink>
      <w:r w:rsidR="009221E2" w:rsidRPr="00D64FCC">
        <w:rPr>
          <w:rFonts w:ascii="Arial" w:hAnsi="Arial" w:cs="Arial"/>
          <w:sz w:val="16"/>
          <w:szCs w:val="16"/>
        </w:rPr>
        <w:t xml:space="preserve"> </w:t>
      </w:r>
    </w:p>
  </w:footnote>
  <w:footnote w:id="53">
    <w:p w14:paraId="4D8B2D57" w14:textId="77777777" w:rsidR="009221E2" w:rsidRPr="00D64FCC" w:rsidRDefault="009221E2" w:rsidP="00427E33">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1º.</w:t>
      </w:r>
    </w:p>
  </w:footnote>
  <w:footnote w:id="54">
    <w:p w14:paraId="317175D6" w14:textId="77777777" w:rsidR="009221E2" w:rsidRPr="00D64FCC" w:rsidRDefault="009221E2" w:rsidP="00427E33">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w:t>
      </w:r>
    </w:p>
  </w:footnote>
  <w:footnote w:id="55">
    <w:p w14:paraId="68C25A99" w14:textId="77777777" w:rsidR="009221E2" w:rsidRPr="00D64FCC" w:rsidRDefault="009221E2" w:rsidP="00427E33">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37. La persona titular de la Dirección General de Gobernación tendrá las siguientes facultades:</w:t>
      </w:r>
    </w:p>
  </w:footnote>
  <w:footnote w:id="56">
    <w:p w14:paraId="45552B68" w14:textId="3BAA22A9"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Pr>
          <w:rStyle w:val="Refdenotaalpie"/>
        </w:rPr>
        <w:footnoteRef/>
      </w:r>
      <w:r>
        <w:t xml:space="preserve"> </w:t>
      </w:r>
      <w:r w:rsidRPr="002179C8">
        <w:rPr>
          <w:rFonts w:eastAsia="Times New Roman" w:cstheme="minorHAnsi"/>
          <w:color w:val="000000"/>
          <w:sz w:val="16"/>
          <w:szCs w:val="16"/>
        </w:rPr>
        <w:t>ARTÍCULO 37. La persona titular de la Dirección General de Gobernación tendrá las siguientes facultades:</w:t>
      </w:r>
    </w:p>
    <w:p w14:paraId="6F6F0B9F"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w:t>
      </w:r>
    </w:p>
    <w:p w14:paraId="121DC09C"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 xml:space="preserve">V. Ejecutar las disposiciones legales en materia de venta, distribución, consumo, almacenamiento, producción y suministro de bebidas alcohólicas en el Estado; así como prevenir y combatir el abuso en el consumo; </w:t>
      </w:r>
    </w:p>
    <w:p w14:paraId="1A72DF3D"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 xml:space="preserve">VI. Coordinar acciones con las autoridades competentes para la observancia de la Ley de Bebidas Alcohólicas del Estado, y demás normatividad aplicable. </w:t>
      </w:r>
    </w:p>
    <w:p w14:paraId="43EAF456"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VII. Inspeccionar, verificar y vigilar los datos y documentos de establecimientos y locales dedicados a la venta, distribución, consumo, almacenamiento, producción y suministro de bebidas alcohólicas y en su caso, aplicar las sanciones o medidas de seguridad correspondientes por violaciones a la Ley de la materia;</w:t>
      </w:r>
    </w:p>
    <w:p w14:paraId="27AC6488"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 xml:space="preserve">VIII. Llevar un control cuantitativo y zonificado de las licencias que se expidan para la venta, distribución, consumo, almacenamiento, producción y suministro de bebidas alcohólicas, con el fin de evitar la proliferación desmedida de los establecimientos; </w:t>
      </w:r>
    </w:p>
    <w:p w14:paraId="1B996E5B" w14:textId="77777777" w:rsidR="009221E2" w:rsidRPr="002179C8" w:rsidRDefault="009221E2" w:rsidP="002179C8">
      <w:pPr>
        <w:tabs>
          <w:tab w:val="left" w:pos="567"/>
        </w:tabs>
        <w:spacing w:after="0" w:line="240" w:lineRule="auto"/>
        <w:contextualSpacing/>
        <w:jc w:val="both"/>
        <w:rPr>
          <w:rFonts w:eastAsia="Times New Roman" w:cstheme="minorHAnsi"/>
          <w:color w:val="000000"/>
          <w:sz w:val="16"/>
          <w:szCs w:val="16"/>
        </w:rPr>
      </w:pPr>
      <w:r w:rsidRPr="002179C8">
        <w:rPr>
          <w:rFonts w:eastAsia="Times New Roman" w:cstheme="minorHAnsi"/>
          <w:color w:val="000000"/>
          <w:sz w:val="16"/>
          <w:szCs w:val="16"/>
        </w:rPr>
        <w:t>[…]</w:t>
      </w:r>
    </w:p>
    <w:p w14:paraId="682B4E55" w14:textId="77777777" w:rsidR="009221E2" w:rsidRPr="00C0054F" w:rsidRDefault="009221E2" w:rsidP="00C0054F">
      <w:pPr>
        <w:tabs>
          <w:tab w:val="left" w:pos="567"/>
        </w:tabs>
        <w:spacing w:after="0" w:line="240" w:lineRule="auto"/>
        <w:contextualSpacing/>
        <w:jc w:val="both"/>
        <w:rPr>
          <w:rFonts w:eastAsia="Times New Roman" w:cstheme="minorHAnsi"/>
          <w:color w:val="000000"/>
          <w:sz w:val="16"/>
          <w:szCs w:val="16"/>
        </w:rPr>
      </w:pPr>
      <w:r w:rsidRPr="00C0054F">
        <w:rPr>
          <w:rFonts w:eastAsia="Times New Roman" w:cstheme="minorHAnsi"/>
          <w:color w:val="000000"/>
          <w:sz w:val="16"/>
          <w:szCs w:val="16"/>
        </w:rPr>
        <w:t xml:space="preserve">XI. Solicitar a la Dirección General de Asuntos Jurídicos la opinión, respecto de la expedición o no de licencias permanentes, temporales y de degustación, de baja y alta graduación para la venta, distribución, consumo, almacenamiento, producción y suministro de bebidas alcohólicas en el Estado; </w:t>
      </w:r>
    </w:p>
    <w:p w14:paraId="6068F256" w14:textId="77777777" w:rsidR="009221E2" w:rsidRPr="00C0054F" w:rsidRDefault="009221E2" w:rsidP="00C0054F">
      <w:pPr>
        <w:tabs>
          <w:tab w:val="left" w:pos="567"/>
        </w:tabs>
        <w:spacing w:after="0" w:line="240" w:lineRule="auto"/>
        <w:contextualSpacing/>
        <w:jc w:val="both"/>
        <w:rPr>
          <w:rFonts w:eastAsia="Times New Roman" w:cstheme="minorHAnsi"/>
          <w:color w:val="000000"/>
          <w:sz w:val="16"/>
          <w:szCs w:val="16"/>
        </w:rPr>
      </w:pPr>
      <w:r w:rsidRPr="00C0054F">
        <w:rPr>
          <w:rFonts w:eastAsia="Times New Roman" w:cstheme="minorHAnsi"/>
          <w:color w:val="000000"/>
          <w:sz w:val="16"/>
          <w:szCs w:val="16"/>
        </w:rPr>
        <w:t>XII. Implementar y actualizar el padrón de establecimientos y locales dedicados a la venta, distribución, consumo, almacenamiento, producción y suministro de bebidas alcohólicas;</w:t>
      </w:r>
    </w:p>
    <w:p w14:paraId="0FA2E79B" w14:textId="30D588D2" w:rsidR="009221E2" w:rsidRPr="00C0054F" w:rsidRDefault="009221E2" w:rsidP="00466947">
      <w:pPr>
        <w:pStyle w:val="Textonotapie"/>
        <w:contextualSpacing/>
        <w:jc w:val="both"/>
        <w:rPr>
          <w:sz w:val="16"/>
          <w:szCs w:val="16"/>
        </w:rPr>
      </w:pPr>
    </w:p>
  </w:footnote>
  <w:footnote w:id="57">
    <w:p w14:paraId="24D9F9FA" w14:textId="77777777" w:rsidR="009221E2" w:rsidRPr="00225E5A" w:rsidRDefault="009221E2" w:rsidP="00466947">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5957B027" w14:textId="77777777" w:rsidR="009221E2" w:rsidRPr="00225E5A" w:rsidRDefault="009221E2" w:rsidP="00466947">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140DBB30" w14:textId="77777777" w:rsidR="009221E2" w:rsidRPr="00225E5A" w:rsidRDefault="009221E2" w:rsidP="00466947">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58">
    <w:p w14:paraId="6DD2CCF1" w14:textId="77777777" w:rsidR="009221E2" w:rsidRPr="004B6CE4" w:rsidRDefault="009221E2" w:rsidP="00466947">
      <w:pPr>
        <w:pStyle w:val="Textonotapie"/>
        <w:jc w:val="both"/>
        <w:rPr>
          <w:rFonts w:ascii="Arial" w:hAnsi="Arial" w:cs="Arial"/>
          <w:sz w:val="16"/>
          <w:szCs w:val="16"/>
        </w:rPr>
      </w:pPr>
      <w:r w:rsidRPr="004B6CE4">
        <w:rPr>
          <w:rStyle w:val="Refdenotaalpie"/>
          <w:rFonts w:ascii="Arial" w:hAnsi="Arial" w:cs="Arial"/>
          <w:sz w:val="16"/>
          <w:szCs w:val="16"/>
        </w:rPr>
        <w:footnoteRef/>
      </w:r>
      <w:r w:rsidRPr="004B6CE4">
        <w:rPr>
          <w:rFonts w:ascii="Arial" w:hAnsi="Arial" w:cs="Arial"/>
          <w:sz w:val="16"/>
          <w:szCs w:val="16"/>
        </w:rPr>
        <w:t xml:space="preserve"> Causales que se reducen, esencialmente, en las siguientes: datos personales, secretos legales y aquella información que con tal carácter entreguen los particulares a los Sujetos Obligados —específicamente, instituciones públicas—, siempre que dicha determinación proceda.</w:t>
      </w:r>
    </w:p>
  </w:footnote>
  <w:footnote w:id="59">
    <w:p w14:paraId="4B0D35B5" w14:textId="77777777" w:rsidR="009221E2" w:rsidRPr="005F5856" w:rsidRDefault="009221E2" w:rsidP="00844599">
      <w:pPr>
        <w:pStyle w:val="Textonotapie"/>
        <w:rPr>
          <w:rFonts w:ascii="Arial" w:hAnsi="Arial" w:cs="Arial"/>
          <w:sz w:val="16"/>
          <w:szCs w:val="16"/>
        </w:rPr>
      </w:pPr>
      <w:r w:rsidRPr="00927159">
        <w:rPr>
          <w:rStyle w:val="Refdenotaalpie"/>
          <w:rFonts w:ascii="Arial" w:hAnsi="Arial" w:cs="Arial"/>
          <w:sz w:val="16"/>
          <w:szCs w:val="16"/>
        </w:rPr>
        <w:footnoteRef/>
      </w:r>
      <w:r w:rsidRPr="00927159">
        <w:rPr>
          <w:rFonts w:ascii="Arial" w:hAnsi="Arial" w:cs="Arial"/>
          <w:sz w:val="16"/>
          <w:szCs w:val="16"/>
        </w:rPr>
        <w:t xml:space="preserve"> </w:t>
      </w:r>
      <w:r w:rsidRPr="00927159">
        <w:rPr>
          <w:rFonts w:ascii="Arial" w:hAnsi="Arial" w:cs="Arial"/>
          <w:i/>
          <w:sz w:val="16"/>
          <w:szCs w:val="16"/>
        </w:rPr>
        <w:t xml:space="preserve">Cfr. </w:t>
      </w:r>
      <w:r w:rsidRPr="00927159">
        <w:rPr>
          <w:rFonts w:ascii="Arial" w:hAnsi="Arial" w:cs="Arial"/>
          <w:sz w:val="16"/>
          <w:szCs w:val="16"/>
        </w:rPr>
        <w:t xml:space="preserve">Castillo Porras, Gregorio, en </w:t>
      </w:r>
      <w:r w:rsidRPr="00927159">
        <w:rPr>
          <w:rFonts w:ascii="Arial" w:hAnsi="Arial" w:cs="Arial"/>
          <w:i/>
          <w:sz w:val="16"/>
          <w:szCs w:val="16"/>
        </w:rPr>
        <w:t>“La prueba de interés público y la falta de ponderación en la información confidencial”</w:t>
      </w:r>
      <w:r w:rsidRPr="00927159">
        <w:rPr>
          <w:rFonts w:ascii="Arial" w:hAnsi="Arial" w:cs="Arial"/>
          <w:sz w:val="16"/>
          <w:szCs w:val="16"/>
        </w:rPr>
        <w:t xml:space="preserve">. REVISTA DE INVESTIGACIONES JURÍDICAS, Año 47, México 2023, Núm. 47. Disponible en </w:t>
      </w:r>
      <w:hyperlink r:id="rId3" w:history="1">
        <w:r w:rsidRPr="005F5856">
          <w:rPr>
            <w:rStyle w:val="Hipervnculo"/>
            <w:rFonts w:ascii="Arial" w:hAnsi="Arial" w:cs="Arial"/>
            <w:sz w:val="16"/>
            <w:szCs w:val="16"/>
          </w:rPr>
          <w:t>https://www.eld.edu.mx/Revista-de-Investigaciones-Juridicas/RIJ-47/Capitulos/3.-LA-PRUEBA-DE-INTERES-PUBLICO-Y-LA-FALTA-DE-PONDERACION-EN-LA-INFORMACION-CONFIDENCIAL.pdf</w:t>
        </w:r>
      </w:hyperlink>
      <w:r w:rsidRPr="005F5856">
        <w:rPr>
          <w:rFonts w:ascii="Arial" w:hAnsi="Arial" w:cs="Arial"/>
          <w:sz w:val="16"/>
          <w:szCs w:val="16"/>
        </w:rPr>
        <w:t xml:space="preserve"> </w:t>
      </w:r>
    </w:p>
  </w:footnote>
  <w:footnote w:id="60">
    <w:p w14:paraId="54D239D8" w14:textId="77777777" w:rsidR="009221E2" w:rsidRPr="005F5856" w:rsidRDefault="009221E2" w:rsidP="00844599">
      <w:pPr>
        <w:pStyle w:val="Textonotapie"/>
        <w:rPr>
          <w:rFonts w:ascii="Arial" w:hAnsi="Arial" w:cs="Arial"/>
          <w:sz w:val="16"/>
          <w:szCs w:val="16"/>
        </w:rPr>
      </w:pPr>
      <w:r w:rsidRPr="005F5856">
        <w:rPr>
          <w:rStyle w:val="Refdenotaalpie"/>
          <w:rFonts w:ascii="Arial" w:hAnsi="Arial" w:cs="Arial"/>
          <w:sz w:val="16"/>
          <w:szCs w:val="16"/>
        </w:rPr>
        <w:footnoteRef/>
      </w:r>
      <w:r w:rsidRPr="005F5856">
        <w:rPr>
          <w:rFonts w:ascii="Arial" w:hAnsi="Arial" w:cs="Arial"/>
          <w:sz w:val="16"/>
          <w:szCs w:val="16"/>
        </w:rPr>
        <w:t xml:space="preserve"> </w:t>
      </w:r>
      <w:proofErr w:type="spellStart"/>
      <w:r w:rsidRPr="005F5856">
        <w:rPr>
          <w:rFonts w:ascii="Arial" w:hAnsi="Arial" w:cs="Arial"/>
          <w:sz w:val="16"/>
          <w:szCs w:val="16"/>
        </w:rPr>
        <w:t>Upegui</w:t>
      </w:r>
      <w:proofErr w:type="spellEnd"/>
      <w:r w:rsidRPr="005F5856">
        <w:rPr>
          <w:rFonts w:ascii="Arial" w:hAnsi="Arial" w:cs="Arial"/>
          <w:sz w:val="16"/>
          <w:szCs w:val="16"/>
        </w:rPr>
        <w:t xml:space="preserve"> Mejía, Juan Carlos. “Crítica a la ponderación como test de proporcionalidad para decidir sobre la publicidad de la información personal en poder del Estado en México”, en Revista de Estudios de Derecho a la Información. Número 5, pág. 41.</w:t>
      </w:r>
    </w:p>
  </w:footnote>
  <w:footnote w:id="61">
    <w:p w14:paraId="2001EC30" w14:textId="77777777" w:rsidR="009221E2" w:rsidRPr="000463D2" w:rsidRDefault="009221E2" w:rsidP="00844599">
      <w:pPr>
        <w:pStyle w:val="Textonotapie"/>
        <w:rPr>
          <w:rFonts w:ascii="Arial" w:hAnsi="Arial" w:cs="Arial"/>
          <w:sz w:val="16"/>
          <w:szCs w:val="16"/>
        </w:rPr>
      </w:pPr>
      <w:r>
        <w:rPr>
          <w:rStyle w:val="Refdenotaalpie"/>
        </w:rPr>
        <w:footnoteRef/>
      </w:r>
      <w:r>
        <w:t xml:space="preserve"> </w:t>
      </w:r>
      <w:r w:rsidRPr="000463D2">
        <w:rPr>
          <w:rFonts w:ascii="Arial" w:hAnsi="Arial" w:cs="Arial"/>
          <w:i/>
          <w:sz w:val="16"/>
          <w:szCs w:val="16"/>
        </w:rPr>
        <w:t xml:space="preserve">Cfr. </w:t>
      </w:r>
      <w:r w:rsidRPr="000463D2">
        <w:rPr>
          <w:rFonts w:ascii="Arial" w:hAnsi="Arial" w:cs="Arial"/>
          <w:sz w:val="16"/>
          <w:szCs w:val="16"/>
        </w:rPr>
        <w:t xml:space="preserve">Castillo Porras, Gregorio, en </w:t>
      </w:r>
      <w:r w:rsidRPr="000463D2">
        <w:rPr>
          <w:rFonts w:ascii="Arial" w:hAnsi="Arial" w:cs="Arial"/>
          <w:i/>
          <w:sz w:val="16"/>
          <w:szCs w:val="16"/>
        </w:rPr>
        <w:t>“La prueba de interés público y la falta de ponderación en la información confidencial”</w:t>
      </w:r>
      <w:r w:rsidRPr="000463D2">
        <w:rPr>
          <w:rFonts w:ascii="Arial" w:hAnsi="Arial" w:cs="Arial"/>
          <w:sz w:val="16"/>
          <w:szCs w:val="16"/>
        </w:rPr>
        <w:t xml:space="preserve">. REVISTA DE INVESTIGACIONES JURÍDICAS, Año 47, México 2023, Núm. 47. Disponible en </w:t>
      </w:r>
      <w:hyperlink r:id="rId4" w:history="1">
        <w:r w:rsidRPr="000463D2">
          <w:rPr>
            <w:rStyle w:val="Hipervnculo"/>
            <w:rFonts w:ascii="Arial" w:hAnsi="Arial" w:cs="Arial"/>
            <w:sz w:val="16"/>
            <w:szCs w:val="16"/>
          </w:rPr>
          <w:t>https://www.eld.edu.mx/Revista-de-Investigaciones-Juridicas/RIJ-47/Capitulos/3.-LA-PRUEBA-DE-INTERES-PUBLICO-Y-LA-FALTA-DE-PONDERACION-EN-LA-INFORMACION-CONFIDENCIAL.pdf</w:t>
        </w:r>
      </w:hyperlink>
    </w:p>
  </w:footnote>
  <w:footnote w:id="62">
    <w:p w14:paraId="04CEA351" w14:textId="77777777" w:rsidR="009221E2" w:rsidRPr="00F27AD4" w:rsidRDefault="009221E2" w:rsidP="0084459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Nava Tovar, Alejandro</w:t>
      </w:r>
      <w:r w:rsidRPr="00F27AD4">
        <w:rPr>
          <w:rFonts w:ascii="Arial" w:hAnsi="Arial" w:cs="Arial"/>
          <w:i/>
          <w:sz w:val="16"/>
          <w:szCs w:val="16"/>
        </w:rPr>
        <w:t xml:space="preserve">. La institucionalización de la razón. La filosofía del Derecho de Robert </w:t>
      </w:r>
      <w:proofErr w:type="spellStart"/>
      <w:r w:rsidRPr="00F27AD4">
        <w:rPr>
          <w:rFonts w:ascii="Arial" w:hAnsi="Arial" w:cs="Arial"/>
          <w:i/>
          <w:sz w:val="16"/>
          <w:szCs w:val="16"/>
        </w:rPr>
        <w:t>Alexy</w:t>
      </w:r>
      <w:proofErr w:type="spellEnd"/>
      <w:r w:rsidRPr="00F27AD4">
        <w:rPr>
          <w:rFonts w:ascii="Arial" w:hAnsi="Arial" w:cs="Arial"/>
          <w:sz w:val="16"/>
          <w:szCs w:val="16"/>
        </w:rPr>
        <w:t xml:space="preserve">. Edit. </w:t>
      </w:r>
      <w:proofErr w:type="spellStart"/>
      <w:r w:rsidRPr="00F27AD4">
        <w:rPr>
          <w:rFonts w:ascii="Arial" w:hAnsi="Arial" w:cs="Arial"/>
          <w:sz w:val="16"/>
          <w:szCs w:val="16"/>
        </w:rPr>
        <w:t>Anthropos</w:t>
      </w:r>
      <w:proofErr w:type="spellEnd"/>
      <w:r w:rsidRPr="00F27AD4">
        <w:rPr>
          <w:rFonts w:ascii="Arial" w:hAnsi="Arial" w:cs="Arial"/>
          <w:sz w:val="16"/>
          <w:szCs w:val="16"/>
        </w:rPr>
        <w:t>, México, 2015, pág. 180.</w:t>
      </w:r>
    </w:p>
  </w:footnote>
  <w:footnote w:id="63">
    <w:p w14:paraId="065BFE8C" w14:textId="77777777" w:rsidR="009221E2" w:rsidRPr="00F27AD4" w:rsidRDefault="009221E2" w:rsidP="0084459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w:t>
      </w:r>
      <w:r>
        <w:rPr>
          <w:rFonts w:ascii="Arial" w:hAnsi="Arial" w:cs="Arial"/>
          <w:sz w:val="16"/>
          <w:szCs w:val="16"/>
        </w:rPr>
        <w:t xml:space="preserve">Ibídem. </w:t>
      </w:r>
      <w:r w:rsidRPr="00F27AD4">
        <w:rPr>
          <w:rFonts w:ascii="Arial" w:hAnsi="Arial" w:cs="Arial"/>
          <w:sz w:val="16"/>
          <w:szCs w:val="16"/>
        </w:rPr>
        <w:t>La idea de la medida o afectación menos lesiva proviene de la Corte Suprema de los Estados Unid</w:t>
      </w:r>
      <w:r>
        <w:rPr>
          <w:rFonts w:ascii="Arial" w:hAnsi="Arial" w:cs="Arial"/>
          <w:sz w:val="16"/>
          <w:szCs w:val="16"/>
        </w:rPr>
        <w:t>os de América, en la figura de -</w:t>
      </w:r>
      <w:proofErr w:type="spellStart"/>
      <w:r>
        <w:rPr>
          <w:rFonts w:ascii="Arial" w:hAnsi="Arial" w:cs="Arial"/>
          <w:sz w:val="16"/>
          <w:szCs w:val="16"/>
        </w:rPr>
        <w:t>least</w:t>
      </w:r>
      <w:proofErr w:type="spellEnd"/>
      <w:r>
        <w:rPr>
          <w:rFonts w:ascii="Arial" w:hAnsi="Arial" w:cs="Arial"/>
          <w:sz w:val="16"/>
          <w:szCs w:val="16"/>
        </w:rPr>
        <w:t xml:space="preserve"> </w:t>
      </w:r>
      <w:proofErr w:type="spellStart"/>
      <w:r>
        <w:rPr>
          <w:rFonts w:ascii="Arial" w:hAnsi="Arial" w:cs="Arial"/>
          <w:sz w:val="16"/>
          <w:szCs w:val="16"/>
        </w:rPr>
        <w:t>restrictive</w:t>
      </w:r>
      <w:proofErr w:type="spellEnd"/>
      <w:r>
        <w:rPr>
          <w:rFonts w:ascii="Arial" w:hAnsi="Arial" w:cs="Arial"/>
          <w:sz w:val="16"/>
          <w:szCs w:val="16"/>
        </w:rPr>
        <w:t xml:space="preserve"> </w:t>
      </w:r>
      <w:proofErr w:type="spellStart"/>
      <w:r>
        <w:rPr>
          <w:rFonts w:ascii="Arial" w:hAnsi="Arial" w:cs="Arial"/>
          <w:sz w:val="16"/>
          <w:szCs w:val="16"/>
        </w:rPr>
        <w:t>means</w:t>
      </w:r>
      <w:proofErr w:type="spellEnd"/>
      <w:r>
        <w:rPr>
          <w:rFonts w:ascii="Arial" w:hAnsi="Arial" w:cs="Arial"/>
          <w:sz w:val="16"/>
          <w:szCs w:val="16"/>
        </w:rPr>
        <w:t>-</w:t>
      </w:r>
      <w:r w:rsidRPr="00F27AD4">
        <w:rPr>
          <w:rFonts w:ascii="Arial" w:hAnsi="Arial" w:cs="Arial"/>
          <w:sz w:val="16"/>
          <w:szCs w:val="16"/>
        </w:rPr>
        <w:t xml:space="preserve"> y es un criterio que se utiliza para analizar leyes atacas de inconstitucionalidad en tanto violenten derechos fundamentales y si dicha afectación es, dentro de un abanico de posibilidades, la menos lesiva. Aunque, con </w:t>
      </w:r>
      <w:r>
        <w:rPr>
          <w:rFonts w:ascii="Arial" w:hAnsi="Arial" w:cs="Arial"/>
          <w:sz w:val="16"/>
          <w:szCs w:val="16"/>
        </w:rPr>
        <w:t xml:space="preserve">Robert </w:t>
      </w:r>
      <w:proofErr w:type="spellStart"/>
      <w:r w:rsidRPr="00F27AD4">
        <w:rPr>
          <w:rFonts w:ascii="Arial" w:hAnsi="Arial" w:cs="Arial"/>
          <w:sz w:val="16"/>
          <w:szCs w:val="16"/>
        </w:rPr>
        <w:t>Alexy</w:t>
      </w:r>
      <w:proofErr w:type="spellEnd"/>
      <w:r w:rsidRPr="00F27AD4">
        <w:rPr>
          <w:rFonts w:ascii="Arial" w:hAnsi="Arial" w:cs="Arial"/>
          <w:sz w:val="16"/>
          <w:szCs w:val="16"/>
        </w:rPr>
        <w:t xml:space="preserve"> debe adicionarse que, no sólo se trate de la menos lesiva, sino que se busca un fin constitucionalmente legítimo.</w:t>
      </w:r>
    </w:p>
  </w:footnote>
  <w:footnote w:id="64">
    <w:p w14:paraId="1240E31B" w14:textId="77777777" w:rsidR="009221E2" w:rsidRPr="008A172E" w:rsidRDefault="009221E2" w:rsidP="00844599">
      <w:pPr>
        <w:pStyle w:val="Textonotapie"/>
        <w:rPr>
          <w:rFonts w:ascii="Arial" w:hAnsi="Arial" w:cs="Arial"/>
          <w:sz w:val="16"/>
          <w:szCs w:val="16"/>
        </w:rPr>
      </w:pPr>
      <w:r w:rsidRPr="008A172E">
        <w:rPr>
          <w:rStyle w:val="Refdenotaalpie"/>
          <w:rFonts w:ascii="Arial" w:hAnsi="Arial" w:cs="Arial"/>
          <w:sz w:val="16"/>
          <w:szCs w:val="16"/>
        </w:rPr>
        <w:footnoteRef/>
      </w:r>
      <w:r w:rsidRPr="008A172E">
        <w:rPr>
          <w:rFonts w:ascii="Arial" w:hAnsi="Arial" w:cs="Arial"/>
          <w:sz w:val="16"/>
          <w:szCs w:val="16"/>
        </w:rPr>
        <w:t xml:space="preserve"> La Ley de Acceso a la Información Pública Gubernamental en su Artículo 3o. refiere que los datos personales son: “Cualquier información concerniente a una persona física identificada o identificable”.</w:t>
      </w:r>
    </w:p>
  </w:footnote>
  <w:footnote w:id="65">
    <w:p w14:paraId="5249EF0D" w14:textId="77777777" w:rsidR="009221E2" w:rsidRPr="00E87B8F" w:rsidRDefault="009221E2" w:rsidP="00466947">
      <w:pPr>
        <w:pStyle w:val="Textonotapie"/>
        <w:rPr>
          <w:rFonts w:ascii="Arial" w:hAnsi="Arial" w:cs="Arial"/>
          <w:sz w:val="16"/>
          <w:szCs w:val="16"/>
        </w:rPr>
      </w:pPr>
      <w:r w:rsidRPr="007A58EF">
        <w:rPr>
          <w:rStyle w:val="Refdenotaalpie"/>
          <w:rFonts w:ascii="Arial" w:hAnsi="Arial" w:cs="Arial"/>
          <w:sz w:val="16"/>
          <w:szCs w:val="16"/>
        </w:rPr>
        <w:footnoteRef/>
      </w:r>
      <w:r w:rsidRPr="007A58EF">
        <w:rPr>
          <w:rFonts w:ascii="Arial" w:hAnsi="Arial" w:cs="Arial"/>
          <w:sz w:val="16"/>
          <w:szCs w:val="16"/>
        </w:rPr>
        <w:t xml:space="preserve"> Cfr. LIBERTAD DE EXPRESIÓN. LA</w:t>
      </w:r>
      <w:r w:rsidRPr="00E87B8F">
        <w:rPr>
          <w:rFonts w:ascii="Arial" w:hAnsi="Arial" w:cs="Arial"/>
          <w:sz w:val="16"/>
          <w:szCs w:val="16"/>
        </w:rPr>
        <w:t xml:space="preserve"> DIFUSIÓN DE INFORMACIÓN SOBRE LA VIDA PRIVADA DE LAS PERSONAS PUEDE AMPARARSE POR ESTE DERECHO SI S</w:t>
      </w:r>
      <w:r>
        <w:rPr>
          <w:rFonts w:ascii="Arial" w:hAnsi="Arial" w:cs="Arial"/>
          <w:sz w:val="16"/>
          <w:szCs w:val="16"/>
        </w:rPr>
        <w:t xml:space="preserve">E JUSTIFICA SU INTERÉS PÚBLICO. </w:t>
      </w:r>
      <w:r w:rsidRPr="00E87B8F">
        <w:rPr>
          <w:rFonts w:ascii="Arial" w:hAnsi="Arial" w:cs="Arial"/>
          <w:sz w:val="16"/>
          <w:szCs w:val="16"/>
        </w:rPr>
        <w:t>Jurisprudencia número 1a. CXXXII/2013 (10a.)</w:t>
      </w:r>
      <w:r>
        <w:rPr>
          <w:rFonts w:ascii="Arial" w:hAnsi="Arial" w:cs="Arial"/>
          <w:sz w:val="16"/>
          <w:szCs w:val="16"/>
        </w:rPr>
        <w:t>, visible en la D</w:t>
      </w:r>
      <w:r w:rsidRPr="00E87B8F">
        <w:rPr>
          <w:rFonts w:ascii="Arial" w:hAnsi="Arial" w:cs="Arial"/>
          <w:sz w:val="16"/>
          <w:szCs w:val="16"/>
        </w:rPr>
        <w:t xml:space="preserve">écima Época, de la Gaceta del Semanario Judicial de la Federación, Libro XX, </w:t>
      </w:r>
      <w:proofErr w:type="gramStart"/>
      <w:r w:rsidRPr="00E87B8F">
        <w:rPr>
          <w:rFonts w:ascii="Arial" w:hAnsi="Arial" w:cs="Arial"/>
          <w:sz w:val="16"/>
          <w:szCs w:val="16"/>
        </w:rPr>
        <w:t>Mayo</w:t>
      </w:r>
      <w:proofErr w:type="gramEnd"/>
      <w:r w:rsidRPr="00E87B8F">
        <w:rPr>
          <w:rFonts w:ascii="Arial" w:hAnsi="Arial" w:cs="Arial"/>
          <w:sz w:val="16"/>
          <w:szCs w:val="16"/>
        </w:rPr>
        <w:t xml:space="preserve"> de 2013, Tomo 1, página 553. Instancia: </w:t>
      </w:r>
      <w:r>
        <w:rPr>
          <w:rFonts w:ascii="Arial" w:hAnsi="Arial" w:cs="Arial"/>
          <w:sz w:val="16"/>
          <w:szCs w:val="16"/>
        </w:rPr>
        <w:t>Primera Sala</w:t>
      </w:r>
      <w:r w:rsidRPr="00E87B8F">
        <w:rPr>
          <w:rFonts w:ascii="Arial" w:hAnsi="Arial" w:cs="Arial"/>
          <w:sz w:val="16"/>
          <w:szCs w:val="16"/>
        </w:rPr>
        <w:t xml:space="preserve">, con Registro electrónico: </w:t>
      </w:r>
      <w:r>
        <w:rPr>
          <w:rFonts w:ascii="Arial" w:hAnsi="Arial" w:cs="Arial"/>
          <w:sz w:val="16"/>
          <w:szCs w:val="16"/>
        </w:rPr>
        <w:t>2003636</w:t>
      </w:r>
      <w:r w:rsidRPr="00E87B8F">
        <w:rPr>
          <w:rFonts w:ascii="Arial" w:hAnsi="Arial" w:cs="Arial"/>
          <w:sz w:val="16"/>
          <w:szCs w:val="16"/>
        </w:rPr>
        <w:t>.</w:t>
      </w:r>
    </w:p>
  </w:footnote>
  <w:footnote w:id="66">
    <w:p w14:paraId="7964B9EF" w14:textId="77777777" w:rsidR="009221E2" w:rsidRPr="00113406" w:rsidRDefault="009221E2" w:rsidP="00466947">
      <w:pPr>
        <w:pStyle w:val="Textonotapie"/>
        <w:rPr>
          <w:rFonts w:ascii="Arial" w:hAnsi="Arial" w:cs="Arial"/>
          <w:sz w:val="16"/>
          <w:szCs w:val="16"/>
        </w:rPr>
      </w:pPr>
      <w:r w:rsidRPr="00113406">
        <w:rPr>
          <w:rStyle w:val="Refdenotaalpie"/>
          <w:rFonts w:ascii="Arial" w:hAnsi="Arial" w:cs="Arial"/>
          <w:sz w:val="16"/>
          <w:szCs w:val="16"/>
        </w:rPr>
        <w:footnoteRef/>
      </w:r>
      <w:r w:rsidRPr="00113406">
        <w:rPr>
          <w:rFonts w:ascii="Arial" w:hAnsi="Arial" w:cs="Arial"/>
          <w:sz w:val="16"/>
          <w:szCs w:val="16"/>
        </w:rPr>
        <w:t xml:space="preserve"> </w:t>
      </w:r>
      <w:r w:rsidRPr="00113406">
        <w:rPr>
          <w:rFonts w:ascii="Arial" w:hAnsi="Arial" w:cs="Arial"/>
          <w:i/>
          <w:sz w:val="16"/>
          <w:szCs w:val="16"/>
        </w:rPr>
        <w:t xml:space="preserve">Cfr. </w:t>
      </w:r>
      <w:r w:rsidRPr="00113406">
        <w:rPr>
          <w:rFonts w:ascii="Arial" w:hAnsi="Arial" w:cs="Arial"/>
          <w:sz w:val="16"/>
          <w:szCs w:val="16"/>
        </w:rPr>
        <w:t xml:space="preserve">Corte Interamericana de Derechos Humanos, Caso Herrera Ulloa vs. Costa Rica, Sentencia del 02 de julio de 2004, Voto concurrente razonado del Juez Sergio García Ramírez, No. 04, párrafo 23-24, consultado </w:t>
      </w:r>
      <w:hyperlink r:id="rId5" w:history="1">
        <w:r w:rsidRPr="00113406">
          <w:rPr>
            <w:rStyle w:val="Hipervnculo"/>
            <w:rFonts w:ascii="Arial" w:hAnsi="Arial" w:cs="Arial"/>
            <w:sz w:val="16"/>
            <w:szCs w:val="16"/>
          </w:rPr>
          <w:t>https://www.corteidh.or.cr/docs/casos/articulos/seriec_107_esp.pdf</w:t>
        </w:r>
      </w:hyperlink>
      <w:r w:rsidRPr="00113406">
        <w:rPr>
          <w:rFonts w:ascii="Arial" w:hAnsi="Arial" w:cs="Arial"/>
          <w:sz w:val="16"/>
          <w:szCs w:val="16"/>
        </w:rPr>
        <w:t xml:space="preserve"> </w:t>
      </w:r>
    </w:p>
  </w:footnote>
  <w:footnote w:id="67">
    <w:p w14:paraId="5F07B1B5" w14:textId="77777777" w:rsidR="009221E2" w:rsidRPr="0071722F" w:rsidRDefault="009221E2" w:rsidP="00466947">
      <w:pPr>
        <w:pStyle w:val="Textonotapie"/>
        <w:rPr>
          <w:rFonts w:ascii="Arial" w:hAnsi="Arial" w:cs="Arial"/>
          <w:sz w:val="16"/>
          <w:szCs w:val="16"/>
        </w:rPr>
      </w:pPr>
      <w:r w:rsidRPr="0071722F">
        <w:rPr>
          <w:rStyle w:val="Refdenotaalpie"/>
          <w:rFonts w:ascii="Arial" w:hAnsi="Arial" w:cs="Arial"/>
          <w:sz w:val="16"/>
          <w:szCs w:val="16"/>
        </w:rPr>
        <w:footnoteRef/>
      </w:r>
      <w:r w:rsidRPr="0071722F">
        <w:rPr>
          <w:rFonts w:ascii="Arial" w:hAnsi="Arial" w:cs="Arial"/>
          <w:sz w:val="16"/>
          <w:szCs w:val="16"/>
        </w:rPr>
        <w:t xml:space="preserve"> Véanse los párrafos 32 a 47 del capítulo III del Informe Anual sobre Libertad de Expresión 2008, elaborado por la Relatoría Especial para la Libertad de Expresión de la Organización de Estados Americanos, donde se sintetiza y se destacan las sentencias de la Corte Interamericana —así como otros documentos, informes y decisiones— que permiten calificar al discurso político o sobre asuntos públicos como “discurso especialmente protegido” bajo las normas básicas del sistema (obligatorias, claro está, para todos los Estados). La otra categoría que la Relatoría estima debe ser calificada de “discurso especialmente protegido” en el contexto del sistema es el discurso “que expresa elementos esenciales de la identidad o la dignidad personales” (véase, </w:t>
      </w:r>
      <w:proofErr w:type="spellStart"/>
      <w:r w:rsidRPr="0071722F">
        <w:rPr>
          <w:rFonts w:ascii="Arial" w:hAnsi="Arial" w:cs="Arial"/>
          <w:sz w:val="16"/>
          <w:szCs w:val="16"/>
        </w:rPr>
        <w:t>ibid</w:t>
      </w:r>
      <w:proofErr w:type="spellEnd"/>
      <w:r w:rsidRPr="0071722F">
        <w:rPr>
          <w:rFonts w:ascii="Arial" w:hAnsi="Arial" w:cs="Arial"/>
          <w:sz w:val="16"/>
          <w:szCs w:val="16"/>
        </w:rPr>
        <w:t xml:space="preserve">., párrafos 48 a 51). Destacando igualmente la especial posición del discurso sobre asuntos públicos en una democracia, tenemos resoluciones del Tribunal Europeo de Derechos Humanos como Caso </w:t>
      </w:r>
      <w:proofErr w:type="spellStart"/>
      <w:r w:rsidRPr="0071722F">
        <w:rPr>
          <w:rFonts w:ascii="Arial" w:hAnsi="Arial" w:cs="Arial"/>
          <w:sz w:val="16"/>
          <w:szCs w:val="16"/>
        </w:rPr>
        <w:t>Feldek</w:t>
      </w:r>
      <w:proofErr w:type="spellEnd"/>
      <w:r w:rsidRPr="0071722F">
        <w:rPr>
          <w:rFonts w:ascii="Arial" w:hAnsi="Arial" w:cs="Arial"/>
          <w:sz w:val="16"/>
          <w:szCs w:val="16"/>
        </w:rPr>
        <w:t xml:space="preserve"> c. </w:t>
      </w:r>
      <w:proofErr w:type="spellStart"/>
      <w:r w:rsidRPr="0071722F">
        <w:rPr>
          <w:rFonts w:ascii="Arial" w:hAnsi="Arial" w:cs="Arial"/>
          <w:sz w:val="16"/>
          <w:szCs w:val="16"/>
        </w:rPr>
        <w:t>Slovakia</w:t>
      </w:r>
      <w:proofErr w:type="spellEnd"/>
      <w:r w:rsidRPr="0071722F">
        <w:rPr>
          <w:rFonts w:ascii="Arial" w:hAnsi="Arial" w:cs="Arial"/>
          <w:sz w:val="16"/>
          <w:szCs w:val="16"/>
        </w:rPr>
        <w:t xml:space="preserve">, Sentencia de 12 de julio de 2001, Demanda No. 29032/95, párrafo 83 y Caso </w:t>
      </w:r>
      <w:proofErr w:type="spellStart"/>
      <w:r w:rsidRPr="0071722F">
        <w:rPr>
          <w:rFonts w:ascii="Arial" w:hAnsi="Arial" w:cs="Arial"/>
          <w:sz w:val="16"/>
          <w:szCs w:val="16"/>
        </w:rPr>
        <w:t>Sürek</w:t>
      </w:r>
      <w:proofErr w:type="spellEnd"/>
      <w:r w:rsidRPr="0071722F">
        <w:rPr>
          <w:rFonts w:ascii="Arial" w:hAnsi="Arial" w:cs="Arial"/>
          <w:sz w:val="16"/>
          <w:szCs w:val="16"/>
        </w:rPr>
        <w:t xml:space="preserve"> y </w:t>
      </w:r>
      <w:proofErr w:type="spellStart"/>
      <w:r w:rsidRPr="0071722F">
        <w:rPr>
          <w:rFonts w:ascii="Arial" w:hAnsi="Arial" w:cs="Arial"/>
          <w:sz w:val="16"/>
          <w:szCs w:val="16"/>
        </w:rPr>
        <w:t>Özdemir</w:t>
      </w:r>
      <w:proofErr w:type="spellEnd"/>
      <w:r w:rsidRPr="0071722F">
        <w:rPr>
          <w:rFonts w:ascii="Arial" w:hAnsi="Arial" w:cs="Arial"/>
          <w:sz w:val="16"/>
          <w:szCs w:val="16"/>
        </w:rPr>
        <w:t xml:space="preserve"> c. Turquía, Sentencia de 8 de julio de 1999, Demandas Nos. 23927/94 y 24277/94, párrafo 60.</w:t>
      </w:r>
    </w:p>
  </w:footnote>
  <w:footnote w:id="68">
    <w:p w14:paraId="5F07D449" w14:textId="77777777" w:rsidR="009221E2" w:rsidRPr="003E7331" w:rsidRDefault="009221E2" w:rsidP="00466947">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13. En todo tratamiento de datos personales que efectúe el responsable deberá observar los principios de licitud, finalidad, lealtad, consentimiento, calidad, proporcionalidad, información y responsabilidad.</w:t>
      </w:r>
    </w:p>
  </w:footnote>
  <w:footnote w:id="69">
    <w:p w14:paraId="4A67CD9C" w14:textId="77777777" w:rsidR="009221E2" w:rsidRPr="003E7331" w:rsidRDefault="009221E2" w:rsidP="00466947">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16. El responsable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presente Ley y demás normatividad que resulte aplicable.</w:t>
      </w:r>
    </w:p>
  </w:footnote>
  <w:footnote w:id="70">
    <w:p w14:paraId="0B47B264" w14:textId="77777777" w:rsidR="009221E2" w:rsidRPr="006D5F42" w:rsidRDefault="009221E2" w:rsidP="00466947">
      <w:pPr>
        <w:pStyle w:val="Textonotapie"/>
        <w:rPr>
          <w:sz w:val="16"/>
          <w:szCs w:val="16"/>
        </w:rPr>
      </w:pPr>
      <w:r w:rsidRPr="006D5F42">
        <w:rPr>
          <w:rStyle w:val="Refdenotaalpie"/>
          <w:sz w:val="16"/>
          <w:szCs w:val="16"/>
        </w:rPr>
        <w:footnoteRef/>
      </w:r>
      <w:r w:rsidRPr="006D5F42">
        <w:rPr>
          <w:sz w:val="16"/>
          <w:szCs w:val="16"/>
        </w:rPr>
        <w:t xml:space="preserve"> I</w:t>
      </w:r>
      <w:r w:rsidRPr="006D5F42">
        <w:rPr>
          <w:bCs/>
          <w:sz w:val="16"/>
          <w:szCs w:val="16"/>
        </w:rPr>
        <w:t>nstancia</w:t>
      </w:r>
      <w:r w:rsidRPr="006D5F42">
        <w:rPr>
          <w:b/>
          <w:bCs/>
          <w:sz w:val="16"/>
          <w:szCs w:val="16"/>
        </w:rPr>
        <w:t>: </w:t>
      </w:r>
      <w:r w:rsidRPr="006D5F42">
        <w:rPr>
          <w:sz w:val="16"/>
          <w:szCs w:val="16"/>
        </w:rPr>
        <w:t>Pleno del Consejo de la Judicatura Federal. Semanario Judicial de la Federación y su Gaceta.</w:t>
      </w:r>
      <w:r w:rsidRPr="006D5F42">
        <w:rPr>
          <w:sz w:val="16"/>
          <w:szCs w:val="16"/>
        </w:rPr>
        <w:br/>
        <w:t xml:space="preserve">Tomo XXXIII, Junio de 2011 , página 1643, </w:t>
      </w:r>
      <w:r w:rsidRPr="006D5F42">
        <w:rPr>
          <w:bCs/>
          <w:sz w:val="16"/>
          <w:szCs w:val="16"/>
        </w:rPr>
        <w:t>Registro digital:</w:t>
      </w:r>
      <w:r w:rsidRPr="006D5F42">
        <w:rPr>
          <w:b/>
          <w:bCs/>
          <w:sz w:val="16"/>
          <w:szCs w:val="16"/>
        </w:rPr>
        <w:t> </w:t>
      </w:r>
      <w:r w:rsidRPr="006D5F42">
        <w:rPr>
          <w:sz w:val="16"/>
          <w:szCs w:val="16"/>
        </w:rPr>
        <w:t xml:space="preserve">2104. Novena Época. </w:t>
      </w:r>
    </w:p>
  </w:footnote>
  <w:footnote w:id="71">
    <w:p w14:paraId="4C94CD6E" w14:textId="77777777" w:rsidR="0015241D" w:rsidRPr="009D5507" w:rsidRDefault="0015241D" w:rsidP="0015241D">
      <w:pPr>
        <w:pStyle w:val="Textonotapie"/>
        <w:rPr>
          <w:rFonts w:ascii="Arial" w:hAnsi="Arial" w:cs="Arial"/>
          <w:sz w:val="16"/>
          <w:szCs w:val="16"/>
        </w:rPr>
      </w:pPr>
      <w:r w:rsidRPr="009D5507">
        <w:rPr>
          <w:rStyle w:val="Refdenotaalpie"/>
          <w:rFonts w:ascii="Arial" w:hAnsi="Arial" w:cs="Arial"/>
          <w:sz w:val="16"/>
          <w:szCs w:val="16"/>
        </w:rPr>
        <w:footnoteRef/>
      </w:r>
      <w:r w:rsidRPr="009D5507">
        <w:rPr>
          <w:rFonts w:ascii="Arial" w:hAnsi="Arial" w:cs="Arial"/>
          <w:sz w:val="16"/>
          <w:szCs w:val="16"/>
        </w:rPr>
        <w:t xml:space="preserve"> Registro: 221887, Octava Época, Tribunales Colegiados de Circuito, Semanario Judicial de la Federación, VIII </w:t>
      </w:r>
      <w:proofErr w:type="gramStart"/>
      <w:r w:rsidRPr="009D5507">
        <w:rPr>
          <w:rFonts w:ascii="Arial" w:hAnsi="Arial" w:cs="Arial"/>
          <w:sz w:val="16"/>
          <w:szCs w:val="16"/>
        </w:rPr>
        <w:t>Septiembre</w:t>
      </w:r>
      <w:proofErr w:type="gramEnd"/>
      <w:r w:rsidRPr="009D5507">
        <w:rPr>
          <w:rFonts w:ascii="Arial" w:hAnsi="Arial" w:cs="Arial"/>
          <w:sz w:val="16"/>
          <w:szCs w:val="16"/>
        </w:rPr>
        <w:t xml:space="preserve"> de 1991, Pág.:93.</w:t>
      </w:r>
    </w:p>
  </w:footnote>
  <w:footnote w:id="72">
    <w:p w14:paraId="0399DEB0" w14:textId="77777777" w:rsidR="0015241D" w:rsidRPr="003F062E" w:rsidRDefault="0015241D" w:rsidP="0015241D">
      <w:pPr>
        <w:pStyle w:val="Textonotapie"/>
        <w:rPr>
          <w:rFonts w:ascii="Arial" w:hAnsi="Arial" w:cs="Arial"/>
          <w:sz w:val="16"/>
          <w:szCs w:val="16"/>
        </w:rPr>
      </w:pPr>
      <w:r w:rsidRPr="003F062E">
        <w:rPr>
          <w:rStyle w:val="Refdenotaalpie"/>
          <w:rFonts w:ascii="Arial" w:hAnsi="Arial" w:cs="Arial"/>
          <w:sz w:val="16"/>
          <w:szCs w:val="16"/>
        </w:rPr>
        <w:footnoteRef/>
      </w:r>
      <w:r w:rsidRPr="003F062E">
        <w:rPr>
          <w:rFonts w:ascii="Arial" w:hAnsi="Arial" w:cs="Arial"/>
          <w:sz w:val="16"/>
          <w:szCs w:val="16"/>
        </w:rPr>
        <w:t xml:space="preserve"> No. Registro: 225402, Tesis aislada, Materia(s): Común, Octava Época, Instancia: Tribunales Colegiados de Circuito, Fuente: Semanario Judicial de la Federación, V, Segunda Parte-1, </w:t>
      </w:r>
      <w:proofErr w:type="gramStart"/>
      <w:r w:rsidRPr="003F062E">
        <w:rPr>
          <w:rFonts w:ascii="Arial" w:hAnsi="Arial" w:cs="Arial"/>
          <w:sz w:val="16"/>
          <w:szCs w:val="16"/>
        </w:rPr>
        <w:t>Enero</w:t>
      </w:r>
      <w:proofErr w:type="gramEnd"/>
      <w:r w:rsidRPr="003F062E">
        <w:rPr>
          <w:rFonts w:ascii="Arial" w:hAnsi="Arial" w:cs="Arial"/>
          <w:sz w:val="16"/>
          <w:szCs w:val="16"/>
        </w:rPr>
        <w:t xml:space="preserve"> a Junio de 1990, Página: 57.</w:t>
      </w:r>
    </w:p>
  </w:footnote>
  <w:footnote w:id="73">
    <w:p w14:paraId="4100C4BA" w14:textId="77777777" w:rsidR="0015241D" w:rsidRPr="00831013" w:rsidRDefault="0015241D" w:rsidP="0015241D">
      <w:pPr>
        <w:pStyle w:val="Textonotapie"/>
        <w:rPr>
          <w:rFonts w:ascii="Arial" w:hAnsi="Arial" w:cs="Arial"/>
          <w:sz w:val="16"/>
          <w:szCs w:val="16"/>
        </w:rPr>
      </w:pPr>
      <w:r>
        <w:rPr>
          <w:rStyle w:val="Refdenotaalpie"/>
        </w:rPr>
        <w:footnoteRef/>
      </w:r>
      <w:r>
        <w:t xml:space="preserve"> </w:t>
      </w:r>
      <w:r w:rsidRPr="00831013">
        <w:rPr>
          <w:rFonts w:ascii="Arial" w:hAnsi="Arial" w:cs="Arial"/>
          <w:b/>
          <w:bCs/>
          <w:sz w:val="16"/>
          <w:szCs w:val="16"/>
        </w:rPr>
        <w:t xml:space="preserve">Cuadragésimo octavo. </w:t>
      </w:r>
      <w:r w:rsidRPr="00831013">
        <w:rPr>
          <w:rFonts w:ascii="Arial" w:hAnsi="Arial" w:cs="Arial"/>
          <w:sz w:val="16"/>
          <w:szCs w:val="16"/>
        </w:rPr>
        <w:t xml:space="preserve">Los documentos y expedientes clasificados como confidenciales sólo podrán ser comunicados a terceros siempre y cuando exista disposición legal expresa que lo justifique o cuando se cuente con el consentimiento del titular. </w:t>
      </w:r>
    </w:p>
    <w:p w14:paraId="5587F5A7" w14:textId="77777777" w:rsidR="0015241D" w:rsidRPr="00831013" w:rsidRDefault="0015241D" w:rsidP="0015241D">
      <w:pPr>
        <w:pStyle w:val="Textonotapie"/>
        <w:rPr>
          <w:rFonts w:ascii="Arial" w:hAnsi="Arial" w:cs="Arial"/>
          <w:b/>
          <w:sz w:val="16"/>
          <w:szCs w:val="16"/>
        </w:rPr>
      </w:pPr>
      <w:r w:rsidRPr="00831013">
        <w:rPr>
          <w:rFonts w:ascii="Arial" w:hAnsi="Arial" w:cs="Arial"/>
          <w:sz w:val="16"/>
          <w:szCs w:val="16"/>
        </w:rPr>
        <w:t xml:space="preserve">Cuando un sujeto obligado reciba una solicitud de acceso a información confidencial por parte de un tercero, el Comité de Transparencia, podrá en caso de que ello sea posible, requerir al particular titular de la misma autorización para entregarla, conforme a los plazos establecidos en la normativa aplicable para tal efecto. </w:t>
      </w:r>
      <w:r w:rsidRPr="00831013">
        <w:rPr>
          <w:rFonts w:ascii="Arial" w:hAnsi="Arial" w:cs="Arial"/>
          <w:b/>
          <w:sz w:val="16"/>
          <w:szCs w:val="16"/>
        </w:rPr>
        <w:t>El silencio del particular será considerado como una negativa.</w:t>
      </w:r>
    </w:p>
  </w:footnote>
  <w:footnote w:id="74">
    <w:p w14:paraId="5BE7D897" w14:textId="77777777" w:rsidR="0015241D" w:rsidRPr="00956F42" w:rsidRDefault="0015241D" w:rsidP="0015241D">
      <w:pPr>
        <w:spacing w:after="0" w:line="240" w:lineRule="auto"/>
        <w:jc w:val="both"/>
      </w:pPr>
      <w:r w:rsidRPr="00956F42">
        <w:rPr>
          <w:rStyle w:val="Refdenotaalpie"/>
          <w:rFonts w:ascii="Arial" w:hAnsi="Arial" w:cs="Arial"/>
          <w:sz w:val="16"/>
          <w:szCs w:val="16"/>
        </w:rPr>
        <w:footnoteRef/>
      </w:r>
      <w:r w:rsidRPr="00956F42">
        <w:rPr>
          <w:rFonts w:ascii="Arial" w:hAnsi="Arial" w:cs="Arial"/>
          <w:sz w:val="16"/>
          <w:szCs w:val="16"/>
        </w:rPr>
        <w:t xml:space="preserve"> Época: Décima Época, Registro: 2006753, Instancia: Plenos de Circuito, Tipo de Tesis: Jurisprudencia, Fuente: Gaceta del Semanario Judicial de la Federación, Libro 7, </w:t>
      </w:r>
      <w:proofErr w:type="gramStart"/>
      <w:r w:rsidRPr="00956F42">
        <w:rPr>
          <w:rFonts w:ascii="Arial" w:hAnsi="Arial" w:cs="Arial"/>
          <w:sz w:val="16"/>
          <w:szCs w:val="16"/>
        </w:rPr>
        <w:t>Junio</w:t>
      </w:r>
      <w:proofErr w:type="gramEnd"/>
      <w:r w:rsidRPr="00956F42">
        <w:rPr>
          <w:rFonts w:ascii="Arial" w:hAnsi="Arial" w:cs="Arial"/>
          <w:sz w:val="16"/>
          <w:szCs w:val="16"/>
        </w:rPr>
        <w:t xml:space="preserve"> de 2</w:t>
      </w:r>
      <w:r>
        <w:rPr>
          <w:rFonts w:ascii="Arial" w:hAnsi="Arial" w:cs="Arial"/>
          <w:sz w:val="16"/>
          <w:szCs w:val="16"/>
        </w:rPr>
        <w:t xml:space="preserve">014, Tomo II, Materia(s): Común. </w:t>
      </w:r>
      <w:r w:rsidRPr="00956F42">
        <w:rPr>
          <w:rFonts w:ascii="Arial" w:hAnsi="Arial" w:cs="Arial"/>
          <w:sz w:val="16"/>
          <w:szCs w:val="16"/>
        </w:rPr>
        <w:t>Tesis: PC.I.A. J/12 K (10a.), Página: 1127.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9221E2" w:rsidRDefault="009221E2">
        <w:pPr>
          <w:pStyle w:val="Encabezado"/>
          <w:jc w:val="center"/>
        </w:pPr>
      </w:p>
      <w:p w14:paraId="5AEDE41B" w14:textId="77777777" w:rsidR="009221E2" w:rsidRDefault="009221E2">
        <w:pPr>
          <w:pStyle w:val="Encabezado"/>
          <w:jc w:val="center"/>
        </w:pPr>
      </w:p>
      <w:p w14:paraId="4FAD023F" w14:textId="66DE5075" w:rsidR="009221E2" w:rsidRDefault="009221E2">
        <w:pPr>
          <w:pStyle w:val="Encabezado"/>
          <w:jc w:val="center"/>
        </w:pPr>
        <w:r>
          <w:fldChar w:fldCharType="begin"/>
        </w:r>
        <w:r>
          <w:instrText>PAGE   \* MERGEFORMAT</w:instrText>
        </w:r>
        <w:r>
          <w:fldChar w:fldCharType="separate"/>
        </w:r>
        <w:r w:rsidR="003B7E49" w:rsidRPr="003B7E49">
          <w:rPr>
            <w:noProof/>
            <w:lang w:val="es-ES"/>
          </w:rPr>
          <w:t>50</w:t>
        </w:r>
        <w:r>
          <w:fldChar w:fldCharType="end"/>
        </w:r>
      </w:p>
    </w:sdtContent>
  </w:sdt>
  <w:p w14:paraId="3407CE7F" w14:textId="7E2D5E96" w:rsidR="009221E2" w:rsidRDefault="009221E2" w:rsidP="00403C89">
    <w:pPr>
      <w:pStyle w:val="Encabezado"/>
      <w:jc w:val="right"/>
    </w:pPr>
    <w:r>
      <w:t>RECURSO DE REVISIÓN 018/2026-1 OP</w:t>
    </w:r>
  </w:p>
  <w:p w14:paraId="30F5D71D" w14:textId="77777777" w:rsidR="009221E2" w:rsidRDefault="009221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12069533" w:rsidR="009221E2" w:rsidRDefault="009221E2"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B7E49" w:rsidRPr="003B7E49">
          <w:rPr>
            <w:noProof/>
            <w:lang w:val="es-ES"/>
          </w:rPr>
          <w:t>51</w:t>
        </w:r>
        <w:r>
          <w:fldChar w:fldCharType="end"/>
        </w:r>
        <w:r>
          <w:t xml:space="preserve">                                  </w:t>
        </w:r>
      </w:p>
      <w:p w14:paraId="4B8CFE5F" w14:textId="77777777" w:rsidR="009221E2" w:rsidRDefault="009221E2" w:rsidP="00125FB7">
        <w:pPr>
          <w:pStyle w:val="Encabezado"/>
          <w:jc w:val="right"/>
        </w:pPr>
      </w:p>
      <w:p w14:paraId="33FF87E3" w14:textId="68FB42DD" w:rsidR="009221E2" w:rsidRDefault="009221E2" w:rsidP="00403C89">
        <w:pPr>
          <w:pStyle w:val="Encabezado"/>
          <w:jc w:val="right"/>
        </w:pPr>
        <w:r>
          <w:t>RECURSO DE REVISIÓN 018/2026-1 OP</w:t>
        </w:r>
      </w:p>
      <w:p w14:paraId="1F581E29" w14:textId="484A7B4B" w:rsidR="009221E2" w:rsidRDefault="00170645" w:rsidP="00125FB7">
        <w:pPr>
          <w:pStyle w:val="Encabezado"/>
          <w:jc w:val="right"/>
        </w:pPr>
      </w:p>
    </w:sdtContent>
  </w:sdt>
  <w:p w14:paraId="1289C4E4" w14:textId="31ADB116" w:rsidR="009221E2" w:rsidRDefault="009221E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EBF"/>
    <w:multiLevelType w:val="hybridMultilevel"/>
    <w:tmpl w:val="6F3A81B4"/>
    <w:lvl w:ilvl="0" w:tplc="080A0001">
      <w:start w:val="1"/>
      <w:numFmt w:val="bullet"/>
      <w:lvlText w:val=""/>
      <w:lvlJc w:val="left"/>
      <w:pPr>
        <w:ind w:left="6456" w:hanging="360"/>
      </w:pPr>
      <w:rPr>
        <w:rFonts w:ascii="Symbol" w:hAnsi="Symbol" w:hint="default"/>
      </w:rPr>
    </w:lvl>
    <w:lvl w:ilvl="1" w:tplc="080A0003" w:tentative="1">
      <w:start w:val="1"/>
      <w:numFmt w:val="bullet"/>
      <w:lvlText w:val="o"/>
      <w:lvlJc w:val="left"/>
      <w:pPr>
        <w:ind w:left="7176" w:hanging="360"/>
      </w:pPr>
      <w:rPr>
        <w:rFonts w:ascii="Courier New" w:hAnsi="Courier New" w:cs="Courier New" w:hint="default"/>
      </w:rPr>
    </w:lvl>
    <w:lvl w:ilvl="2" w:tplc="080A0005" w:tentative="1">
      <w:start w:val="1"/>
      <w:numFmt w:val="bullet"/>
      <w:lvlText w:val=""/>
      <w:lvlJc w:val="left"/>
      <w:pPr>
        <w:ind w:left="7896" w:hanging="360"/>
      </w:pPr>
      <w:rPr>
        <w:rFonts w:ascii="Wingdings" w:hAnsi="Wingdings" w:hint="default"/>
      </w:rPr>
    </w:lvl>
    <w:lvl w:ilvl="3" w:tplc="080A0001" w:tentative="1">
      <w:start w:val="1"/>
      <w:numFmt w:val="bullet"/>
      <w:lvlText w:val=""/>
      <w:lvlJc w:val="left"/>
      <w:pPr>
        <w:ind w:left="8616" w:hanging="360"/>
      </w:pPr>
      <w:rPr>
        <w:rFonts w:ascii="Symbol" w:hAnsi="Symbol" w:hint="default"/>
      </w:rPr>
    </w:lvl>
    <w:lvl w:ilvl="4" w:tplc="080A0003" w:tentative="1">
      <w:start w:val="1"/>
      <w:numFmt w:val="bullet"/>
      <w:lvlText w:val="o"/>
      <w:lvlJc w:val="left"/>
      <w:pPr>
        <w:ind w:left="9336" w:hanging="360"/>
      </w:pPr>
      <w:rPr>
        <w:rFonts w:ascii="Courier New" w:hAnsi="Courier New" w:cs="Courier New" w:hint="default"/>
      </w:rPr>
    </w:lvl>
    <w:lvl w:ilvl="5" w:tplc="080A0005" w:tentative="1">
      <w:start w:val="1"/>
      <w:numFmt w:val="bullet"/>
      <w:lvlText w:val=""/>
      <w:lvlJc w:val="left"/>
      <w:pPr>
        <w:ind w:left="10056" w:hanging="360"/>
      </w:pPr>
      <w:rPr>
        <w:rFonts w:ascii="Wingdings" w:hAnsi="Wingdings" w:hint="default"/>
      </w:rPr>
    </w:lvl>
    <w:lvl w:ilvl="6" w:tplc="080A0001" w:tentative="1">
      <w:start w:val="1"/>
      <w:numFmt w:val="bullet"/>
      <w:lvlText w:val=""/>
      <w:lvlJc w:val="left"/>
      <w:pPr>
        <w:ind w:left="10776" w:hanging="360"/>
      </w:pPr>
      <w:rPr>
        <w:rFonts w:ascii="Symbol" w:hAnsi="Symbol" w:hint="default"/>
      </w:rPr>
    </w:lvl>
    <w:lvl w:ilvl="7" w:tplc="080A0003" w:tentative="1">
      <w:start w:val="1"/>
      <w:numFmt w:val="bullet"/>
      <w:lvlText w:val="o"/>
      <w:lvlJc w:val="left"/>
      <w:pPr>
        <w:ind w:left="11496" w:hanging="360"/>
      </w:pPr>
      <w:rPr>
        <w:rFonts w:ascii="Courier New" w:hAnsi="Courier New" w:cs="Courier New" w:hint="default"/>
      </w:rPr>
    </w:lvl>
    <w:lvl w:ilvl="8" w:tplc="080A0005" w:tentative="1">
      <w:start w:val="1"/>
      <w:numFmt w:val="bullet"/>
      <w:lvlText w:val=""/>
      <w:lvlJc w:val="left"/>
      <w:pPr>
        <w:ind w:left="12216" w:hanging="360"/>
      </w:pPr>
      <w:rPr>
        <w:rFonts w:ascii="Wingdings" w:hAnsi="Wingdings" w:hint="default"/>
      </w:rPr>
    </w:lvl>
  </w:abstractNum>
  <w:abstractNum w:abstractNumId="1" w15:restartNumberingAfterBreak="0">
    <w:nsid w:val="02105D73"/>
    <w:multiLevelType w:val="hybridMultilevel"/>
    <w:tmpl w:val="9E1623A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024534AA"/>
    <w:multiLevelType w:val="hybridMultilevel"/>
    <w:tmpl w:val="2C36914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4" w15:restartNumberingAfterBreak="0">
    <w:nsid w:val="03BD1FD0"/>
    <w:multiLevelType w:val="hybridMultilevel"/>
    <w:tmpl w:val="475AC956"/>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6"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7"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EE651EF"/>
    <w:multiLevelType w:val="hybridMultilevel"/>
    <w:tmpl w:val="4804170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0" w15:restartNumberingAfterBreak="0">
    <w:nsid w:val="11A05723"/>
    <w:multiLevelType w:val="hybridMultilevel"/>
    <w:tmpl w:val="43C8D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53555E1"/>
    <w:multiLevelType w:val="hybridMultilevel"/>
    <w:tmpl w:val="3FA8693E"/>
    <w:lvl w:ilvl="0" w:tplc="04C2E6D0">
      <w:start w:val="1"/>
      <w:numFmt w:val="decimal"/>
      <w:lvlText w:val="%1."/>
      <w:lvlJc w:val="left"/>
      <w:pPr>
        <w:ind w:left="1777" w:hanging="360"/>
      </w:pPr>
      <w:rPr>
        <w:rFonts w:hint="default"/>
      </w:rPr>
    </w:lvl>
    <w:lvl w:ilvl="1" w:tplc="040A0019" w:tentative="1">
      <w:start w:val="1"/>
      <w:numFmt w:val="lowerLetter"/>
      <w:lvlText w:val="%2."/>
      <w:lvlJc w:val="left"/>
      <w:pPr>
        <w:ind w:left="2497" w:hanging="360"/>
      </w:pPr>
    </w:lvl>
    <w:lvl w:ilvl="2" w:tplc="040A001B" w:tentative="1">
      <w:start w:val="1"/>
      <w:numFmt w:val="lowerRoman"/>
      <w:lvlText w:val="%3."/>
      <w:lvlJc w:val="right"/>
      <w:pPr>
        <w:ind w:left="3217" w:hanging="180"/>
      </w:pPr>
    </w:lvl>
    <w:lvl w:ilvl="3" w:tplc="040A000F" w:tentative="1">
      <w:start w:val="1"/>
      <w:numFmt w:val="decimal"/>
      <w:lvlText w:val="%4."/>
      <w:lvlJc w:val="left"/>
      <w:pPr>
        <w:ind w:left="3937" w:hanging="360"/>
      </w:pPr>
    </w:lvl>
    <w:lvl w:ilvl="4" w:tplc="040A0019" w:tentative="1">
      <w:start w:val="1"/>
      <w:numFmt w:val="lowerLetter"/>
      <w:lvlText w:val="%5."/>
      <w:lvlJc w:val="left"/>
      <w:pPr>
        <w:ind w:left="4657" w:hanging="360"/>
      </w:pPr>
    </w:lvl>
    <w:lvl w:ilvl="5" w:tplc="040A001B" w:tentative="1">
      <w:start w:val="1"/>
      <w:numFmt w:val="lowerRoman"/>
      <w:lvlText w:val="%6."/>
      <w:lvlJc w:val="right"/>
      <w:pPr>
        <w:ind w:left="5377" w:hanging="180"/>
      </w:pPr>
    </w:lvl>
    <w:lvl w:ilvl="6" w:tplc="040A000F" w:tentative="1">
      <w:start w:val="1"/>
      <w:numFmt w:val="decimal"/>
      <w:lvlText w:val="%7."/>
      <w:lvlJc w:val="left"/>
      <w:pPr>
        <w:ind w:left="6097" w:hanging="360"/>
      </w:pPr>
    </w:lvl>
    <w:lvl w:ilvl="7" w:tplc="040A0019" w:tentative="1">
      <w:start w:val="1"/>
      <w:numFmt w:val="lowerLetter"/>
      <w:lvlText w:val="%8."/>
      <w:lvlJc w:val="left"/>
      <w:pPr>
        <w:ind w:left="6817" w:hanging="360"/>
      </w:pPr>
    </w:lvl>
    <w:lvl w:ilvl="8" w:tplc="040A001B" w:tentative="1">
      <w:start w:val="1"/>
      <w:numFmt w:val="lowerRoman"/>
      <w:lvlText w:val="%9."/>
      <w:lvlJc w:val="right"/>
      <w:pPr>
        <w:ind w:left="7537" w:hanging="180"/>
      </w:pPr>
    </w:lvl>
  </w:abstractNum>
  <w:abstractNum w:abstractNumId="12"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3"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4"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6"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7" w15:restartNumberingAfterBreak="0">
    <w:nsid w:val="2ADA2619"/>
    <w:multiLevelType w:val="hybridMultilevel"/>
    <w:tmpl w:val="8AE4BB8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8" w15:restartNumberingAfterBreak="0">
    <w:nsid w:val="2F3670B6"/>
    <w:multiLevelType w:val="hybridMultilevel"/>
    <w:tmpl w:val="8BE2F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 w15:restartNumberingAfterBreak="0">
    <w:nsid w:val="30DA5216"/>
    <w:multiLevelType w:val="hybridMultilevel"/>
    <w:tmpl w:val="40DE1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1" w15:restartNumberingAfterBreak="0">
    <w:nsid w:val="33630ADA"/>
    <w:multiLevelType w:val="hybridMultilevel"/>
    <w:tmpl w:val="EF728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23"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4"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6" w15:restartNumberingAfterBreak="0">
    <w:nsid w:val="42FC02F8"/>
    <w:multiLevelType w:val="hybridMultilevel"/>
    <w:tmpl w:val="3022E474"/>
    <w:lvl w:ilvl="0" w:tplc="080A0001">
      <w:start w:val="1"/>
      <w:numFmt w:val="bullet"/>
      <w:lvlText w:val=""/>
      <w:lvlJc w:val="left"/>
      <w:pPr>
        <w:ind w:left="1455" w:hanging="360"/>
      </w:pPr>
      <w:rPr>
        <w:rFonts w:ascii="Symbol" w:hAnsi="Symbol" w:hint="default"/>
      </w:rPr>
    </w:lvl>
    <w:lvl w:ilvl="1" w:tplc="080A0003" w:tentative="1">
      <w:start w:val="1"/>
      <w:numFmt w:val="bullet"/>
      <w:lvlText w:val="o"/>
      <w:lvlJc w:val="left"/>
      <w:pPr>
        <w:ind w:left="2175" w:hanging="360"/>
      </w:pPr>
      <w:rPr>
        <w:rFonts w:ascii="Courier New" w:hAnsi="Courier New" w:cs="Courier New" w:hint="default"/>
      </w:rPr>
    </w:lvl>
    <w:lvl w:ilvl="2" w:tplc="080A0005" w:tentative="1">
      <w:start w:val="1"/>
      <w:numFmt w:val="bullet"/>
      <w:lvlText w:val=""/>
      <w:lvlJc w:val="left"/>
      <w:pPr>
        <w:ind w:left="2895" w:hanging="360"/>
      </w:pPr>
      <w:rPr>
        <w:rFonts w:ascii="Wingdings" w:hAnsi="Wingdings" w:hint="default"/>
      </w:rPr>
    </w:lvl>
    <w:lvl w:ilvl="3" w:tplc="080A0001" w:tentative="1">
      <w:start w:val="1"/>
      <w:numFmt w:val="bullet"/>
      <w:lvlText w:val=""/>
      <w:lvlJc w:val="left"/>
      <w:pPr>
        <w:ind w:left="3615" w:hanging="360"/>
      </w:pPr>
      <w:rPr>
        <w:rFonts w:ascii="Symbol" w:hAnsi="Symbol" w:hint="default"/>
      </w:rPr>
    </w:lvl>
    <w:lvl w:ilvl="4" w:tplc="080A0003" w:tentative="1">
      <w:start w:val="1"/>
      <w:numFmt w:val="bullet"/>
      <w:lvlText w:val="o"/>
      <w:lvlJc w:val="left"/>
      <w:pPr>
        <w:ind w:left="4335" w:hanging="360"/>
      </w:pPr>
      <w:rPr>
        <w:rFonts w:ascii="Courier New" w:hAnsi="Courier New" w:cs="Courier New" w:hint="default"/>
      </w:rPr>
    </w:lvl>
    <w:lvl w:ilvl="5" w:tplc="080A0005" w:tentative="1">
      <w:start w:val="1"/>
      <w:numFmt w:val="bullet"/>
      <w:lvlText w:val=""/>
      <w:lvlJc w:val="left"/>
      <w:pPr>
        <w:ind w:left="5055" w:hanging="360"/>
      </w:pPr>
      <w:rPr>
        <w:rFonts w:ascii="Wingdings" w:hAnsi="Wingdings" w:hint="default"/>
      </w:rPr>
    </w:lvl>
    <w:lvl w:ilvl="6" w:tplc="080A0001" w:tentative="1">
      <w:start w:val="1"/>
      <w:numFmt w:val="bullet"/>
      <w:lvlText w:val=""/>
      <w:lvlJc w:val="left"/>
      <w:pPr>
        <w:ind w:left="5775" w:hanging="360"/>
      </w:pPr>
      <w:rPr>
        <w:rFonts w:ascii="Symbol" w:hAnsi="Symbol" w:hint="default"/>
      </w:rPr>
    </w:lvl>
    <w:lvl w:ilvl="7" w:tplc="080A0003" w:tentative="1">
      <w:start w:val="1"/>
      <w:numFmt w:val="bullet"/>
      <w:lvlText w:val="o"/>
      <w:lvlJc w:val="left"/>
      <w:pPr>
        <w:ind w:left="6495" w:hanging="360"/>
      </w:pPr>
      <w:rPr>
        <w:rFonts w:ascii="Courier New" w:hAnsi="Courier New" w:cs="Courier New" w:hint="default"/>
      </w:rPr>
    </w:lvl>
    <w:lvl w:ilvl="8" w:tplc="080A0005" w:tentative="1">
      <w:start w:val="1"/>
      <w:numFmt w:val="bullet"/>
      <w:lvlText w:val=""/>
      <w:lvlJc w:val="left"/>
      <w:pPr>
        <w:ind w:left="7215" w:hanging="360"/>
      </w:pPr>
      <w:rPr>
        <w:rFonts w:ascii="Wingdings" w:hAnsi="Wingdings" w:hint="default"/>
      </w:rPr>
    </w:lvl>
  </w:abstractNum>
  <w:abstractNum w:abstractNumId="27"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8" w15:restartNumberingAfterBreak="0">
    <w:nsid w:val="48507523"/>
    <w:multiLevelType w:val="hybridMultilevel"/>
    <w:tmpl w:val="051A397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9"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0" w15:restartNumberingAfterBreak="0">
    <w:nsid w:val="574D7CE1"/>
    <w:multiLevelType w:val="hybridMultilevel"/>
    <w:tmpl w:val="4EAA659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1"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3"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A2A1778"/>
    <w:multiLevelType w:val="hybridMultilevel"/>
    <w:tmpl w:val="3402A87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6BD179AB"/>
    <w:multiLevelType w:val="hybridMultilevel"/>
    <w:tmpl w:val="E06AE34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8" w15:restartNumberingAfterBreak="0">
    <w:nsid w:val="6EF04D32"/>
    <w:multiLevelType w:val="hybridMultilevel"/>
    <w:tmpl w:val="2D30173C"/>
    <w:lvl w:ilvl="0" w:tplc="F8D0CB06">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9"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A46158C"/>
    <w:multiLevelType w:val="hybridMultilevel"/>
    <w:tmpl w:val="979EF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3"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5"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6"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7"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6"/>
  </w:num>
  <w:num w:numId="2">
    <w:abstractNumId w:val="2"/>
  </w:num>
  <w:num w:numId="3">
    <w:abstractNumId w:val="3"/>
  </w:num>
  <w:num w:numId="4">
    <w:abstractNumId w:val="6"/>
  </w:num>
  <w:num w:numId="5">
    <w:abstractNumId w:val="46"/>
  </w:num>
  <w:num w:numId="6">
    <w:abstractNumId w:val="24"/>
  </w:num>
  <w:num w:numId="7">
    <w:abstractNumId w:val="32"/>
  </w:num>
  <w:num w:numId="8">
    <w:abstractNumId w:val="37"/>
  </w:num>
  <w:num w:numId="9">
    <w:abstractNumId w:val="7"/>
  </w:num>
  <w:num w:numId="10">
    <w:abstractNumId w:val="43"/>
  </w:num>
  <w:num w:numId="11">
    <w:abstractNumId w:val="14"/>
  </w:num>
  <w:num w:numId="12">
    <w:abstractNumId w:val="39"/>
  </w:num>
  <w:num w:numId="13">
    <w:abstractNumId w:val="29"/>
  </w:num>
  <w:num w:numId="14">
    <w:abstractNumId w:val="15"/>
  </w:num>
  <w:num w:numId="15">
    <w:abstractNumId w:val="42"/>
  </w:num>
  <w:num w:numId="16">
    <w:abstractNumId w:val="9"/>
  </w:num>
  <w:num w:numId="17">
    <w:abstractNumId w:val="5"/>
  </w:num>
  <w:num w:numId="18">
    <w:abstractNumId w:val="22"/>
  </w:num>
  <w:num w:numId="19">
    <w:abstractNumId w:val="27"/>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34"/>
  </w:num>
  <w:num w:numId="23">
    <w:abstractNumId w:val="41"/>
  </w:num>
  <w:num w:numId="24">
    <w:abstractNumId w:val="47"/>
  </w:num>
  <w:num w:numId="25">
    <w:abstractNumId w:val="25"/>
  </w:num>
  <w:num w:numId="26">
    <w:abstractNumId w:val="44"/>
  </w:num>
  <w:num w:numId="27">
    <w:abstractNumId w:val="13"/>
  </w:num>
  <w:num w:numId="28">
    <w:abstractNumId w:val="45"/>
  </w:num>
  <w:num w:numId="29">
    <w:abstractNumId w:val="40"/>
  </w:num>
  <w:num w:numId="30">
    <w:abstractNumId w:val="31"/>
  </w:num>
  <w:num w:numId="31">
    <w:abstractNumId w:val="35"/>
  </w:num>
  <w:num w:numId="32">
    <w:abstractNumId w:val="12"/>
  </w:num>
  <w:num w:numId="33">
    <w:abstractNumId w:val="20"/>
  </w:num>
  <w:num w:numId="34">
    <w:abstractNumId w:val="21"/>
  </w:num>
  <w:num w:numId="35">
    <w:abstractNumId w:val="23"/>
  </w:num>
  <w:num w:numId="36">
    <w:abstractNumId w:val="17"/>
  </w:num>
  <w:num w:numId="37">
    <w:abstractNumId w:val="36"/>
  </w:num>
  <w:num w:numId="38">
    <w:abstractNumId w:val="19"/>
  </w:num>
  <w:num w:numId="39">
    <w:abstractNumId w:val="28"/>
  </w:num>
  <w:num w:numId="40">
    <w:abstractNumId w:val="30"/>
  </w:num>
  <w:num w:numId="41">
    <w:abstractNumId w:val="4"/>
  </w:num>
  <w:num w:numId="42">
    <w:abstractNumId w:val="10"/>
  </w:num>
  <w:num w:numId="43">
    <w:abstractNumId w:val="8"/>
  </w:num>
  <w:num w:numId="44">
    <w:abstractNumId w:val="0"/>
  </w:num>
  <w:num w:numId="45">
    <w:abstractNumId w:val="38"/>
  </w:num>
  <w:num w:numId="46">
    <w:abstractNumId w:val="18"/>
  </w:num>
  <w:num w:numId="47">
    <w:abstractNumId w:val="26"/>
  </w:num>
  <w:num w:numId="48">
    <w:abstractNumId w:val="11"/>
  </w:num>
  <w:num w:numId="4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CFF"/>
    <w:rsid w:val="00003183"/>
    <w:rsid w:val="00003AB5"/>
    <w:rsid w:val="00003DC1"/>
    <w:rsid w:val="000048AE"/>
    <w:rsid w:val="00004D3C"/>
    <w:rsid w:val="000065A9"/>
    <w:rsid w:val="000066AD"/>
    <w:rsid w:val="00006F32"/>
    <w:rsid w:val="00007D1F"/>
    <w:rsid w:val="00010DA2"/>
    <w:rsid w:val="00010FE8"/>
    <w:rsid w:val="00011D20"/>
    <w:rsid w:val="000122D2"/>
    <w:rsid w:val="00012C7F"/>
    <w:rsid w:val="00012E2D"/>
    <w:rsid w:val="00012F23"/>
    <w:rsid w:val="00013409"/>
    <w:rsid w:val="00013758"/>
    <w:rsid w:val="000142A2"/>
    <w:rsid w:val="000149F3"/>
    <w:rsid w:val="00014F22"/>
    <w:rsid w:val="00015009"/>
    <w:rsid w:val="00015A95"/>
    <w:rsid w:val="0001630E"/>
    <w:rsid w:val="000163C6"/>
    <w:rsid w:val="00016961"/>
    <w:rsid w:val="00017083"/>
    <w:rsid w:val="00017BB1"/>
    <w:rsid w:val="00020321"/>
    <w:rsid w:val="000204DB"/>
    <w:rsid w:val="000204FD"/>
    <w:rsid w:val="00020754"/>
    <w:rsid w:val="0002158C"/>
    <w:rsid w:val="00022417"/>
    <w:rsid w:val="00022854"/>
    <w:rsid w:val="00023148"/>
    <w:rsid w:val="00023196"/>
    <w:rsid w:val="00023DDC"/>
    <w:rsid w:val="00024A0D"/>
    <w:rsid w:val="000264CE"/>
    <w:rsid w:val="000265F9"/>
    <w:rsid w:val="000268B4"/>
    <w:rsid w:val="00027437"/>
    <w:rsid w:val="0002762F"/>
    <w:rsid w:val="00027D7D"/>
    <w:rsid w:val="000300B1"/>
    <w:rsid w:val="00030726"/>
    <w:rsid w:val="00031926"/>
    <w:rsid w:val="00031AAC"/>
    <w:rsid w:val="0003221B"/>
    <w:rsid w:val="000322F3"/>
    <w:rsid w:val="00032C5F"/>
    <w:rsid w:val="0003343A"/>
    <w:rsid w:val="0003354A"/>
    <w:rsid w:val="000338B4"/>
    <w:rsid w:val="0003400F"/>
    <w:rsid w:val="000343A1"/>
    <w:rsid w:val="0003507B"/>
    <w:rsid w:val="00036122"/>
    <w:rsid w:val="000362A8"/>
    <w:rsid w:val="000378EA"/>
    <w:rsid w:val="00037BEF"/>
    <w:rsid w:val="000403DC"/>
    <w:rsid w:val="0004040F"/>
    <w:rsid w:val="000406B2"/>
    <w:rsid w:val="000413FE"/>
    <w:rsid w:val="00041CB5"/>
    <w:rsid w:val="0004234A"/>
    <w:rsid w:val="0004274F"/>
    <w:rsid w:val="0004294E"/>
    <w:rsid w:val="00042BD6"/>
    <w:rsid w:val="00042C17"/>
    <w:rsid w:val="00043069"/>
    <w:rsid w:val="00043A51"/>
    <w:rsid w:val="00043BE1"/>
    <w:rsid w:val="00043F1D"/>
    <w:rsid w:val="000442C8"/>
    <w:rsid w:val="000450EB"/>
    <w:rsid w:val="00045779"/>
    <w:rsid w:val="0004647A"/>
    <w:rsid w:val="0004680C"/>
    <w:rsid w:val="000475EF"/>
    <w:rsid w:val="000476BE"/>
    <w:rsid w:val="000515EE"/>
    <w:rsid w:val="000524E8"/>
    <w:rsid w:val="00052535"/>
    <w:rsid w:val="000528D0"/>
    <w:rsid w:val="00052D0C"/>
    <w:rsid w:val="00052D66"/>
    <w:rsid w:val="000542D9"/>
    <w:rsid w:val="00054510"/>
    <w:rsid w:val="00055757"/>
    <w:rsid w:val="00055E69"/>
    <w:rsid w:val="00056111"/>
    <w:rsid w:val="0005688E"/>
    <w:rsid w:val="00056A72"/>
    <w:rsid w:val="00056B66"/>
    <w:rsid w:val="000603D2"/>
    <w:rsid w:val="000615A6"/>
    <w:rsid w:val="00061DDD"/>
    <w:rsid w:val="00061E22"/>
    <w:rsid w:val="00061F3E"/>
    <w:rsid w:val="00061F54"/>
    <w:rsid w:val="00061FA0"/>
    <w:rsid w:val="00062A08"/>
    <w:rsid w:val="000641C8"/>
    <w:rsid w:val="00064A61"/>
    <w:rsid w:val="0006659D"/>
    <w:rsid w:val="0006668E"/>
    <w:rsid w:val="00066886"/>
    <w:rsid w:val="00067418"/>
    <w:rsid w:val="00067660"/>
    <w:rsid w:val="0007014F"/>
    <w:rsid w:val="00070595"/>
    <w:rsid w:val="0007132B"/>
    <w:rsid w:val="000713A9"/>
    <w:rsid w:val="0007175D"/>
    <w:rsid w:val="00071C60"/>
    <w:rsid w:val="000728F5"/>
    <w:rsid w:val="00072F69"/>
    <w:rsid w:val="00073A45"/>
    <w:rsid w:val="00073D92"/>
    <w:rsid w:val="00073FAD"/>
    <w:rsid w:val="000745A8"/>
    <w:rsid w:val="00074801"/>
    <w:rsid w:val="00075773"/>
    <w:rsid w:val="0007588B"/>
    <w:rsid w:val="00075AF0"/>
    <w:rsid w:val="000769EA"/>
    <w:rsid w:val="00076B14"/>
    <w:rsid w:val="00076B33"/>
    <w:rsid w:val="00077696"/>
    <w:rsid w:val="000776A8"/>
    <w:rsid w:val="0008004E"/>
    <w:rsid w:val="00083F03"/>
    <w:rsid w:val="00085420"/>
    <w:rsid w:val="00085590"/>
    <w:rsid w:val="00085954"/>
    <w:rsid w:val="000868C7"/>
    <w:rsid w:val="00087313"/>
    <w:rsid w:val="0008758B"/>
    <w:rsid w:val="00087AE8"/>
    <w:rsid w:val="000901C0"/>
    <w:rsid w:val="0009032E"/>
    <w:rsid w:val="00090678"/>
    <w:rsid w:val="00092A19"/>
    <w:rsid w:val="000932E8"/>
    <w:rsid w:val="00093F69"/>
    <w:rsid w:val="000944FF"/>
    <w:rsid w:val="00095124"/>
    <w:rsid w:val="00095140"/>
    <w:rsid w:val="00095C3A"/>
    <w:rsid w:val="0009622D"/>
    <w:rsid w:val="00096AE6"/>
    <w:rsid w:val="000A069A"/>
    <w:rsid w:val="000A15C7"/>
    <w:rsid w:val="000A1695"/>
    <w:rsid w:val="000A350C"/>
    <w:rsid w:val="000A4CCE"/>
    <w:rsid w:val="000A5C54"/>
    <w:rsid w:val="000A65C3"/>
    <w:rsid w:val="000A66E6"/>
    <w:rsid w:val="000A6997"/>
    <w:rsid w:val="000A6E73"/>
    <w:rsid w:val="000A70D9"/>
    <w:rsid w:val="000A7695"/>
    <w:rsid w:val="000B0E1E"/>
    <w:rsid w:val="000B0FFC"/>
    <w:rsid w:val="000B14D7"/>
    <w:rsid w:val="000B173E"/>
    <w:rsid w:val="000B1CE2"/>
    <w:rsid w:val="000B2308"/>
    <w:rsid w:val="000B245A"/>
    <w:rsid w:val="000B24FA"/>
    <w:rsid w:val="000B2854"/>
    <w:rsid w:val="000B2A56"/>
    <w:rsid w:val="000B2ACA"/>
    <w:rsid w:val="000B3669"/>
    <w:rsid w:val="000B3E87"/>
    <w:rsid w:val="000B4722"/>
    <w:rsid w:val="000B5568"/>
    <w:rsid w:val="000B59A8"/>
    <w:rsid w:val="000B5B7E"/>
    <w:rsid w:val="000B65B2"/>
    <w:rsid w:val="000B6D86"/>
    <w:rsid w:val="000B7375"/>
    <w:rsid w:val="000B78ED"/>
    <w:rsid w:val="000B7A20"/>
    <w:rsid w:val="000B7E1F"/>
    <w:rsid w:val="000B7F9C"/>
    <w:rsid w:val="000C0471"/>
    <w:rsid w:val="000C08B0"/>
    <w:rsid w:val="000C1FEA"/>
    <w:rsid w:val="000C23C9"/>
    <w:rsid w:val="000C2726"/>
    <w:rsid w:val="000C3AC2"/>
    <w:rsid w:val="000C44B4"/>
    <w:rsid w:val="000C4681"/>
    <w:rsid w:val="000C5A0A"/>
    <w:rsid w:val="000C651F"/>
    <w:rsid w:val="000C7703"/>
    <w:rsid w:val="000C7763"/>
    <w:rsid w:val="000D01A3"/>
    <w:rsid w:val="000D1A27"/>
    <w:rsid w:val="000D2B1F"/>
    <w:rsid w:val="000D2DDA"/>
    <w:rsid w:val="000D3CDB"/>
    <w:rsid w:val="000D4362"/>
    <w:rsid w:val="000D439D"/>
    <w:rsid w:val="000D4606"/>
    <w:rsid w:val="000D5187"/>
    <w:rsid w:val="000D589A"/>
    <w:rsid w:val="000D5AE4"/>
    <w:rsid w:val="000D5F96"/>
    <w:rsid w:val="000D67DB"/>
    <w:rsid w:val="000D6CBC"/>
    <w:rsid w:val="000D7909"/>
    <w:rsid w:val="000D7B1B"/>
    <w:rsid w:val="000D7B5E"/>
    <w:rsid w:val="000E1B3A"/>
    <w:rsid w:val="000E1E2C"/>
    <w:rsid w:val="000E2026"/>
    <w:rsid w:val="000E208C"/>
    <w:rsid w:val="000E3219"/>
    <w:rsid w:val="000E33A7"/>
    <w:rsid w:val="000E3441"/>
    <w:rsid w:val="000E3972"/>
    <w:rsid w:val="000E3E92"/>
    <w:rsid w:val="000E46E1"/>
    <w:rsid w:val="000E4CA0"/>
    <w:rsid w:val="000E5227"/>
    <w:rsid w:val="000E5430"/>
    <w:rsid w:val="000E59AA"/>
    <w:rsid w:val="000E6415"/>
    <w:rsid w:val="000E731D"/>
    <w:rsid w:val="000E748F"/>
    <w:rsid w:val="000E74F5"/>
    <w:rsid w:val="000E7D70"/>
    <w:rsid w:val="000E7F43"/>
    <w:rsid w:val="000F03A1"/>
    <w:rsid w:val="000F0FF2"/>
    <w:rsid w:val="000F133E"/>
    <w:rsid w:val="000F1794"/>
    <w:rsid w:val="000F2BD5"/>
    <w:rsid w:val="000F3E8A"/>
    <w:rsid w:val="000F4183"/>
    <w:rsid w:val="000F4347"/>
    <w:rsid w:val="000F4B35"/>
    <w:rsid w:val="000F5376"/>
    <w:rsid w:val="000F56CE"/>
    <w:rsid w:val="000F6857"/>
    <w:rsid w:val="000F6A00"/>
    <w:rsid w:val="000F6B87"/>
    <w:rsid w:val="000F6E8F"/>
    <w:rsid w:val="000F72CC"/>
    <w:rsid w:val="00100D51"/>
    <w:rsid w:val="00100E65"/>
    <w:rsid w:val="00101D9B"/>
    <w:rsid w:val="00102274"/>
    <w:rsid w:val="00102353"/>
    <w:rsid w:val="0010246E"/>
    <w:rsid w:val="00102D16"/>
    <w:rsid w:val="00102E9E"/>
    <w:rsid w:val="00102FB0"/>
    <w:rsid w:val="0010335D"/>
    <w:rsid w:val="00103587"/>
    <w:rsid w:val="00104953"/>
    <w:rsid w:val="00104D94"/>
    <w:rsid w:val="001051FA"/>
    <w:rsid w:val="00105712"/>
    <w:rsid w:val="0010582A"/>
    <w:rsid w:val="001066AF"/>
    <w:rsid w:val="00106B48"/>
    <w:rsid w:val="00106E39"/>
    <w:rsid w:val="00107681"/>
    <w:rsid w:val="0011106A"/>
    <w:rsid w:val="00111B8C"/>
    <w:rsid w:val="001139E8"/>
    <w:rsid w:val="0011415A"/>
    <w:rsid w:val="0011417A"/>
    <w:rsid w:val="00114B4F"/>
    <w:rsid w:val="00114CDF"/>
    <w:rsid w:val="00115A2F"/>
    <w:rsid w:val="00116CBC"/>
    <w:rsid w:val="00117EFC"/>
    <w:rsid w:val="00117F76"/>
    <w:rsid w:val="001204E0"/>
    <w:rsid w:val="00121981"/>
    <w:rsid w:val="001234AC"/>
    <w:rsid w:val="00123D7F"/>
    <w:rsid w:val="001246B9"/>
    <w:rsid w:val="00125FB7"/>
    <w:rsid w:val="00125FEE"/>
    <w:rsid w:val="00126008"/>
    <w:rsid w:val="0012671C"/>
    <w:rsid w:val="0012675A"/>
    <w:rsid w:val="0013001C"/>
    <w:rsid w:val="00130259"/>
    <w:rsid w:val="001313EB"/>
    <w:rsid w:val="00131410"/>
    <w:rsid w:val="00131414"/>
    <w:rsid w:val="00131457"/>
    <w:rsid w:val="001314EC"/>
    <w:rsid w:val="00131565"/>
    <w:rsid w:val="00131876"/>
    <w:rsid w:val="00131A56"/>
    <w:rsid w:val="00132062"/>
    <w:rsid w:val="00132B4A"/>
    <w:rsid w:val="00132E47"/>
    <w:rsid w:val="00133F96"/>
    <w:rsid w:val="00135019"/>
    <w:rsid w:val="0013577B"/>
    <w:rsid w:val="00136B1A"/>
    <w:rsid w:val="0013755E"/>
    <w:rsid w:val="00140C7C"/>
    <w:rsid w:val="00140DA7"/>
    <w:rsid w:val="00141314"/>
    <w:rsid w:val="00141ACB"/>
    <w:rsid w:val="00141F55"/>
    <w:rsid w:val="00143CF3"/>
    <w:rsid w:val="00143E86"/>
    <w:rsid w:val="001453D7"/>
    <w:rsid w:val="001458BC"/>
    <w:rsid w:val="00145CDF"/>
    <w:rsid w:val="001463BA"/>
    <w:rsid w:val="00146903"/>
    <w:rsid w:val="00146EA8"/>
    <w:rsid w:val="00147FD1"/>
    <w:rsid w:val="0015001F"/>
    <w:rsid w:val="00150455"/>
    <w:rsid w:val="001507EE"/>
    <w:rsid w:val="00150901"/>
    <w:rsid w:val="001516BA"/>
    <w:rsid w:val="0015238A"/>
    <w:rsid w:val="0015241D"/>
    <w:rsid w:val="00152F21"/>
    <w:rsid w:val="00153003"/>
    <w:rsid w:val="001533C3"/>
    <w:rsid w:val="001533D7"/>
    <w:rsid w:val="00153B40"/>
    <w:rsid w:val="00154820"/>
    <w:rsid w:val="00154B3E"/>
    <w:rsid w:val="00155071"/>
    <w:rsid w:val="00155C27"/>
    <w:rsid w:val="001560E0"/>
    <w:rsid w:val="0015675B"/>
    <w:rsid w:val="001604E7"/>
    <w:rsid w:val="00160B77"/>
    <w:rsid w:val="00160C23"/>
    <w:rsid w:val="00160D7A"/>
    <w:rsid w:val="001616E5"/>
    <w:rsid w:val="0016194F"/>
    <w:rsid w:val="00161D63"/>
    <w:rsid w:val="00162546"/>
    <w:rsid w:val="00163096"/>
    <w:rsid w:val="00163F4A"/>
    <w:rsid w:val="0016473A"/>
    <w:rsid w:val="00164CA6"/>
    <w:rsid w:val="00164E6C"/>
    <w:rsid w:val="0016508B"/>
    <w:rsid w:val="0016537C"/>
    <w:rsid w:val="00165DAD"/>
    <w:rsid w:val="001679DC"/>
    <w:rsid w:val="00170645"/>
    <w:rsid w:val="00170741"/>
    <w:rsid w:val="001708E1"/>
    <w:rsid w:val="00170C2D"/>
    <w:rsid w:val="001714A9"/>
    <w:rsid w:val="001714F5"/>
    <w:rsid w:val="00171533"/>
    <w:rsid w:val="001726AB"/>
    <w:rsid w:val="001727B9"/>
    <w:rsid w:val="0017289F"/>
    <w:rsid w:val="0017290F"/>
    <w:rsid w:val="00173389"/>
    <w:rsid w:val="00174877"/>
    <w:rsid w:val="00174C1C"/>
    <w:rsid w:val="00174DCF"/>
    <w:rsid w:val="00176752"/>
    <w:rsid w:val="001767CF"/>
    <w:rsid w:val="00176ED0"/>
    <w:rsid w:val="0017743B"/>
    <w:rsid w:val="00177456"/>
    <w:rsid w:val="00177E33"/>
    <w:rsid w:val="00180298"/>
    <w:rsid w:val="001805AD"/>
    <w:rsid w:val="00181795"/>
    <w:rsid w:val="00181FF7"/>
    <w:rsid w:val="001820C8"/>
    <w:rsid w:val="00182D88"/>
    <w:rsid w:val="001834E9"/>
    <w:rsid w:val="001837C1"/>
    <w:rsid w:val="00183ABD"/>
    <w:rsid w:val="00184091"/>
    <w:rsid w:val="00184D50"/>
    <w:rsid w:val="00184F84"/>
    <w:rsid w:val="00185470"/>
    <w:rsid w:val="0018551E"/>
    <w:rsid w:val="0018577C"/>
    <w:rsid w:val="00185DFB"/>
    <w:rsid w:val="00186573"/>
    <w:rsid w:val="00187282"/>
    <w:rsid w:val="001872DB"/>
    <w:rsid w:val="00187515"/>
    <w:rsid w:val="00187946"/>
    <w:rsid w:val="00191421"/>
    <w:rsid w:val="0019182F"/>
    <w:rsid w:val="00192395"/>
    <w:rsid w:val="001925A8"/>
    <w:rsid w:val="0019294C"/>
    <w:rsid w:val="00193878"/>
    <w:rsid w:val="00193B83"/>
    <w:rsid w:val="001947D3"/>
    <w:rsid w:val="00194D48"/>
    <w:rsid w:val="00194EF4"/>
    <w:rsid w:val="00195893"/>
    <w:rsid w:val="00196474"/>
    <w:rsid w:val="00196579"/>
    <w:rsid w:val="00197157"/>
    <w:rsid w:val="00197212"/>
    <w:rsid w:val="00197CE0"/>
    <w:rsid w:val="00197E4C"/>
    <w:rsid w:val="001A0953"/>
    <w:rsid w:val="001A11F8"/>
    <w:rsid w:val="001A12A8"/>
    <w:rsid w:val="001A1B21"/>
    <w:rsid w:val="001A2A61"/>
    <w:rsid w:val="001A2FA3"/>
    <w:rsid w:val="001A3A03"/>
    <w:rsid w:val="001A473A"/>
    <w:rsid w:val="001A4C91"/>
    <w:rsid w:val="001A4D90"/>
    <w:rsid w:val="001A4E20"/>
    <w:rsid w:val="001A5D5A"/>
    <w:rsid w:val="001A63E1"/>
    <w:rsid w:val="001A6704"/>
    <w:rsid w:val="001A6A7D"/>
    <w:rsid w:val="001A6E95"/>
    <w:rsid w:val="001A77CE"/>
    <w:rsid w:val="001A78FD"/>
    <w:rsid w:val="001B0E34"/>
    <w:rsid w:val="001B19BD"/>
    <w:rsid w:val="001B288C"/>
    <w:rsid w:val="001B2998"/>
    <w:rsid w:val="001B2D9C"/>
    <w:rsid w:val="001B3B40"/>
    <w:rsid w:val="001B4184"/>
    <w:rsid w:val="001B48A1"/>
    <w:rsid w:val="001B50BB"/>
    <w:rsid w:val="001B6598"/>
    <w:rsid w:val="001B6A86"/>
    <w:rsid w:val="001B6BC4"/>
    <w:rsid w:val="001B751D"/>
    <w:rsid w:val="001B7749"/>
    <w:rsid w:val="001C1864"/>
    <w:rsid w:val="001C1CFD"/>
    <w:rsid w:val="001C209E"/>
    <w:rsid w:val="001C20CD"/>
    <w:rsid w:val="001C2C42"/>
    <w:rsid w:val="001C3F2B"/>
    <w:rsid w:val="001C400C"/>
    <w:rsid w:val="001C4CBB"/>
    <w:rsid w:val="001C4F1E"/>
    <w:rsid w:val="001C5317"/>
    <w:rsid w:val="001C54AF"/>
    <w:rsid w:val="001C6822"/>
    <w:rsid w:val="001C71CE"/>
    <w:rsid w:val="001C7B67"/>
    <w:rsid w:val="001C7C3C"/>
    <w:rsid w:val="001D02E9"/>
    <w:rsid w:val="001D060C"/>
    <w:rsid w:val="001D0ADB"/>
    <w:rsid w:val="001D1C12"/>
    <w:rsid w:val="001D2115"/>
    <w:rsid w:val="001D24D3"/>
    <w:rsid w:val="001D2B4B"/>
    <w:rsid w:val="001D2BE8"/>
    <w:rsid w:val="001D3081"/>
    <w:rsid w:val="001D4709"/>
    <w:rsid w:val="001D4D02"/>
    <w:rsid w:val="001D4F72"/>
    <w:rsid w:val="001D53A7"/>
    <w:rsid w:val="001D53B2"/>
    <w:rsid w:val="001D5867"/>
    <w:rsid w:val="001D5A75"/>
    <w:rsid w:val="001D5BF5"/>
    <w:rsid w:val="001D6738"/>
    <w:rsid w:val="001D71DB"/>
    <w:rsid w:val="001D73E4"/>
    <w:rsid w:val="001E0E77"/>
    <w:rsid w:val="001E17C7"/>
    <w:rsid w:val="001E1F04"/>
    <w:rsid w:val="001E27F5"/>
    <w:rsid w:val="001E46F0"/>
    <w:rsid w:val="001E4A97"/>
    <w:rsid w:val="001E4B8D"/>
    <w:rsid w:val="001E4D5C"/>
    <w:rsid w:val="001E5B97"/>
    <w:rsid w:val="001E5BCA"/>
    <w:rsid w:val="001E5D8A"/>
    <w:rsid w:val="001E6071"/>
    <w:rsid w:val="001E6629"/>
    <w:rsid w:val="001E6CC7"/>
    <w:rsid w:val="001E7191"/>
    <w:rsid w:val="001E75A0"/>
    <w:rsid w:val="001E79BD"/>
    <w:rsid w:val="001F1467"/>
    <w:rsid w:val="001F3372"/>
    <w:rsid w:val="001F3E30"/>
    <w:rsid w:val="001F433D"/>
    <w:rsid w:val="001F51BE"/>
    <w:rsid w:val="001F5274"/>
    <w:rsid w:val="001F5396"/>
    <w:rsid w:val="001F5ADD"/>
    <w:rsid w:val="001F6FCA"/>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385"/>
    <w:rsid w:val="002068CA"/>
    <w:rsid w:val="00206F0E"/>
    <w:rsid w:val="00207377"/>
    <w:rsid w:val="0020792C"/>
    <w:rsid w:val="00207DA8"/>
    <w:rsid w:val="00211511"/>
    <w:rsid w:val="0021187D"/>
    <w:rsid w:val="00211C8A"/>
    <w:rsid w:val="00211FB8"/>
    <w:rsid w:val="0021225E"/>
    <w:rsid w:val="0021241B"/>
    <w:rsid w:val="002128D2"/>
    <w:rsid w:val="0021356B"/>
    <w:rsid w:val="00213970"/>
    <w:rsid w:val="00213EDC"/>
    <w:rsid w:val="00214C51"/>
    <w:rsid w:val="00214D6D"/>
    <w:rsid w:val="0021539B"/>
    <w:rsid w:val="00215BD3"/>
    <w:rsid w:val="00216E89"/>
    <w:rsid w:val="00217203"/>
    <w:rsid w:val="0021778F"/>
    <w:rsid w:val="00217961"/>
    <w:rsid w:val="002179C8"/>
    <w:rsid w:val="00217EA4"/>
    <w:rsid w:val="0022009C"/>
    <w:rsid w:val="0022063A"/>
    <w:rsid w:val="00220823"/>
    <w:rsid w:val="00220846"/>
    <w:rsid w:val="0022109A"/>
    <w:rsid w:val="00221BDB"/>
    <w:rsid w:val="00221CC5"/>
    <w:rsid w:val="00221D12"/>
    <w:rsid w:val="002233C5"/>
    <w:rsid w:val="002234A0"/>
    <w:rsid w:val="002235AA"/>
    <w:rsid w:val="00223C34"/>
    <w:rsid w:val="00224587"/>
    <w:rsid w:val="00225B18"/>
    <w:rsid w:val="00225E11"/>
    <w:rsid w:val="00226C49"/>
    <w:rsid w:val="00227666"/>
    <w:rsid w:val="002306C3"/>
    <w:rsid w:val="002308BB"/>
    <w:rsid w:val="002309A6"/>
    <w:rsid w:val="00230AA8"/>
    <w:rsid w:val="00230D08"/>
    <w:rsid w:val="00230E33"/>
    <w:rsid w:val="00232108"/>
    <w:rsid w:val="00232477"/>
    <w:rsid w:val="00232575"/>
    <w:rsid w:val="00232A4F"/>
    <w:rsid w:val="00233938"/>
    <w:rsid w:val="00233B5E"/>
    <w:rsid w:val="00233ED1"/>
    <w:rsid w:val="00234478"/>
    <w:rsid w:val="00234ADD"/>
    <w:rsid w:val="00234CBE"/>
    <w:rsid w:val="002350B9"/>
    <w:rsid w:val="0023612D"/>
    <w:rsid w:val="00236736"/>
    <w:rsid w:val="002368D1"/>
    <w:rsid w:val="00237F84"/>
    <w:rsid w:val="00237FFD"/>
    <w:rsid w:val="0024038E"/>
    <w:rsid w:val="00241713"/>
    <w:rsid w:val="00241820"/>
    <w:rsid w:val="0024283D"/>
    <w:rsid w:val="002428AC"/>
    <w:rsid w:val="00242DE0"/>
    <w:rsid w:val="00243217"/>
    <w:rsid w:val="00243440"/>
    <w:rsid w:val="00243809"/>
    <w:rsid w:val="00243B84"/>
    <w:rsid w:val="0024465B"/>
    <w:rsid w:val="00245AD7"/>
    <w:rsid w:val="00245BF6"/>
    <w:rsid w:val="00245CDE"/>
    <w:rsid w:val="0024626C"/>
    <w:rsid w:val="00247507"/>
    <w:rsid w:val="00250873"/>
    <w:rsid w:val="00250A5F"/>
    <w:rsid w:val="00251305"/>
    <w:rsid w:val="0025151D"/>
    <w:rsid w:val="00251778"/>
    <w:rsid w:val="00252A65"/>
    <w:rsid w:val="00252B52"/>
    <w:rsid w:val="002535FB"/>
    <w:rsid w:val="00253C97"/>
    <w:rsid w:val="00254BB0"/>
    <w:rsid w:val="002559F8"/>
    <w:rsid w:val="00255EEA"/>
    <w:rsid w:val="0025606D"/>
    <w:rsid w:val="00256C24"/>
    <w:rsid w:val="002570BC"/>
    <w:rsid w:val="002571E3"/>
    <w:rsid w:val="0025729E"/>
    <w:rsid w:val="00257627"/>
    <w:rsid w:val="00257A62"/>
    <w:rsid w:val="00257B27"/>
    <w:rsid w:val="00257F4C"/>
    <w:rsid w:val="00257F80"/>
    <w:rsid w:val="00261466"/>
    <w:rsid w:val="002617A4"/>
    <w:rsid w:val="00261B9C"/>
    <w:rsid w:val="00261C07"/>
    <w:rsid w:val="00261D77"/>
    <w:rsid w:val="002623DE"/>
    <w:rsid w:val="002631A6"/>
    <w:rsid w:val="0026388C"/>
    <w:rsid w:val="002647EA"/>
    <w:rsid w:val="00264817"/>
    <w:rsid w:val="0026483E"/>
    <w:rsid w:val="00264FAB"/>
    <w:rsid w:val="00265188"/>
    <w:rsid w:val="002658D3"/>
    <w:rsid w:val="002659FD"/>
    <w:rsid w:val="00265D2F"/>
    <w:rsid w:val="00265DA9"/>
    <w:rsid w:val="0026655E"/>
    <w:rsid w:val="00266F1C"/>
    <w:rsid w:val="00267185"/>
    <w:rsid w:val="0026753A"/>
    <w:rsid w:val="00267DBD"/>
    <w:rsid w:val="002711B4"/>
    <w:rsid w:val="00271861"/>
    <w:rsid w:val="00271912"/>
    <w:rsid w:val="00271C6C"/>
    <w:rsid w:val="002724F9"/>
    <w:rsid w:val="0027328A"/>
    <w:rsid w:val="00273613"/>
    <w:rsid w:val="00273646"/>
    <w:rsid w:val="002746B7"/>
    <w:rsid w:val="00274854"/>
    <w:rsid w:val="00275B5F"/>
    <w:rsid w:val="0027610D"/>
    <w:rsid w:val="002763CF"/>
    <w:rsid w:val="0027648C"/>
    <w:rsid w:val="00280271"/>
    <w:rsid w:val="00281029"/>
    <w:rsid w:val="002818C9"/>
    <w:rsid w:val="00281FB3"/>
    <w:rsid w:val="0028315D"/>
    <w:rsid w:val="00283D21"/>
    <w:rsid w:val="00285876"/>
    <w:rsid w:val="00285ED9"/>
    <w:rsid w:val="002860E5"/>
    <w:rsid w:val="00286139"/>
    <w:rsid w:val="0028624B"/>
    <w:rsid w:val="0028655D"/>
    <w:rsid w:val="00286C5C"/>
    <w:rsid w:val="00286D54"/>
    <w:rsid w:val="002871FD"/>
    <w:rsid w:val="00287225"/>
    <w:rsid w:val="002876C0"/>
    <w:rsid w:val="002902CE"/>
    <w:rsid w:val="00291039"/>
    <w:rsid w:val="00291AC6"/>
    <w:rsid w:val="00292188"/>
    <w:rsid w:val="0029260E"/>
    <w:rsid w:val="002928BA"/>
    <w:rsid w:val="002947D7"/>
    <w:rsid w:val="00295F01"/>
    <w:rsid w:val="00295FE1"/>
    <w:rsid w:val="00295FFD"/>
    <w:rsid w:val="002965D3"/>
    <w:rsid w:val="00297981"/>
    <w:rsid w:val="002A1696"/>
    <w:rsid w:val="002A1D94"/>
    <w:rsid w:val="002A244E"/>
    <w:rsid w:val="002A3213"/>
    <w:rsid w:val="002A36D9"/>
    <w:rsid w:val="002A39AB"/>
    <w:rsid w:val="002A3DDA"/>
    <w:rsid w:val="002A41C5"/>
    <w:rsid w:val="002A430C"/>
    <w:rsid w:val="002A4D6F"/>
    <w:rsid w:val="002A5765"/>
    <w:rsid w:val="002A615B"/>
    <w:rsid w:val="002A783A"/>
    <w:rsid w:val="002A7A8B"/>
    <w:rsid w:val="002B05CF"/>
    <w:rsid w:val="002B05F6"/>
    <w:rsid w:val="002B06B1"/>
    <w:rsid w:val="002B0751"/>
    <w:rsid w:val="002B0B52"/>
    <w:rsid w:val="002B1005"/>
    <w:rsid w:val="002B19B6"/>
    <w:rsid w:val="002B1AFE"/>
    <w:rsid w:val="002B1DC9"/>
    <w:rsid w:val="002B236F"/>
    <w:rsid w:val="002B2521"/>
    <w:rsid w:val="002B28EF"/>
    <w:rsid w:val="002B2ACB"/>
    <w:rsid w:val="002B39BC"/>
    <w:rsid w:val="002B39F6"/>
    <w:rsid w:val="002B48D1"/>
    <w:rsid w:val="002B4BF2"/>
    <w:rsid w:val="002B560C"/>
    <w:rsid w:val="002B5C33"/>
    <w:rsid w:val="002B5DC7"/>
    <w:rsid w:val="002B68AE"/>
    <w:rsid w:val="002B6956"/>
    <w:rsid w:val="002B6C8B"/>
    <w:rsid w:val="002B75F7"/>
    <w:rsid w:val="002B7639"/>
    <w:rsid w:val="002B78C5"/>
    <w:rsid w:val="002B7D79"/>
    <w:rsid w:val="002C0023"/>
    <w:rsid w:val="002C122F"/>
    <w:rsid w:val="002C12F4"/>
    <w:rsid w:val="002C1AF3"/>
    <w:rsid w:val="002C2098"/>
    <w:rsid w:val="002C2184"/>
    <w:rsid w:val="002C2C27"/>
    <w:rsid w:val="002C2E8E"/>
    <w:rsid w:val="002C3369"/>
    <w:rsid w:val="002C3608"/>
    <w:rsid w:val="002C3807"/>
    <w:rsid w:val="002C41E5"/>
    <w:rsid w:val="002C50B6"/>
    <w:rsid w:val="002C56A8"/>
    <w:rsid w:val="002C7F46"/>
    <w:rsid w:val="002C7FD6"/>
    <w:rsid w:val="002D02CD"/>
    <w:rsid w:val="002D098C"/>
    <w:rsid w:val="002D22E8"/>
    <w:rsid w:val="002D27A2"/>
    <w:rsid w:val="002D3A89"/>
    <w:rsid w:val="002D3D47"/>
    <w:rsid w:val="002D48EB"/>
    <w:rsid w:val="002D4994"/>
    <w:rsid w:val="002D506F"/>
    <w:rsid w:val="002D53ED"/>
    <w:rsid w:val="002D5CF9"/>
    <w:rsid w:val="002D5F1C"/>
    <w:rsid w:val="002D63B1"/>
    <w:rsid w:val="002D68E3"/>
    <w:rsid w:val="002D7DD9"/>
    <w:rsid w:val="002E08BD"/>
    <w:rsid w:val="002E0CE2"/>
    <w:rsid w:val="002E1369"/>
    <w:rsid w:val="002E17ED"/>
    <w:rsid w:val="002E1C06"/>
    <w:rsid w:val="002E26FC"/>
    <w:rsid w:val="002E39ED"/>
    <w:rsid w:val="002E3E6F"/>
    <w:rsid w:val="002E415A"/>
    <w:rsid w:val="002E440B"/>
    <w:rsid w:val="002E4982"/>
    <w:rsid w:val="002E5C34"/>
    <w:rsid w:val="002E5F5A"/>
    <w:rsid w:val="002E61EF"/>
    <w:rsid w:val="002E64CA"/>
    <w:rsid w:val="002E6D6B"/>
    <w:rsid w:val="002E7709"/>
    <w:rsid w:val="002E7959"/>
    <w:rsid w:val="002E7B1E"/>
    <w:rsid w:val="002F0788"/>
    <w:rsid w:val="002F1032"/>
    <w:rsid w:val="002F1FD5"/>
    <w:rsid w:val="002F2079"/>
    <w:rsid w:val="002F23E1"/>
    <w:rsid w:val="002F2A90"/>
    <w:rsid w:val="002F2B4D"/>
    <w:rsid w:val="002F31EB"/>
    <w:rsid w:val="002F37D4"/>
    <w:rsid w:val="002F47FA"/>
    <w:rsid w:val="002F4C34"/>
    <w:rsid w:val="002F5173"/>
    <w:rsid w:val="002F63E3"/>
    <w:rsid w:val="002F6964"/>
    <w:rsid w:val="002F7189"/>
    <w:rsid w:val="002F7A86"/>
    <w:rsid w:val="002F7D20"/>
    <w:rsid w:val="003003F9"/>
    <w:rsid w:val="00300DCC"/>
    <w:rsid w:val="0030121A"/>
    <w:rsid w:val="00301B95"/>
    <w:rsid w:val="003020C9"/>
    <w:rsid w:val="00302C97"/>
    <w:rsid w:val="003035AD"/>
    <w:rsid w:val="00303BDF"/>
    <w:rsid w:val="00303E78"/>
    <w:rsid w:val="00304BF5"/>
    <w:rsid w:val="00305125"/>
    <w:rsid w:val="003054C7"/>
    <w:rsid w:val="00305B4D"/>
    <w:rsid w:val="003069A3"/>
    <w:rsid w:val="00306D04"/>
    <w:rsid w:val="00307DF2"/>
    <w:rsid w:val="00307EFA"/>
    <w:rsid w:val="0031085F"/>
    <w:rsid w:val="00310B53"/>
    <w:rsid w:val="00311906"/>
    <w:rsid w:val="00312052"/>
    <w:rsid w:val="003128D9"/>
    <w:rsid w:val="00312C17"/>
    <w:rsid w:val="00314293"/>
    <w:rsid w:val="00314BC8"/>
    <w:rsid w:val="00315930"/>
    <w:rsid w:val="00315D8F"/>
    <w:rsid w:val="00315F33"/>
    <w:rsid w:val="00316466"/>
    <w:rsid w:val="0031654C"/>
    <w:rsid w:val="003166F4"/>
    <w:rsid w:val="003168F3"/>
    <w:rsid w:val="00317018"/>
    <w:rsid w:val="00317125"/>
    <w:rsid w:val="003175E3"/>
    <w:rsid w:val="003177C5"/>
    <w:rsid w:val="00317D10"/>
    <w:rsid w:val="00317F94"/>
    <w:rsid w:val="00320849"/>
    <w:rsid w:val="003208BE"/>
    <w:rsid w:val="00321700"/>
    <w:rsid w:val="00321928"/>
    <w:rsid w:val="00321CCA"/>
    <w:rsid w:val="0032230D"/>
    <w:rsid w:val="00322574"/>
    <w:rsid w:val="0032321A"/>
    <w:rsid w:val="003235E3"/>
    <w:rsid w:val="00324733"/>
    <w:rsid w:val="00324A01"/>
    <w:rsid w:val="00325332"/>
    <w:rsid w:val="00325459"/>
    <w:rsid w:val="003265E3"/>
    <w:rsid w:val="00326C14"/>
    <w:rsid w:val="00327403"/>
    <w:rsid w:val="00327536"/>
    <w:rsid w:val="003279DB"/>
    <w:rsid w:val="00327C7F"/>
    <w:rsid w:val="0033090A"/>
    <w:rsid w:val="00331AE5"/>
    <w:rsid w:val="003320D4"/>
    <w:rsid w:val="0033220C"/>
    <w:rsid w:val="00333176"/>
    <w:rsid w:val="0033362C"/>
    <w:rsid w:val="00333CD5"/>
    <w:rsid w:val="00335567"/>
    <w:rsid w:val="003358EE"/>
    <w:rsid w:val="003360C1"/>
    <w:rsid w:val="003364B5"/>
    <w:rsid w:val="003366DC"/>
    <w:rsid w:val="00336E41"/>
    <w:rsid w:val="0034089A"/>
    <w:rsid w:val="003418E7"/>
    <w:rsid w:val="00341D49"/>
    <w:rsid w:val="00341E99"/>
    <w:rsid w:val="003422C6"/>
    <w:rsid w:val="00342582"/>
    <w:rsid w:val="00343B68"/>
    <w:rsid w:val="0034477F"/>
    <w:rsid w:val="00344A6F"/>
    <w:rsid w:val="00344D10"/>
    <w:rsid w:val="00345AAD"/>
    <w:rsid w:val="00345D66"/>
    <w:rsid w:val="00347E4E"/>
    <w:rsid w:val="0035003F"/>
    <w:rsid w:val="00350884"/>
    <w:rsid w:val="00350D5F"/>
    <w:rsid w:val="00350EEA"/>
    <w:rsid w:val="00351018"/>
    <w:rsid w:val="003512FB"/>
    <w:rsid w:val="00351B33"/>
    <w:rsid w:val="00352BE5"/>
    <w:rsid w:val="00353490"/>
    <w:rsid w:val="00353677"/>
    <w:rsid w:val="00353685"/>
    <w:rsid w:val="00353A50"/>
    <w:rsid w:val="00354539"/>
    <w:rsid w:val="00354E73"/>
    <w:rsid w:val="003552FC"/>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4573"/>
    <w:rsid w:val="00365BBD"/>
    <w:rsid w:val="00365FF4"/>
    <w:rsid w:val="003667D6"/>
    <w:rsid w:val="00366C8D"/>
    <w:rsid w:val="003670C5"/>
    <w:rsid w:val="00370181"/>
    <w:rsid w:val="003715F5"/>
    <w:rsid w:val="003727A6"/>
    <w:rsid w:val="00372D34"/>
    <w:rsid w:val="0037361F"/>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77E1D"/>
    <w:rsid w:val="0038013D"/>
    <w:rsid w:val="00380AFE"/>
    <w:rsid w:val="00380FCA"/>
    <w:rsid w:val="003813BD"/>
    <w:rsid w:val="003816EE"/>
    <w:rsid w:val="00383944"/>
    <w:rsid w:val="00383BB6"/>
    <w:rsid w:val="00383D2A"/>
    <w:rsid w:val="0038405A"/>
    <w:rsid w:val="003848C3"/>
    <w:rsid w:val="003854F9"/>
    <w:rsid w:val="003857F0"/>
    <w:rsid w:val="00385C09"/>
    <w:rsid w:val="00385E4D"/>
    <w:rsid w:val="003864E9"/>
    <w:rsid w:val="003864ED"/>
    <w:rsid w:val="00386C16"/>
    <w:rsid w:val="00386CDA"/>
    <w:rsid w:val="00386CDC"/>
    <w:rsid w:val="0038760F"/>
    <w:rsid w:val="003876CA"/>
    <w:rsid w:val="003877FA"/>
    <w:rsid w:val="0039001C"/>
    <w:rsid w:val="0039064B"/>
    <w:rsid w:val="003917B1"/>
    <w:rsid w:val="00391BCF"/>
    <w:rsid w:val="00391F31"/>
    <w:rsid w:val="00392D97"/>
    <w:rsid w:val="00392F37"/>
    <w:rsid w:val="0039337A"/>
    <w:rsid w:val="00393522"/>
    <w:rsid w:val="00393697"/>
    <w:rsid w:val="00393856"/>
    <w:rsid w:val="00393C44"/>
    <w:rsid w:val="003940D1"/>
    <w:rsid w:val="003944DF"/>
    <w:rsid w:val="00394CF1"/>
    <w:rsid w:val="00396F07"/>
    <w:rsid w:val="003A01DE"/>
    <w:rsid w:val="003A03AA"/>
    <w:rsid w:val="003A0EA0"/>
    <w:rsid w:val="003A171F"/>
    <w:rsid w:val="003A1C98"/>
    <w:rsid w:val="003A2315"/>
    <w:rsid w:val="003A294C"/>
    <w:rsid w:val="003A331B"/>
    <w:rsid w:val="003A3516"/>
    <w:rsid w:val="003A3978"/>
    <w:rsid w:val="003A3F26"/>
    <w:rsid w:val="003A4A76"/>
    <w:rsid w:val="003A4B6B"/>
    <w:rsid w:val="003A4C4E"/>
    <w:rsid w:val="003A512E"/>
    <w:rsid w:val="003A5D8C"/>
    <w:rsid w:val="003A60C1"/>
    <w:rsid w:val="003A6A15"/>
    <w:rsid w:val="003A6A42"/>
    <w:rsid w:val="003A6C5C"/>
    <w:rsid w:val="003A7069"/>
    <w:rsid w:val="003A7A25"/>
    <w:rsid w:val="003B049A"/>
    <w:rsid w:val="003B05A0"/>
    <w:rsid w:val="003B07AD"/>
    <w:rsid w:val="003B0C2F"/>
    <w:rsid w:val="003B1B43"/>
    <w:rsid w:val="003B1C5C"/>
    <w:rsid w:val="003B24FE"/>
    <w:rsid w:val="003B3106"/>
    <w:rsid w:val="003B322C"/>
    <w:rsid w:val="003B3852"/>
    <w:rsid w:val="003B3AC2"/>
    <w:rsid w:val="003B3F38"/>
    <w:rsid w:val="003B40AF"/>
    <w:rsid w:val="003B4329"/>
    <w:rsid w:val="003B4877"/>
    <w:rsid w:val="003B5560"/>
    <w:rsid w:val="003B5622"/>
    <w:rsid w:val="003B5CA7"/>
    <w:rsid w:val="003B64CE"/>
    <w:rsid w:val="003B6C9B"/>
    <w:rsid w:val="003B6CF9"/>
    <w:rsid w:val="003B6EB3"/>
    <w:rsid w:val="003B70F0"/>
    <w:rsid w:val="003B7500"/>
    <w:rsid w:val="003B7C38"/>
    <w:rsid w:val="003B7C60"/>
    <w:rsid w:val="003B7E49"/>
    <w:rsid w:val="003C076D"/>
    <w:rsid w:val="003C1BA6"/>
    <w:rsid w:val="003C2226"/>
    <w:rsid w:val="003C258D"/>
    <w:rsid w:val="003C27B4"/>
    <w:rsid w:val="003C2A71"/>
    <w:rsid w:val="003C2A7C"/>
    <w:rsid w:val="003C2C66"/>
    <w:rsid w:val="003C2DB6"/>
    <w:rsid w:val="003C2E26"/>
    <w:rsid w:val="003C4758"/>
    <w:rsid w:val="003C4BA6"/>
    <w:rsid w:val="003C5198"/>
    <w:rsid w:val="003C5864"/>
    <w:rsid w:val="003C59C8"/>
    <w:rsid w:val="003C7459"/>
    <w:rsid w:val="003C7A42"/>
    <w:rsid w:val="003D054C"/>
    <w:rsid w:val="003D1073"/>
    <w:rsid w:val="003D1446"/>
    <w:rsid w:val="003D18F8"/>
    <w:rsid w:val="003D19AE"/>
    <w:rsid w:val="003D257A"/>
    <w:rsid w:val="003D2911"/>
    <w:rsid w:val="003D3FEA"/>
    <w:rsid w:val="003D4E97"/>
    <w:rsid w:val="003D5449"/>
    <w:rsid w:val="003D5A1A"/>
    <w:rsid w:val="003D6998"/>
    <w:rsid w:val="003D6ECF"/>
    <w:rsid w:val="003D7603"/>
    <w:rsid w:val="003D770B"/>
    <w:rsid w:val="003D7984"/>
    <w:rsid w:val="003E0A78"/>
    <w:rsid w:val="003E0B92"/>
    <w:rsid w:val="003E11AF"/>
    <w:rsid w:val="003E1283"/>
    <w:rsid w:val="003E15F7"/>
    <w:rsid w:val="003E1649"/>
    <w:rsid w:val="003E298C"/>
    <w:rsid w:val="003E32E0"/>
    <w:rsid w:val="003E3F70"/>
    <w:rsid w:val="003E53AD"/>
    <w:rsid w:val="003E58F2"/>
    <w:rsid w:val="003E5DEE"/>
    <w:rsid w:val="003E5FD1"/>
    <w:rsid w:val="003F0E47"/>
    <w:rsid w:val="003F0FED"/>
    <w:rsid w:val="003F119C"/>
    <w:rsid w:val="003F155E"/>
    <w:rsid w:val="003F1ADE"/>
    <w:rsid w:val="003F1C43"/>
    <w:rsid w:val="003F213F"/>
    <w:rsid w:val="003F2AA9"/>
    <w:rsid w:val="003F2F40"/>
    <w:rsid w:val="003F35E3"/>
    <w:rsid w:val="003F39C1"/>
    <w:rsid w:val="003F3C48"/>
    <w:rsid w:val="003F4095"/>
    <w:rsid w:val="003F44F4"/>
    <w:rsid w:val="003F461D"/>
    <w:rsid w:val="003F4CB9"/>
    <w:rsid w:val="003F4DBF"/>
    <w:rsid w:val="003F504F"/>
    <w:rsid w:val="003F523D"/>
    <w:rsid w:val="003F60BF"/>
    <w:rsid w:val="003F6927"/>
    <w:rsid w:val="003F73A5"/>
    <w:rsid w:val="003F78A3"/>
    <w:rsid w:val="00400AAC"/>
    <w:rsid w:val="00400FFD"/>
    <w:rsid w:val="0040106F"/>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6F7"/>
    <w:rsid w:val="004079FE"/>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169DA"/>
    <w:rsid w:val="00416F5A"/>
    <w:rsid w:val="0042004B"/>
    <w:rsid w:val="0042075B"/>
    <w:rsid w:val="00420835"/>
    <w:rsid w:val="00420E25"/>
    <w:rsid w:val="00420FE9"/>
    <w:rsid w:val="00422CD1"/>
    <w:rsid w:val="004234A9"/>
    <w:rsid w:val="00423BCA"/>
    <w:rsid w:val="00423EFB"/>
    <w:rsid w:val="004241F0"/>
    <w:rsid w:val="004242FC"/>
    <w:rsid w:val="004244B9"/>
    <w:rsid w:val="00424E2E"/>
    <w:rsid w:val="00426280"/>
    <w:rsid w:val="004264BB"/>
    <w:rsid w:val="004271DB"/>
    <w:rsid w:val="0042723B"/>
    <w:rsid w:val="00427E33"/>
    <w:rsid w:val="00427E66"/>
    <w:rsid w:val="0043015F"/>
    <w:rsid w:val="0043023C"/>
    <w:rsid w:val="00430DFD"/>
    <w:rsid w:val="00431755"/>
    <w:rsid w:val="00432085"/>
    <w:rsid w:val="0043277E"/>
    <w:rsid w:val="00432789"/>
    <w:rsid w:val="004327B3"/>
    <w:rsid w:val="00432A55"/>
    <w:rsid w:val="00432E4E"/>
    <w:rsid w:val="00432EF7"/>
    <w:rsid w:val="00433E04"/>
    <w:rsid w:val="00433F09"/>
    <w:rsid w:val="004340E4"/>
    <w:rsid w:val="00434824"/>
    <w:rsid w:val="00435DE5"/>
    <w:rsid w:val="00435EE5"/>
    <w:rsid w:val="00435FC0"/>
    <w:rsid w:val="004363B0"/>
    <w:rsid w:val="004363BE"/>
    <w:rsid w:val="0043776E"/>
    <w:rsid w:val="00437C00"/>
    <w:rsid w:val="004403E5"/>
    <w:rsid w:val="00440448"/>
    <w:rsid w:val="004407B8"/>
    <w:rsid w:val="00440FE4"/>
    <w:rsid w:val="00442C82"/>
    <w:rsid w:val="00443100"/>
    <w:rsid w:val="00443DED"/>
    <w:rsid w:val="0044529A"/>
    <w:rsid w:val="00445395"/>
    <w:rsid w:val="00445571"/>
    <w:rsid w:val="00445D2A"/>
    <w:rsid w:val="00446930"/>
    <w:rsid w:val="00446B03"/>
    <w:rsid w:val="00446DAC"/>
    <w:rsid w:val="00447122"/>
    <w:rsid w:val="004475C3"/>
    <w:rsid w:val="00447A80"/>
    <w:rsid w:val="00450040"/>
    <w:rsid w:val="00451541"/>
    <w:rsid w:val="004515BA"/>
    <w:rsid w:val="00451CBA"/>
    <w:rsid w:val="00452A0E"/>
    <w:rsid w:val="0045461C"/>
    <w:rsid w:val="0045467A"/>
    <w:rsid w:val="0045485B"/>
    <w:rsid w:val="00454FA4"/>
    <w:rsid w:val="00455CB1"/>
    <w:rsid w:val="0045652E"/>
    <w:rsid w:val="00456856"/>
    <w:rsid w:val="0046095C"/>
    <w:rsid w:val="00460DFB"/>
    <w:rsid w:val="004617B2"/>
    <w:rsid w:val="00461B02"/>
    <w:rsid w:val="00462142"/>
    <w:rsid w:val="00462AFB"/>
    <w:rsid w:val="0046484E"/>
    <w:rsid w:val="0046569E"/>
    <w:rsid w:val="00466947"/>
    <w:rsid w:val="00466AFD"/>
    <w:rsid w:val="00470FF1"/>
    <w:rsid w:val="004719E9"/>
    <w:rsid w:val="00472090"/>
    <w:rsid w:val="00472417"/>
    <w:rsid w:val="004742C5"/>
    <w:rsid w:val="00474EE1"/>
    <w:rsid w:val="00474F12"/>
    <w:rsid w:val="00475471"/>
    <w:rsid w:val="004763A8"/>
    <w:rsid w:val="004765CF"/>
    <w:rsid w:val="00477104"/>
    <w:rsid w:val="0047789D"/>
    <w:rsid w:val="004801F0"/>
    <w:rsid w:val="0048065E"/>
    <w:rsid w:val="00480745"/>
    <w:rsid w:val="00480C41"/>
    <w:rsid w:val="00480F0F"/>
    <w:rsid w:val="00481F16"/>
    <w:rsid w:val="00482B04"/>
    <w:rsid w:val="00483017"/>
    <w:rsid w:val="004834E3"/>
    <w:rsid w:val="004837F0"/>
    <w:rsid w:val="0048445E"/>
    <w:rsid w:val="00484B1D"/>
    <w:rsid w:val="00484B3D"/>
    <w:rsid w:val="00484B91"/>
    <w:rsid w:val="0048512F"/>
    <w:rsid w:val="00485ADC"/>
    <w:rsid w:val="004861E9"/>
    <w:rsid w:val="00486EEA"/>
    <w:rsid w:val="00487182"/>
    <w:rsid w:val="004873AC"/>
    <w:rsid w:val="004877CC"/>
    <w:rsid w:val="004902B7"/>
    <w:rsid w:val="004905F4"/>
    <w:rsid w:val="004908DD"/>
    <w:rsid w:val="00490AAA"/>
    <w:rsid w:val="00491EB9"/>
    <w:rsid w:val="00491F18"/>
    <w:rsid w:val="0049219E"/>
    <w:rsid w:val="004939FA"/>
    <w:rsid w:val="00493B1A"/>
    <w:rsid w:val="00493BEE"/>
    <w:rsid w:val="00493E63"/>
    <w:rsid w:val="00493FBF"/>
    <w:rsid w:val="004946B6"/>
    <w:rsid w:val="00495583"/>
    <w:rsid w:val="0049563A"/>
    <w:rsid w:val="00496934"/>
    <w:rsid w:val="004970ED"/>
    <w:rsid w:val="00497237"/>
    <w:rsid w:val="0049727E"/>
    <w:rsid w:val="00497B79"/>
    <w:rsid w:val="004A0892"/>
    <w:rsid w:val="004A1732"/>
    <w:rsid w:val="004A1B74"/>
    <w:rsid w:val="004A2171"/>
    <w:rsid w:val="004A22BD"/>
    <w:rsid w:val="004A2839"/>
    <w:rsid w:val="004A299A"/>
    <w:rsid w:val="004A2A0F"/>
    <w:rsid w:val="004A31B5"/>
    <w:rsid w:val="004A578D"/>
    <w:rsid w:val="004A5823"/>
    <w:rsid w:val="004A59FD"/>
    <w:rsid w:val="004A5EFC"/>
    <w:rsid w:val="004A6768"/>
    <w:rsid w:val="004A768D"/>
    <w:rsid w:val="004A7825"/>
    <w:rsid w:val="004A7F76"/>
    <w:rsid w:val="004B09F6"/>
    <w:rsid w:val="004B0F31"/>
    <w:rsid w:val="004B201D"/>
    <w:rsid w:val="004B250F"/>
    <w:rsid w:val="004B2B4C"/>
    <w:rsid w:val="004B2EC0"/>
    <w:rsid w:val="004B353A"/>
    <w:rsid w:val="004B3580"/>
    <w:rsid w:val="004B3CC2"/>
    <w:rsid w:val="004B3E8F"/>
    <w:rsid w:val="004B4E23"/>
    <w:rsid w:val="004B4EB7"/>
    <w:rsid w:val="004B5055"/>
    <w:rsid w:val="004B5330"/>
    <w:rsid w:val="004B5810"/>
    <w:rsid w:val="004B5EC8"/>
    <w:rsid w:val="004B6018"/>
    <w:rsid w:val="004B6E0B"/>
    <w:rsid w:val="004B709A"/>
    <w:rsid w:val="004B7117"/>
    <w:rsid w:val="004B71F3"/>
    <w:rsid w:val="004B7625"/>
    <w:rsid w:val="004B7C28"/>
    <w:rsid w:val="004B7F3C"/>
    <w:rsid w:val="004C0A71"/>
    <w:rsid w:val="004C15C0"/>
    <w:rsid w:val="004C1701"/>
    <w:rsid w:val="004C1D7F"/>
    <w:rsid w:val="004C20A0"/>
    <w:rsid w:val="004C2223"/>
    <w:rsid w:val="004C2FA7"/>
    <w:rsid w:val="004C332D"/>
    <w:rsid w:val="004C44AD"/>
    <w:rsid w:val="004C499F"/>
    <w:rsid w:val="004C4C87"/>
    <w:rsid w:val="004C51FD"/>
    <w:rsid w:val="004C5A9B"/>
    <w:rsid w:val="004C63AC"/>
    <w:rsid w:val="004C66B5"/>
    <w:rsid w:val="004C6BF8"/>
    <w:rsid w:val="004C76D7"/>
    <w:rsid w:val="004C7E39"/>
    <w:rsid w:val="004D080B"/>
    <w:rsid w:val="004D0878"/>
    <w:rsid w:val="004D1396"/>
    <w:rsid w:val="004D1715"/>
    <w:rsid w:val="004D1A2C"/>
    <w:rsid w:val="004D1ACC"/>
    <w:rsid w:val="004D2DD0"/>
    <w:rsid w:val="004D3245"/>
    <w:rsid w:val="004D3606"/>
    <w:rsid w:val="004D40AC"/>
    <w:rsid w:val="004D5059"/>
    <w:rsid w:val="004D5555"/>
    <w:rsid w:val="004D5624"/>
    <w:rsid w:val="004D6281"/>
    <w:rsid w:val="004D6B31"/>
    <w:rsid w:val="004D7266"/>
    <w:rsid w:val="004D72F6"/>
    <w:rsid w:val="004D7692"/>
    <w:rsid w:val="004E08C0"/>
    <w:rsid w:val="004E098F"/>
    <w:rsid w:val="004E0AAF"/>
    <w:rsid w:val="004E0BCC"/>
    <w:rsid w:val="004E13A6"/>
    <w:rsid w:val="004E1411"/>
    <w:rsid w:val="004E1781"/>
    <w:rsid w:val="004E2393"/>
    <w:rsid w:val="004E26DC"/>
    <w:rsid w:val="004E2858"/>
    <w:rsid w:val="004E2C5A"/>
    <w:rsid w:val="004E317D"/>
    <w:rsid w:val="004E3226"/>
    <w:rsid w:val="004E3DC4"/>
    <w:rsid w:val="004E4165"/>
    <w:rsid w:val="004E6CF0"/>
    <w:rsid w:val="004E73EE"/>
    <w:rsid w:val="004E7C39"/>
    <w:rsid w:val="004F002D"/>
    <w:rsid w:val="004F0840"/>
    <w:rsid w:val="004F097F"/>
    <w:rsid w:val="004F0E5E"/>
    <w:rsid w:val="004F108B"/>
    <w:rsid w:val="004F279A"/>
    <w:rsid w:val="004F35CA"/>
    <w:rsid w:val="004F497E"/>
    <w:rsid w:val="004F4EDD"/>
    <w:rsid w:val="004F524B"/>
    <w:rsid w:val="004F6065"/>
    <w:rsid w:val="004F62E7"/>
    <w:rsid w:val="004F6314"/>
    <w:rsid w:val="004F6F21"/>
    <w:rsid w:val="0050032E"/>
    <w:rsid w:val="00500EEC"/>
    <w:rsid w:val="005015C3"/>
    <w:rsid w:val="00501A84"/>
    <w:rsid w:val="00501BDE"/>
    <w:rsid w:val="00502F67"/>
    <w:rsid w:val="00503888"/>
    <w:rsid w:val="005038E8"/>
    <w:rsid w:val="00504DB1"/>
    <w:rsid w:val="005052AF"/>
    <w:rsid w:val="00506847"/>
    <w:rsid w:val="00510F43"/>
    <w:rsid w:val="00510FE7"/>
    <w:rsid w:val="00511894"/>
    <w:rsid w:val="00511F29"/>
    <w:rsid w:val="0051323B"/>
    <w:rsid w:val="005138A0"/>
    <w:rsid w:val="00513B0E"/>
    <w:rsid w:val="00513E31"/>
    <w:rsid w:val="00513FEA"/>
    <w:rsid w:val="00514CD7"/>
    <w:rsid w:val="00515CA5"/>
    <w:rsid w:val="00515D9F"/>
    <w:rsid w:val="005160E3"/>
    <w:rsid w:val="00516646"/>
    <w:rsid w:val="005177C9"/>
    <w:rsid w:val="00517C80"/>
    <w:rsid w:val="0052063B"/>
    <w:rsid w:val="005207CE"/>
    <w:rsid w:val="0052120D"/>
    <w:rsid w:val="00521691"/>
    <w:rsid w:val="00522A09"/>
    <w:rsid w:val="00523794"/>
    <w:rsid w:val="00523917"/>
    <w:rsid w:val="005256ED"/>
    <w:rsid w:val="005258C4"/>
    <w:rsid w:val="005258CD"/>
    <w:rsid w:val="00525D45"/>
    <w:rsid w:val="00526684"/>
    <w:rsid w:val="005300B1"/>
    <w:rsid w:val="005303A7"/>
    <w:rsid w:val="00531A71"/>
    <w:rsid w:val="00531B98"/>
    <w:rsid w:val="0053206D"/>
    <w:rsid w:val="00533EA4"/>
    <w:rsid w:val="005343EC"/>
    <w:rsid w:val="00534984"/>
    <w:rsid w:val="00534B0E"/>
    <w:rsid w:val="00536463"/>
    <w:rsid w:val="00536873"/>
    <w:rsid w:val="00536966"/>
    <w:rsid w:val="00537138"/>
    <w:rsid w:val="005373E0"/>
    <w:rsid w:val="00537993"/>
    <w:rsid w:val="00541344"/>
    <w:rsid w:val="00542489"/>
    <w:rsid w:val="00542BD8"/>
    <w:rsid w:val="00542FF3"/>
    <w:rsid w:val="00543D6E"/>
    <w:rsid w:val="00544127"/>
    <w:rsid w:val="00544825"/>
    <w:rsid w:val="00544C56"/>
    <w:rsid w:val="00545813"/>
    <w:rsid w:val="00545FD3"/>
    <w:rsid w:val="0054603A"/>
    <w:rsid w:val="005473AB"/>
    <w:rsid w:val="0054744E"/>
    <w:rsid w:val="0054763A"/>
    <w:rsid w:val="005519B5"/>
    <w:rsid w:val="0055259C"/>
    <w:rsid w:val="005526C0"/>
    <w:rsid w:val="00553010"/>
    <w:rsid w:val="005535F1"/>
    <w:rsid w:val="00553BE4"/>
    <w:rsid w:val="005543C1"/>
    <w:rsid w:val="005545CB"/>
    <w:rsid w:val="00554F9D"/>
    <w:rsid w:val="00555255"/>
    <w:rsid w:val="00555517"/>
    <w:rsid w:val="00556765"/>
    <w:rsid w:val="00556C65"/>
    <w:rsid w:val="00556CE3"/>
    <w:rsid w:val="00556D92"/>
    <w:rsid w:val="00557D52"/>
    <w:rsid w:val="00557DE4"/>
    <w:rsid w:val="00557FBA"/>
    <w:rsid w:val="00561A10"/>
    <w:rsid w:val="005624EA"/>
    <w:rsid w:val="00562569"/>
    <w:rsid w:val="005628F7"/>
    <w:rsid w:val="00563372"/>
    <w:rsid w:val="00563CC9"/>
    <w:rsid w:val="005640F5"/>
    <w:rsid w:val="0056434F"/>
    <w:rsid w:val="00564C8E"/>
    <w:rsid w:val="00566011"/>
    <w:rsid w:val="00566BE7"/>
    <w:rsid w:val="00566D0D"/>
    <w:rsid w:val="00567797"/>
    <w:rsid w:val="00567A71"/>
    <w:rsid w:val="00567DCD"/>
    <w:rsid w:val="00570097"/>
    <w:rsid w:val="005703C6"/>
    <w:rsid w:val="0057059D"/>
    <w:rsid w:val="005705DF"/>
    <w:rsid w:val="0057063B"/>
    <w:rsid w:val="00570D12"/>
    <w:rsid w:val="0057150C"/>
    <w:rsid w:val="00571DB4"/>
    <w:rsid w:val="005720A9"/>
    <w:rsid w:val="005723C0"/>
    <w:rsid w:val="00572CA4"/>
    <w:rsid w:val="00573117"/>
    <w:rsid w:val="00573122"/>
    <w:rsid w:val="00574980"/>
    <w:rsid w:val="005752F9"/>
    <w:rsid w:val="005755A9"/>
    <w:rsid w:val="00575DAA"/>
    <w:rsid w:val="00575F83"/>
    <w:rsid w:val="0057633C"/>
    <w:rsid w:val="00576600"/>
    <w:rsid w:val="0057678E"/>
    <w:rsid w:val="00577534"/>
    <w:rsid w:val="00580C30"/>
    <w:rsid w:val="00581689"/>
    <w:rsid w:val="00581774"/>
    <w:rsid w:val="00581CB4"/>
    <w:rsid w:val="00582443"/>
    <w:rsid w:val="0058256B"/>
    <w:rsid w:val="00582D6C"/>
    <w:rsid w:val="00583B73"/>
    <w:rsid w:val="00584CD5"/>
    <w:rsid w:val="005853C7"/>
    <w:rsid w:val="00585A56"/>
    <w:rsid w:val="00585DA1"/>
    <w:rsid w:val="0058623B"/>
    <w:rsid w:val="0058631D"/>
    <w:rsid w:val="005863AD"/>
    <w:rsid w:val="00586DAE"/>
    <w:rsid w:val="005873DB"/>
    <w:rsid w:val="0058762E"/>
    <w:rsid w:val="00587E16"/>
    <w:rsid w:val="00591BAC"/>
    <w:rsid w:val="00591E89"/>
    <w:rsid w:val="005933C1"/>
    <w:rsid w:val="00593E21"/>
    <w:rsid w:val="00594CEF"/>
    <w:rsid w:val="005957F6"/>
    <w:rsid w:val="00595D2F"/>
    <w:rsid w:val="00595D79"/>
    <w:rsid w:val="00595FF7"/>
    <w:rsid w:val="00596077"/>
    <w:rsid w:val="00596C1B"/>
    <w:rsid w:val="00596EFB"/>
    <w:rsid w:val="00596F3F"/>
    <w:rsid w:val="00597704"/>
    <w:rsid w:val="005A0068"/>
    <w:rsid w:val="005A01FF"/>
    <w:rsid w:val="005A1B85"/>
    <w:rsid w:val="005A1C01"/>
    <w:rsid w:val="005A1DD9"/>
    <w:rsid w:val="005A2679"/>
    <w:rsid w:val="005A2E5E"/>
    <w:rsid w:val="005A36E3"/>
    <w:rsid w:val="005A3729"/>
    <w:rsid w:val="005A3D47"/>
    <w:rsid w:val="005A4133"/>
    <w:rsid w:val="005A4298"/>
    <w:rsid w:val="005A42ED"/>
    <w:rsid w:val="005A4764"/>
    <w:rsid w:val="005A4D8B"/>
    <w:rsid w:val="005A4D9F"/>
    <w:rsid w:val="005A5AB1"/>
    <w:rsid w:val="005A5BB9"/>
    <w:rsid w:val="005A5C86"/>
    <w:rsid w:val="005A5CBE"/>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1A"/>
    <w:rsid w:val="005B545C"/>
    <w:rsid w:val="005B596A"/>
    <w:rsid w:val="005B666F"/>
    <w:rsid w:val="005B747C"/>
    <w:rsid w:val="005B75CC"/>
    <w:rsid w:val="005C0399"/>
    <w:rsid w:val="005C1B1E"/>
    <w:rsid w:val="005C26EC"/>
    <w:rsid w:val="005C39E5"/>
    <w:rsid w:val="005C3F95"/>
    <w:rsid w:val="005C467A"/>
    <w:rsid w:val="005C4C3F"/>
    <w:rsid w:val="005C4ED7"/>
    <w:rsid w:val="005C6A71"/>
    <w:rsid w:val="005C6D39"/>
    <w:rsid w:val="005C6DFB"/>
    <w:rsid w:val="005C6E51"/>
    <w:rsid w:val="005C7D85"/>
    <w:rsid w:val="005D00F9"/>
    <w:rsid w:val="005D05E5"/>
    <w:rsid w:val="005D067A"/>
    <w:rsid w:val="005D0C14"/>
    <w:rsid w:val="005D0D7E"/>
    <w:rsid w:val="005D1642"/>
    <w:rsid w:val="005D22F8"/>
    <w:rsid w:val="005D2C05"/>
    <w:rsid w:val="005D2D89"/>
    <w:rsid w:val="005D4816"/>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495A"/>
    <w:rsid w:val="005E5477"/>
    <w:rsid w:val="005E5FCC"/>
    <w:rsid w:val="005E6860"/>
    <w:rsid w:val="005E7342"/>
    <w:rsid w:val="005E7E91"/>
    <w:rsid w:val="005E7EFE"/>
    <w:rsid w:val="005F0B9A"/>
    <w:rsid w:val="005F1483"/>
    <w:rsid w:val="005F1DB0"/>
    <w:rsid w:val="005F2C06"/>
    <w:rsid w:val="005F2C1B"/>
    <w:rsid w:val="005F2D3A"/>
    <w:rsid w:val="005F2FC7"/>
    <w:rsid w:val="005F32DD"/>
    <w:rsid w:val="005F35EB"/>
    <w:rsid w:val="005F469A"/>
    <w:rsid w:val="005F4811"/>
    <w:rsid w:val="005F49B3"/>
    <w:rsid w:val="005F4D44"/>
    <w:rsid w:val="005F55F0"/>
    <w:rsid w:val="005F64DC"/>
    <w:rsid w:val="005F696D"/>
    <w:rsid w:val="005F6EB6"/>
    <w:rsid w:val="005F6FFB"/>
    <w:rsid w:val="005F7824"/>
    <w:rsid w:val="0060124B"/>
    <w:rsid w:val="00602198"/>
    <w:rsid w:val="006021EA"/>
    <w:rsid w:val="00602706"/>
    <w:rsid w:val="0060316A"/>
    <w:rsid w:val="006033B5"/>
    <w:rsid w:val="006044EA"/>
    <w:rsid w:val="006047F1"/>
    <w:rsid w:val="00606219"/>
    <w:rsid w:val="006069B3"/>
    <w:rsid w:val="006073DF"/>
    <w:rsid w:val="006101C7"/>
    <w:rsid w:val="00610D50"/>
    <w:rsid w:val="00610DD8"/>
    <w:rsid w:val="0061115F"/>
    <w:rsid w:val="006118AE"/>
    <w:rsid w:val="006118B1"/>
    <w:rsid w:val="00611C58"/>
    <w:rsid w:val="0061244F"/>
    <w:rsid w:val="00612873"/>
    <w:rsid w:val="00612A85"/>
    <w:rsid w:val="0061430A"/>
    <w:rsid w:val="00614443"/>
    <w:rsid w:val="006148F4"/>
    <w:rsid w:val="0061495B"/>
    <w:rsid w:val="00614BC3"/>
    <w:rsid w:val="006159D1"/>
    <w:rsid w:val="006166F7"/>
    <w:rsid w:val="00616F4B"/>
    <w:rsid w:val="006170FA"/>
    <w:rsid w:val="00617B18"/>
    <w:rsid w:val="0062031D"/>
    <w:rsid w:val="00620582"/>
    <w:rsid w:val="006209E4"/>
    <w:rsid w:val="00620CA5"/>
    <w:rsid w:val="00621103"/>
    <w:rsid w:val="00621433"/>
    <w:rsid w:val="006214E7"/>
    <w:rsid w:val="0062168C"/>
    <w:rsid w:val="00622D9B"/>
    <w:rsid w:val="00622E2A"/>
    <w:rsid w:val="0062536E"/>
    <w:rsid w:val="006254F5"/>
    <w:rsid w:val="00626491"/>
    <w:rsid w:val="00630546"/>
    <w:rsid w:val="00630835"/>
    <w:rsid w:val="00630AC7"/>
    <w:rsid w:val="00630D49"/>
    <w:rsid w:val="00631629"/>
    <w:rsid w:val="006319A4"/>
    <w:rsid w:val="0063328B"/>
    <w:rsid w:val="006334B5"/>
    <w:rsid w:val="00633EE6"/>
    <w:rsid w:val="00634179"/>
    <w:rsid w:val="00634281"/>
    <w:rsid w:val="00634A36"/>
    <w:rsid w:val="00634E49"/>
    <w:rsid w:val="00636A24"/>
    <w:rsid w:val="00636A6A"/>
    <w:rsid w:val="00636B2E"/>
    <w:rsid w:val="00636F4C"/>
    <w:rsid w:val="00637967"/>
    <w:rsid w:val="00637AC5"/>
    <w:rsid w:val="006408AE"/>
    <w:rsid w:val="00640A87"/>
    <w:rsid w:val="00640D9A"/>
    <w:rsid w:val="00641892"/>
    <w:rsid w:val="00641E08"/>
    <w:rsid w:val="00642375"/>
    <w:rsid w:val="006426A2"/>
    <w:rsid w:val="00642B1E"/>
    <w:rsid w:val="006431D6"/>
    <w:rsid w:val="00643810"/>
    <w:rsid w:val="00643BB1"/>
    <w:rsid w:val="00644083"/>
    <w:rsid w:val="006446BA"/>
    <w:rsid w:val="006446C5"/>
    <w:rsid w:val="00644CFD"/>
    <w:rsid w:val="00644F4F"/>
    <w:rsid w:val="00644FFD"/>
    <w:rsid w:val="00645D3C"/>
    <w:rsid w:val="00645E8E"/>
    <w:rsid w:val="00646143"/>
    <w:rsid w:val="006468CF"/>
    <w:rsid w:val="0064753E"/>
    <w:rsid w:val="00647759"/>
    <w:rsid w:val="00647769"/>
    <w:rsid w:val="00647CCB"/>
    <w:rsid w:val="006502E6"/>
    <w:rsid w:val="00650A93"/>
    <w:rsid w:val="0065124E"/>
    <w:rsid w:val="00651398"/>
    <w:rsid w:val="006526FD"/>
    <w:rsid w:val="006533E0"/>
    <w:rsid w:val="00653626"/>
    <w:rsid w:val="0065388B"/>
    <w:rsid w:val="00653B91"/>
    <w:rsid w:val="0065410F"/>
    <w:rsid w:val="0065438D"/>
    <w:rsid w:val="00654A6B"/>
    <w:rsid w:val="00656156"/>
    <w:rsid w:val="00656612"/>
    <w:rsid w:val="0065674B"/>
    <w:rsid w:val="0065732B"/>
    <w:rsid w:val="00657A85"/>
    <w:rsid w:val="00657AAF"/>
    <w:rsid w:val="00660C6D"/>
    <w:rsid w:val="00660DD6"/>
    <w:rsid w:val="00661299"/>
    <w:rsid w:val="006612AA"/>
    <w:rsid w:val="006614B9"/>
    <w:rsid w:val="006626DD"/>
    <w:rsid w:val="00663848"/>
    <w:rsid w:val="0066405E"/>
    <w:rsid w:val="00664196"/>
    <w:rsid w:val="00664380"/>
    <w:rsid w:val="00664830"/>
    <w:rsid w:val="00665586"/>
    <w:rsid w:val="00665C53"/>
    <w:rsid w:val="0066607C"/>
    <w:rsid w:val="00666BF8"/>
    <w:rsid w:val="00666E89"/>
    <w:rsid w:val="00667188"/>
    <w:rsid w:val="006709E9"/>
    <w:rsid w:val="00670F40"/>
    <w:rsid w:val="006725C0"/>
    <w:rsid w:val="006726F1"/>
    <w:rsid w:val="00672F48"/>
    <w:rsid w:val="00673188"/>
    <w:rsid w:val="006731F4"/>
    <w:rsid w:val="00673629"/>
    <w:rsid w:val="006738DD"/>
    <w:rsid w:val="00673D87"/>
    <w:rsid w:val="00674664"/>
    <w:rsid w:val="006747EE"/>
    <w:rsid w:val="00675001"/>
    <w:rsid w:val="0067597D"/>
    <w:rsid w:val="00675F1A"/>
    <w:rsid w:val="00676058"/>
    <w:rsid w:val="00676C7A"/>
    <w:rsid w:val="00676C9B"/>
    <w:rsid w:val="00677015"/>
    <w:rsid w:val="006779F7"/>
    <w:rsid w:val="00677BB6"/>
    <w:rsid w:val="00681899"/>
    <w:rsid w:val="00681982"/>
    <w:rsid w:val="0068215D"/>
    <w:rsid w:val="00682943"/>
    <w:rsid w:val="006839D9"/>
    <w:rsid w:val="00683DAF"/>
    <w:rsid w:val="00684218"/>
    <w:rsid w:val="0068462C"/>
    <w:rsid w:val="006846F7"/>
    <w:rsid w:val="00684E2C"/>
    <w:rsid w:val="00686A44"/>
    <w:rsid w:val="00686BDB"/>
    <w:rsid w:val="00686E07"/>
    <w:rsid w:val="00687563"/>
    <w:rsid w:val="00687830"/>
    <w:rsid w:val="00687B56"/>
    <w:rsid w:val="00687D28"/>
    <w:rsid w:val="00687FEC"/>
    <w:rsid w:val="00690065"/>
    <w:rsid w:val="006906F6"/>
    <w:rsid w:val="006914F4"/>
    <w:rsid w:val="0069269C"/>
    <w:rsid w:val="006927F9"/>
    <w:rsid w:val="00692A39"/>
    <w:rsid w:val="00694266"/>
    <w:rsid w:val="0069542C"/>
    <w:rsid w:val="006957E1"/>
    <w:rsid w:val="00695C4F"/>
    <w:rsid w:val="0069606C"/>
    <w:rsid w:val="00696773"/>
    <w:rsid w:val="00696C0C"/>
    <w:rsid w:val="00697072"/>
    <w:rsid w:val="006974DE"/>
    <w:rsid w:val="00697507"/>
    <w:rsid w:val="006A085C"/>
    <w:rsid w:val="006A09D1"/>
    <w:rsid w:val="006A0CC8"/>
    <w:rsid w:val="006A0FF8"/>
    <w:rsid w:val="006A16E9"/>
    <w:rsid w:val="006A1845"/>
    <w:rsid w:val="006A1ADE"/>
    <w:rsid w:val="006A1C76"/>
    <w:rsid w:val="006A21FB"/>
    <w:rsid w:val="006A252C"/>
    <w:rsid w:val="006A27B9"/>
    <w:rsid w:val="006A2C54"/>
    <w:rsid w:val="006A3029"/>
    <w:rsid w:val="006A37C1"/>
    <w:rsid w:val="006A3B12"/>
    <w:rsid w:val="006A48EA"/>
    <w:rsid w:val="006A5086"/>
    <w:rsid w:val="006A5158"/>
    <w:rsid w:val="006A699D"/>
    <w:rsid w:val="006A6E03"/>
    <w:rsid w:val="006A7089"/>
    <w:rsid w:val="006B1074"/>
    <w:rsid w:val="006B1A20"/>
    <w:rsid w:val="006B233F"/>
    <w:rsid w:val="006B25C4"/>
    <w:rsid w:val="006B2688"/>
    <w:rsid w:val="006B34E7"/>
    <w:rsid w:val="006B4509"/>
    <w:rsid w:val="006B4C8C"/>
    <w:rsid w:val="006B51E8"/>
    <w:rsid w:val="006B5647"/>
    <w:rsid w:val="006B564B"/>
    <w:rsid w:val="006B60B2"/>
    <w:rsid w:val="006B7996"/>
    <w:rsid w:val="006B7E1C"/>
    <w:rsid w:val="006C0024"/>
    <w:rsid w:val="006C02C3"/>
    <w:rsid w:val="006C03CA"/>
    <w:rsid w:val="006C090B"/>
    <w:rsid w:val="006C1939"/>
    <w:rsid w:val="006C1F08"/>
    <w:rsid w:val="006C2516"/>
    <w:rsid w:val="006C297E"/>
    <w:rsid w:val="006C3045"/>
    <w:rsid w:val="006C38ED"/>
    <w:rsid w:val="006C3E35"/>
    <w:rsid w:val="006C41B6"/>
    <w:rsid w:val="006C47E0"/>
    <w:rsid w:val="006C4F26"/>
    <w:rsid w:val="006C6175"/>
    <w:rsid w:val="006C6524"/>
    <w:rsid w:val="006D0CA9"/>
    <w:rsid w:val="006D0FFC"/>
    <w:rsid w:val="006D17E1"/>
    <w:rsid w:val="006D1D44"/>
    <w:rsid w:val="006D1E10"/>
    <w:rsid w:val="006D24B3"/>
    <w:rsid w:val="006D2705"/>
    <w:rsid w:val="006D2E80"/>
    <w:rsid w:val="006D3333"/>
    <w:rsid w:val="006D4030"/>
    <w:rsid w:val="006D4342"/>
    <w:rsid w:val="006D4B36"/>
    <w:rsid w:val="006D4F9D"/>
    <w:rsid w:val="006D522D"/>
    <w:rsid w:val="006D5323"/>
    <w:rsid w:val="006D5E15"/>
    <w:rsid w:val="006D617A"/>
    <w:rsid w:val="006D6A01"/>
    <w:rsid w:val="006D6E45"/>
    <w:rsid w:val="006D7247"/>
    <w:rsid w:val="006D7705"/>
    <w:rsid w:val="006D7FCD"/>
    <w:rsid w:val="006E07DC"/>
    <w:rsid w:val="006E0E22"/>
    <w:rsid w:val="006E1AA6"/>
    <w:rsid w:val="006E1F84"/>
    <w:rsid w:val="006E1F8C"/>
    <w:rsid w:val="006E2546"/>
    <w:rsid w:val="006E396C"/>
    <w:rsid w:val="006E3A19"/>
    <w:rsid w:val="006E3E3D"/>
    <w:rsid w:val="006E406F"/>
    <w:rsid w:val="006E40F1"/>
    <w:rsid w:val="006E4842"/>
    <w:rsid w:val="006E5839"/>
    <w:rsid w:val="006E7316"/>
    <w:rsid w:val="006E793F"/>
    <w:rsid w:val="006E7C51"/>
    <w:rsid w:val="006F090C"/>
    <w:rsid w:val="006F15C1"/>
    <w:rsid w:val="006F1850"/>
    <w:rsid w:val="006F185C"/>
    <w:rsid w:val="006F18D3"/>
    <w:rsid w:val="006F26B4"/>
    <w:rsid w:val="006F309E"/>
    <w:rsid w:val="006F35C8"/>
    <w:rsid w:val="006F3EAE"/>
    <w:rsid w:val="006F4F09"/>
    <w:rsid w:val="006F5037"/>
    <w:rsid w:val="006F5289"/>
    <w:rsid w:val="006F544B"/>
    <w:rsid w:val="006F5950"/>
    <w:rsid w:val="006F5B7D"/>
    <w:rsid w:val="006F5E9A"/>
    <w:rsid w:val="006F6471"/>
    <w:rsid w:val="006F6865"/>
    <w:rsid w:val="006F6EDD"/>
    <w:rsid w:val="006F714A"/>
    <w:rsid w:val="006F7D6A"/>
    <w:rsid w:val="006F7DAE"/>
    <w:rsid w:val="00700086"/>
    <w:rsid w:val="00700B7B"/>
    <w:rsid w:val="0070153D"/>
    <w:rsid w:val="00701A15"/>
    <w:rsid w:val="00702108"/>
    <w:rsid w:val="00702B0C"/>
    <w:rsid w:val="0070304D"/>
    <w:rsid w:val="0070305B"/>
    <w:rsid w:val="00703A06"/>
    <w:rsid w:val="00704116"/>
    <w:rsid w:val="00705C1A"/>
    <w:rsid w:val="0070687A"/>
    <w:rsid w:val="007104B1"/>
    <w:rsid w:val="00710694"/>
    <w:rsid w:val="00711241"/>
    <w:rsid w:val="007114DF"/>
    <w:rsid w:val="00711ABB"/>
    <w:rsid w:val="00712839"/>
    <w:rsid w:val="00712A21"/>
    <w:rsid w:val="00712C5E"/>
    <w:rsid w:val="00712FB4"/>
    <w:rsid w:val="00713445"/>
    <w:rsid w:val="00713B3B"/>
    <w:rsid w:val="00713E98"/>
    <w:rsid w:val="00714196"/>
    <w:rsid w:val="0071449C"/>
    <w:rsid w:val="00715CEA"/>
    <w:rsid w:val="007160DA"/>
    <w:rsid w:val="00716159"/>
    <w:rsid w:val="00716824"/>
    <w:rsid w:val="00716CC0"/>
    <w:rsid w:val="00716E19"/>
    <w:rsid w:val="0071712B"/>
    <w:rsid w:val="00717216"/>
    <w:rsid w:val="007173AA"/>
    <w:rsid w:val="00717599"/>
    <w:rsid w:val="00720626"/>
    <w:rsid w:val="00720C84"/>
    <w:rsid w:val="00721352"/>
    <w:rsid w:val="00721576"/>
    <w:rsid w:val="00722BBB"/>
    <w:rsid w:val="00723B08"/>
    <w:rsid w:val="00723CF2"/>
    <w:rsid w:val="00724139"/>
    <w:rsid w:val="007241E1"/>
    <w:rsid w:val="007242F0"/>
    <w:rsid w:val="00724932"/>
    <w:rsid w:val="007255B1"/>
    <w:rsid w:val="00726332"/>
    <w:rsid w:val="00726415"/>
    <w:rsid w:val="00726D64"/>
    <w:rsid w:val="00726E88"/>
    <w:rsid w:val="00726FF9"/>
    <w:rsid w:val="00727354"/>
    <w:rsid w:val="00727965"/>
    <w:rsid w:val="00730140"/>
    <w:rsid w:val="0073157A"/>
    <w:rsid w:val="00731B85"/>
    <w:rsid w:val="00732646"/>
    <w:rsid w:val="007326CA"/>
    <w:rsid w:val="0073360E"/>
    <w:rsid w:val="0073399C"/>
    <w:rsid w:val="00735D8C"/>
    <w:rsid w:val="00735EB7"/>
    <w:rsid w:val="0073758E"/>
    <w:rsid w:val="00737D5D"/>
    <w:rsid w:val="00737E62"/>
    <w:rsid w:val="0074037F"/>
    <w:rsid w:val="007414F4"/>
    <w:rsid w:val="00741579"/>
    <w:rsid w:val="00744552"/>
    <w:rsid w:val="00744FF4"/>
    <w:rsid w:val="0074538E"/>
    <w:rsid w:val="00745395"/>
    <w:rsid w:val="00745DC7"/>
    <w:rsid w:val="00745FFC"/>
    <w:rsid w:val="00747E8C"/>
    <w:rsid w:val="007501B1"/>
    <w:rsid w:val="00750B67"/>
    <w:rsid w:val="00751034"/>
    <w:rsid w:val="0075203F"/>
    <w:rsid w:val="007526D4"/>
    <w:rsid w:val="00752729"/>
    <w:rsid w:val="00752E45"/>
    <w:rsid w:val="007533DB"/>
    <w:rsid w:val="0075350F"/>
    <w:rsid w:val="007538A3"/>
    <w:rsid w:val="007538FC"/>
    <w:rsid w:val="007540DC"/>
    <w:rsid w:val="0075424D"/>
    <w:rsid w:val="00754683"/>
    <w:rsid w:val="00754E9F"/>
    <w:rsid w:val="00755031"/>
    <w:rsid w:val="0075508A"/>
    <w:rsid w:val="00755264"/>
    <w:rsid w:val="0075543E"/>
    <w:rsid w:val="00755652"/>
    <w:rsid w:val="00755A69"/>
    <w:rsid w:val="00756C5F"/>
    <w:rsid w:val="00757242"/>
    <w:rsid w:val="00757E64"/>
    <w:rsid w:val="00760A62"/>
    <w:rsid w:val="00761371"/>
    <w:rsid w:val="00761A2A"/>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70D71"/>
    <w:rsid w:val="00771282"/>
    <w:rsid w:val="00772DF6"/>
    <w:rsid w:val="007731A9"/>
    <w:rsid w:val="00773D4C"/>
    <w:rsid w:val="0077480F"/>
    <w:rsid w:val="0077486D"/>
    <w:rsid w:val="00774B90"/>
    <w:rsid w:val="007753D8"/>
    <w:rsid w:val="0077543A"/>
    <w:rsid w:val="007756E6"/>
    <w:rsid w:val="00775F39"/>
    <w:rsid w:val="00777275"/>
    <w:rsid w:val="00777E95"/>
    <w:rsid w:val="00780564"/>
    <w:rsid w:val="007806DB"/>
    <w:rsid w:val="00781BF5"/>
    <w:rsid w:val="00781D13"/>
    <w:rsid w:val="007822EA"/>
    <w:rsid w:val="00782429"/>
    <w:rsid w:val="007842C0"/>
    <w:rsid w:val="007842E7"/>
    <w:rsid w:val="00784375"/>
    <w:rsid w:val="00784896"/>
    <w:rsid w:val="00784EE3"/>
    <w:rsid w:val="007853BC"/>
    <w:rsid w:val="00785B24"/>
    <w:rsid w:val="00785C76"/>
    <w:rsid w:val="00785CE4"/>
    <w:rsid w:val="007862AF"/>
    <w:rsid w:val="0078634F"/>
    <w:rsid w:val="0078638B"/>
    <w:rsid w:val="00786C93"/>
    <w:rsid w:val="00786E8B"/>
    <w:rsid w:val="00787218"/>
    <w:rsid w:val="00787443"/>
    <w:rsid w:val="007875E0"/>
    <w:rsid w:val="00787F52"/>
    <w:rsid w:val="007905D4"/>
    <w:rsid w:val="0079198C"/>
    <w:rsid w:val="007929BD"/>
    <w:rsid w:val="00792A2B"/>
    <w:rsid w:val="00792BB9"/>
    <w:rsid w:val="00792DF5"/>
    <w:rsid w:val="00792E1F"/>
    <w:rsid w:val="00792E6B"/>
    <w:rsid w:val="00793620"/>
    <w:rsid w:val="0079390A"/>
    <w:rsid w:val="00793D14"/>
    <w:rsid w:val="007941D1"/>
    <w:rsid w:val="0079454E"/>
    <w:rsid w:val="0079462B"/>
    <w:rsid w:val="00794CFD"/>
    <w:rsid w:val="00795BA3"/>
    <w:rsid w:val="00796426"/>
    <w:rsid w:val="00796453"/>
    <w:rsid w:val="0079697E"/>
    <w:rsid w:val="00796C78"/>
    <w:rsid w:val="007973A5"/>
    <w:rsid w:val="007976A9"/>
    <w:rsid w:val="007976EE"/>
    <w:rsid w:val="007978E7"/>
    <w:rsid w:val="007A08D9"/>
    <w:rsid w:val="007A0A3D"/>
    <w:rsid w:val="007A1424"/>
    <w:rsid w:val="007A1973"/>
    <w:rsid w:val="007A1B40"/>
    <w:rsid w:val="007A2A93"/>
    <w:rsid w:val="007A2D84"/>
    <w:rsid w:val="007A2EF8"/>
    <w:rsid w:val="007A301C"/>
    <w:rsid w:val="007A314E"/>
    <w:rsid w:val="007A3618"/>
    <w:rsid w:val="007A3CDE"/>
    <w:rsid w:val="007A3D26"/>
    <w:rsid w:val="007A4B4C"/>
    <w:rsid w:val="007A51D1"/>
    <w:rsid w:val="007A51FB"/>
    <w:rsid w:val="007A53D4"/>
    <w:rsid w:val="007A55B7"/>
    <w:rsid w:val="007A55CB"/>
    <w:rsid w:val="007A5DC2"/>
    <w:rsid w:val="007A6355"/>
    <w:rsid w:val="007A67A6"/>
    <w:rsid w:val="007A6C05"/>
    <w:rsid w:val="007A716F"/>
    <w:rsid w:val="007A7600"/>
    <w:rsid w:val="007B0606"/>
    <w:rsid w:val="007B067E"/>
    <w:rsid w:val="007B10F7"/>
    <w:rsid w:val="007B11D4"/>
    <w:rsid w:val="007B1265"/>
    <w:rsid w:val="007B18F0"/>
    <w:rsid w:val="007B26BE"/>
    <w:rsid w:val="007B2A52"/>
    <w:rsid w:val="007B306F"/>
    <w:rsid w:val="007B360D"/>
    <w:rsid w:val="007B39F5"/>
    <w:rsid w:val="007B3D55"/>
    <w:rsid w:val="007B3EC8"/>
    <w:rsid w:val="007B3F80"/>
    <w:rsid w:val="007B58D5"/>
    <w:rsid w:val="007B5ACB"/>
    <w:rsid w:val="007B6F61"/>
    <w:rsid w:val="007B7339"/>
    <w:rsid w:val="007B7C25"/>
    <w:rsid w:val="007C02B3"/>
    <w:rsid w:val="007C05D8"/>
    <w:rsid w:val="007C0BA5"/>
    <w:rsid w:val="007C0F82"/>
    <w:rsid w:val="007C1E05"/>
    <w:rsid w:val="007C1EBC"/>
    <w:rsid w:val="007C2019"/>
    <w:rsid w:val="007C2E69"/>
    <w:rsid w:val="007C2F6C"/>
    <w:rsid w:val="007C3058"/>
    <w:rsid w:val="007C31AD"/>
    <w:rsid w:val="007C36C7"/>
    <w:rsid w:val="007C3887"/>
    <w:rsid w:val="007C3B10"/>
    <w:rsid w:val="007C3C25"/>
    <w:rsid w:val="007C3FB1"/>
    <w:rsid w:val="007C4ADB"/>
    <w:rsid w:val="007C4B71"/>
    <w:rsid w:val="007C5063"/>
    <w:rsid w:val="007C50F2"/>
    <w:rsid w:val="007C5605"/>
    <w:rsid w:val="007C5DEE"/>
    <w:rsid w:val="007C5F38"/>
    <w:rsid w:val="007C6874"/>
    <w:rsid w:val="007C713F"/>
    <w:rsid w:val="007C7475"/>
    <w:rsid w:val="007C7E86"/>
    <w:rsid w:val="007D007B"/>
    <w:rsid w:val="007D01BF"/>
    <w:rsid w:val="007D14B0"/>
    <w:rsid w:val="007D20D0"/>
    <w:rsid w:val="007D30E4"/>
    <w:rsid w:val="007D3289"/>
    <w:rsid w:val="007D39E5"/>
    <w:rsid w:val="007D3D2A"/>
    <w:rsid w:val="007D4BD0"/>
    <w:rsid w:val="007D5E6D"/>
    <w:rsid w:val="007D5F41"/>
    <w:rsid w:val="007D5F51"/>
    <w:rsid w:val="007D7CD0"/>
    <w:rsid w:val="007E0567"/>
    <w:rsid w:val="007E0C35"/>
    <w:rsid w:val="007E1212"/>
    <w:rsid w:val="007E1EFD"/>
    <w:rsid w:val="007E21B9"/>
    <w:rsid w:val="007E22F1"/>
    <w:rsid w:val="007E2875"/>
    <w:rsid w:val="007E2976"/>
    <w:rsid w:val="007E3764"/>
    <w:rsid w:val="007E37F2"/>
    <w:rsid w:val="007E39D7"/>
    <w:rsid w:val="007E3BD4"/>
    <w:rsid w:val="007E5688"/>
    <w:rsid w:val="007E5F3A"/>
    <w:rsid w:val="007E6130"/>
    <w:rsid w:val="007E631E"/>
    <w:rsid w:val="007E65AE"/>
    <w:rsid w:val="007E7895"/>
    <w:rsid w:val="007E7981"/>
    <w:rsid w:val="007F0577"/>
    <w:rsid w:val="007F09C0"/>
    <w:rsid w:val="007F0BFC"/>
    <w:rsid w:val="007F0CF9"/>
    <w:rsid w:val="007F1534"/>
    <w:rsid w:val="007F2081"/>
    <w:rsid w:val="007F2AB0"/>
    <w:rsid w:val="007F2E17"/>
    <w:rsid w:val="007F489F"/>
    <w:rsid w:val="007F530A"/>
    <w:rsid w:val="007F568D"/>
    <w:rsid w:val="007F58EF"/>
    <w:rsid w:val="007F72DB"/>
    <w:rsid w:val="007F7631"/>
    <w:rsid w:val="007F7971"/>
    <w:rsid w:val="0080025C"/>
    <w:rsid w:val="00801EB9"/>
    <w:rsid w:val="008023F8"/>
    <w:rsid w:val="00803489"/>
    <w:rsid w:val="00803BC8"/>
    <w:rsid w:val="0080475F"/>
    <w:rsid w:val="00804D4A"/>
    <w:rsid w:val="00805FDE"/>
    <w:rsid w:val="00806191"/>
    <w:rsid w:val="0080705E"/>
    <w:rsid w:val="00807E51"/>
    <w:rsid w:val="00807FFA"/>
    <w:rsid w:val="008102AB"/>
    <w:rsid w:val="008104DC"/>
    <w:rsid w:val="008108CF"/>
    <w:rsid w:val="008117CD"/>
    <w:rsid w:val="00812685"/>
    <w:rsid w:val="00812D5D"/>
    <w:rsid w:val="008131C7"/>
    <w:rsid w:val="008140C1"/>
    <w:rsid w:val="00814E80"/>
    <w:rsid w:val="00815030"/>
    <w:rsid w:val="00815081"/>
    <w:rsid w:val="008170E7"/>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DC6"/>
    <w:rsid w:val="008359A5"/>
    <w:rsid w:val="00835F65"/>
    <w:rsid w:val="00836664"/>
    <w:rsid w:val="00836FB9"/>
    <w:rsid w:val="00840288"/>
    <w:rsid w:val="008403C2"/>
    <w:rsid w:val="0084086D"/>
    <w:rsid w:val="00841044"/>
    <w:rsid w:val="00841371"/>
    <w:rsid w:val="00841546"/>
    <w:rsid w:val="0084172B"/>
    <w:rsid w:val="008418AA"/>
    <w:rsid w:val="00841F4E"/>
    <w:rsid w:val="00841FBE"/>
    <w:rsid w:val="00842D1F"/>
    <w:rsid w:val="00843FA5"/>
    <w:rsid w:val="008442BB"/>
    <w:rsid w:val="008442D8"/>
    <w:rsid w:val="00844599"/>
    <w:rsid w:val="0084484D"/>
    <w:rsid w:val="008449F4"/>
    <w:rsid w:val="00845146"/>
    <w:rsid w:val="00845225"/>
    <w:rsid w:val="00845C98"/>
    <w:rsid w:val="00846809"/>
    <w:rsid w:val="0084702A"/>
    <w:rsid w:val="0084778B"/>
    <w:rsid w:val="00847BEF"/>
    <w:rsid w:val="00847C98"/>
    <w:rsid w:val="00847E36"/>
    <w:rsid w:val="00847F87"/>
    <w:rsid w:val="00847FEA"/>
    <w:rsid w:val="00850A67"/>
    <w:rsid w:val="008511E6"/>
    <w:rsid w:val="00852332"/>
    <w:rsid w:val="00852404"/>
    <w:rsid w:val="0085255C"/>
    <w:rsid w:val="00852B70"/>
    <w:rsid w:val="00852DFE"/>
    <w:rsid w:val="00853042"/>
    <w:rsid w:val="0085384B"/>
    <w:rsid w:val="008540CA"/>
    <w:rsid w:val="00854176"/>
    <w:rsid w:val="008554F5"/>
    <w:rsid w:val="008555FC"/>
    <w:rsid w:val="00855774"/>
    <w:rsid w:val="00855F88"/>
    <w:rsid w:val="00856B00"/>
    <w:rsid w:val="008572A9"/>
    <w:rsid w:val="008609C7"/>
    <w:rsid w:val="00860D39"/>
    <w:rsid w:val="00860FA5"/>
    <w:rsid w:val="00860FA6"/>
    <w:rsid w:val="00861633"/>
    <w:rsid w:val="00861D26"/>
    <w:rsid w:val="00862904"/>
    <w:rsid w:val="00862BF2"/>
    <w:rsid w:val="00863104"/>
    <w:rsid w:val="00863F49"/>
    <w:rsid w:val="00864D33"/>
    <w:rsid w:val="00864DE1"/>
    <w:rsid w:val="0086514F"/>
    <w:rsid w:val="00865425"/>
    <w:rsid w:val="008659B2"/>
    <w:rsid w:val="00865AF0"/>
    <w:rsid w:val="00867062"/>
    <w:rsid w:val="0086766F"/>
    <w:rsid w:val="0087033C"/>
    <w:rsid w:val="00871C0D"/>
    <w:rsid w:val="00871C35"/>
    <w:rsid w:val="00872473"/>
    <w:rsid w:val="00872705"/>
    <w:rsid w:val="00872B8D"/>
    <w:rsid w:val="00872F6F"/>
    <w:rsid w:val="0087324C"/>
    <w:rsid w:val="0087399A"/>
    <w:rsid w:val="008743C9"/>
    <w:rsid w:val="00875D76"/>
    <w:rsid w:val="00875E58"/>
    <w:rsid w:val="0087699A"/>
    <w:rsid w:val="00876B36"/>
    <w:rsid w:val="008772EC"/>
    <w:rsid w:val="00877878"/>
    <w:rsid w:val="008808B2"/>
    <w:rsid w:val="00880D55"/>
    <w:rsid w:val="00880ECC"/>
    <w:rsid w:val="0088176A"/>
    <w:rsid w:val="008817E2"/>
    <w:rsid w:val="00882CAF"/>
    <w:rsid w:val="008834C6"/>
    <w:rsid w:val="0088364D"/>
    <w:rsid w:val="00883B17"/>
    <w:rsid w:val="00883CA2"/>
    <w:rsid w:val="00883F18"/>
    <w:rsid w:val="00884979"/>
    <w:rsid w:val="00886222"/>
    <w:rsid w:val="00887782"/>
    <w:rsid w:val="00887FBC"/>
    <w:rsid w:val="0089027D"/>
    <w:rsid w:val="008903C4"/>
    <w:rsid w:val="008918EB"/>
    <w:rsid w:val="00893516"/>
    <w:rsid w:val="0089396A"/>
    <w:rsid w:val="00893AD1"/>
    <w:rsid w:val="008945C2"/>
    <w:rsid w:val="00894992"/>
    <w:rsid w:val="00894E12"/>
    <w:rsid w:val="0089569E"/>
    <w:rsid w:val="0089695F"/>
    <w:rsid w:val="00897EEA"/>
    <w:rsid w:val="008A0231"/>
    <w:rsid w:val="008A0485"/>
    <w:rsid w:val="008A052A"/>
    <w:rsid w:val="008A0C99"/>
    <w:rsid w:val="008A0F7D"/>
    <w:rsid w:val="008A1715"/>
    <w:rsid w:val="008A1732"/>
    <w:rsid w:val="008A18C9"/>
    <w:rsid w:val="008A1D7C"/>
    <w:rsid w:val="008A20DC"/>
    <w:rsid w:val="008A2950"/>
    <w:rsid w:val="008A2B8A"/>
    <w:rsid w:val="008A2D48"/>
    <w:rsid w:val="008A33BD"/>
    <w:rsid w:val="008A38D0"/>
    <w:rsid w:val="008A3E34"/>
    <w:rsid w:val="008A42E0"/>
    <w:rsid w:val="008A50AF"/>
    <w:rsid w:val="008A58D1"/>
    <w:rsid w:val="008A60F2"/>
    <w:rsid w:val="008A671B"/>
    <w:rsid w:val="008A6723"/>
    <w:rsid w:val="008A7642"/>
    <w:rsid w:val="008A7F43"/>
    <w:rsid w:val="008A7FF4"/>
    <w:rsid w:val="008B008E"/>
    <w:rsid w:val="008B19C2"/>
    <w:rsid w:val="008B2DF8"/>
    <w:rsid w:val="008B3601"/>
    <w:rsid w:val="008B3DEE"/>
    <w:rsid w:val="008B43FA"/>
    <w:rsid w:val="008B45F2"/>
    <w:rsid w:val="008B59E7"/>
    <w:rsid w:val="008B6940"/>
    <w:rsid w:val="008B74F1"/>
    <w:rsid w:val="008B7848"/>
    <w:rsid w:val="008B7F5D"/>
    <w:rsid w:val="008C03CF"/>
    <w:rsid w:val="008C07DE"/>
    <w:rsid w:val="008C1351"/>
    <w:rsid w:val="008C14F6"/>
    <w:rsid w:val="008C19C4"/>
    <w:rsid w:val="008C41A8"/>
    <w:rsid w:val="008C465E"/>
    <w:rsid w:val="008C4ED5"/>
    <w:rsid w:val="008C520F"/>
    <w:rsid w:val="008C5374"/>
    <w:rsid w:val="008C55EB"/>
    <w:rsid w:val="008C5858"/>
    <w:rsid w:val="008C5873"/>
    <w:rsid w:val="008C669E"/>
    <w:rsid w:val="008C66AC"/>
    <w:rsid w:val="008C6821"/>
    <w:rsid w:val="008C6DEB"/>
    <w:rsid w:val="008C70F9"/>
    <w:rsid w:val="008C72FE"/>
    <w:rsid w:val="008C7CF2"/>
    <w:rsid w:val="008C7FBF"/>
    <w:rsid w:val="008D001D"/>
    <w:rsid w:val="008D07DE"/>
    <w:rsid w:val="008D1AF5"/>
    <w:rsid w:val="008D2C75"/>
    <w:rsid w:val="008D2D39"/>
    <w:rsid w:val="008D3A86"/>
    <w:rsid w:val="008D4048"/>
    <w:rsid w:val="008D4AA5"/>
    <w:rsid w:val="008D52B2"/>
    <w:rsid w:val="008D54D5"/>
    <w:rsid w:val="008D6E96"/>
    <w:rsid w:val="008D7F20"/>
    <w:rsid w:val="008E010A"/>
    <w:rsid w:val="008E0719"/>
    <w:rsid w:val="008E0F26"/>
    <w:rsid w:val="008E162A"/>
    <w:rsid w:val="008E1CF4"/>
    <w:rsid w:val="008E26CE"/>
    <w:rsid w:val="008E2ADF"/>
    <w:rsid w:val="008E3A87"/>
    <w:rsid w:val="008E4159"/>
    <w:rsid w:val="008E530F"/>
    <w:rsid w:val="008E57C5"/>
    <w:rsid w:val="008E628B"/>
    <w:rsid w:val="008E6732"/>
    <w:rsid w:val="008E71C0"/>
    <w:rsid w:val="008E7C9C"/>
    <w:rsid w:val="008F0417"/>
    <w:rsid w:val="008F07A2"/>
    <w:rsid w:val="008F0F1B"/>
    <w:rsid w:val="008F1E7E"/>
    <w:rsid w:val="008F2302"/>
    <w:rsid w:val="008F23D5"/>
    <w:rsid w:val="008F33AB"/>
    <w:rsid w:val="008F356C"/>
    <w:rsid w:val="008F44AD"/>
    <w:rsid w:val="008F4777"/>
    <w:rsid w:val="008F5721"/>
    <w:rsid w:val="008F5E00"/>
    <w:rsid w:val="008F65E9"/>
    <w:rsid w:val="008F6684"/>
    <w:rsid w:val="008F707F"/>
    <w:rsid w:val="00901077"/>
    <w:rsid w:val="00901613"/>
    <w:rsid w:val="00901B0C"/>
    <w:rsid w:val="00902038"/>
    <w:rsid w:val="00902D96"/>
    <w:rsid w:val="00902E89"/>
    <w:rsid w:val="0090408A"/>
    <w:rsid w:val="009046DF"/>
    <w:rsid w:val="00905344"/>
    <w:rsid w:val="00905AF3"/>
    <w:rsid w:val="0090619D"/>
    <w:rsid w:val="00906244"/>
    <w:rsid w:val="00906E32"/>
    <w:rsid w:val="00907D72"/>
    <w:rsid w:val="0091068B"/>
    <w:rsid w:val="00912170"/>
    <w:rsid w:val="00912EB3"/>
    <w:rsid w:val="009131AA"/>
    <w:rsid w:val="0091340A"/>
    <w:rsid w:val="0091378D"/>
    <w:rsid w:val="009137B4"/>
    <w:rsid w:val="00913B53"/>
    <w:rsid w:val="00914AB6"/>
    <w:rsid w:val="00914C94"/>
    <w:rsid w:val="009152F9"/>
    <w:rsid w:val="00916FB7"/>
    <w:rsid w:val="009177D1"/>
    <w:rsid w:val="0092045D"/>
    <w:rsid w:val="009212D1"/>
    <w:rsid w:val="009221E2"/>
    <w:rsid w:val="00922915"/>
    <w:rsid w:val="00922BEC"/>
    <w:rsid w:val="00923428"/>
    <w:rsid w:val="0092495A"/>
    <w:rsid w:val="00925206"/>
    <w:rsid w:val="00925220"/>
    <w:rsid w:val="0092546F"/>
    <w:rsid w:val="00925B73"/>
    <w:rsid w:val="00925D54"/>
    <w:rsid w:val="0092679D"/>
    <w:rsid w:val="009268ED"/>
    <w:rsid w:val="00926B27"/>
    <w:rsid w:val="00926B84"/>
    <w:rsid w:val="00926CE2"/>
    <w:rsid w:val="00927BD8"/>
    <w:rsid w:val="00927F66"/>
    <w:rsid w:val="0093241A"/>
    <w:rsid w:val="00932E22"/>
    <w:rsid w:val="009348C8"/>
    <w:rsid w:val="0093490C"/>
    <w:rsid w:val="0093526E"/>
    <w:rsid w:val="0093586B"/>
    <w:rsid w:val="009369EC"/>
    <w:rsid w:val="009378B9"/>
    <w:rsid w:val="00940C09"/>
    <w:rsid w:val="00940CBE"/>
    <w:rsid w:val="0094112A"/>
    <w:rsid w:val="00941E32"/>
    <w:rsid w:val="00941ECE"/>
    <w:rsid w:val="00942355"/>
    <w:rsid w:val="00942B1D"/>
    <w:rsid w:val="00942F6C"/>
    <w:rsid w:val="00943B03"/>
    <w:rsid w:val="00944559"/>
    <w:rsid w:val="0094490D"/>
    <w:rsid w:val="00944FFC"/>
    <w:rsid w:val="0094550D"/>
    <w:rsid w:val="00945F0F"/>
    <w:rsid w:val="009460DB"/>
    <w:rsid w:val="00946CC4"/>
    <w:rsid w:val="0094750B"/>
    <w:rsid w:val="00947AB0"/>
    <w:rsid w:val="00947CF3"/>
    <w:rsid w:val="009501F2"/>
    <w:rsid w:val="00950241"/>
    <w:rsid w:val="0095133F"/>
    <w:rsid w:val="009515A3"/>
    <w:rsid w:val="009515DE"/>
    <w:rsid w:val="009516E9"/>
    <w:rsid w:val="00951A5A"/>
    <w:rsid w:val="00951B38"/>
    <w:rsid w:val="00952000"/>
    <w:rsid w:val="0095205B"/>
    <w:rsid w:val="00952532"/>
    <w:rsid w:val="00952650"/>
    <w:rsid w:val="00953D0B"/>
    <w:rsid w:val="00954A0F"/>
    <w:rsid w:val="00955143"/>
    <w:rsid w:val="009560E9"/>
    <w:rsid w:val="00956935"/>
    <w:rsid w:val="0095750C"/>
    <w:rsid w:val="00957F87"/>
    <w:rsid w:val="00960A10"/>
    <w:rsid w:val="00961C71"/>
    <w:rsid w:val="00961FB1"/>
    <w:rsid w:val="00962790"/>
    <w:rsid w:val="009629AE"/>
    <w:rsid w:val="00963782"/>
    <w:rsid w:val="00963AC6"/>
    <w:rsid w:val="00964430"/>
    <w:rsid w:val="0096494E"/>
    <w:rsid w:val="009653B5"/>
    <w:rsid w:val="009656F1"/>
    <w:rsid w:val="009657C0"/>
    <w:rsid w:val="009662A7"/>
    <w:rsid w:val="00966300"/>
    <w:rsid w:val="00966802"/>
    <w:rsid w:val="00966E13"/>
    <w:rsid w:val="009670A7"/>
    <w:rsid w:val="00970059"/>
    <w:rsid w:val="009701FB"/>
    <w:rsid w:val="00970887"/>
    <w:rsid w:val="009712BE"/>
    <w:rsid w:val="00971EA2"/>
    <w:rsid w:val="009724FC"/>
    <w:rsid w:val="0097265D"/>
    <w:rsid w:val="0097293F"/>
    <w:rsid w:val="00972ED6"/>
    <w:rsid w:val="00973664"/>
    <w:rsid w:val="0097484C"/>
    <w:rsid w:val="00975706"/>
    <w:rsid w:val="00976379"/>
    <w:rsid w:val="00976436"/>
    <w:rsid w:val="00977162"/>
    <w:rsid w:val="0097782A"/>
    <w:rsid w:val="00980BD2"/>
    <w:rsid w:val="00980C06"/>
    <w:rsid w:val="00981D1E"/>
    <w:rsid w:val="00981FB1"/>
    <w:rsid w:val="0098231B"/>
    <w:rsid w:val="009825C5"/>
    <w:rsid w:val="00982A7D"/>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2849"/>
    <w:rsid w:val="009930C5"/>
    <w:rsid w:val="009938F5"/>
    <w:rsid w:val="00994B32"/>
    <w:rsid w:val="00995170"/>
    <w:rsid w:val="00995E2B"/>
    <w:rsid w:val="00996815"/>
    <w:rsid w:val="00996CCB"/>
    <w:rsid w:val="0099737A"/>
    <w:rsid w:val="009A0A57"/>
    <w:rsid w:val="009A1120"/>
    <w:rsid w:val="009A162E"/>
    <w:rsid w:val="009A18E3"/>
    <w:rsid w:val="009A19E5"/>
    <w:rsid w:val="009A1B64"/>
    <w:rsid w:val="009A269D"/>
    <w:rsid w:val="009A29CD"/>
    <w:rsid w:val="009A2B2B"/>
    <w:rsid w:val="009A370A"/>
    <w:rsid w:val="009A45AA"/>
    <w:rsid w:val="009A5437"/>
    <w:rsid w:val="009A55FE"/>
    <w:rsid w:val="009A5CB9"/>
    <w:rsid w:val="009A5D8D"/>
    <w:rsid w:val="009A66EE"/>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051"/>
    <w:rsid w:val="009B61A5"/>
    <w:rsid w:val="009B6DDE"/>
    <w:rsid w:val="009B6F47"/>
    <w:rsid w:val="009B7BE2"/>
    <w:rsid w:val="009C008E"/>
    <w:rsid w:val="009C0691"/>
    <w:rsid w:val="009C0907"/>
    <w:rsid w:val="009C0AD7"/>
    <w:rsid w:val="009C0E66"/>
    <w:rsid w:val="009C1BB5"/>
    <w:rsid w:val="009C1C3D"/>
    <w:rsid w:val="009C3618"/>
    <w:rsid w:val="009C4374"/>
    <w:rsid w:val="009C4684"/>
    <w:rsid w:val="009C634B"/>
    <w:rsid w:val="009D14A7"/>
    <w:rsid w:val="009D162C"/>
    <w:rsid w:val="009D213E"/>
    <w:rsid w:val="009D22EF"/>
    <w:rsid w:val="009D284E"/>
    <w:rsid w:val="009D2AB5"/>
    <w:rsid w:val="009D2F04"/>
    <w:rsid w:val="009D2F94"/>
    <w:rsid w:val="009D3529"/>
    <w:rsid w:val="009D3765"/>
    <w:rsid w:val="009D402A"/>
    <w:rsid w:val="009D4606"/>
    <w:rsid w:val="009D5529"/>
    <w:rsid w:val="009D5CEC"/>
    <w:rsid w:val="009D67C5"/>
    <w:rsid w:val="009D71D7"/>
    <w:rsid w:val="009D788E"/>
    <w:rsid w:val="009D7BCE"/>
    <w:rsid w:val="009E0092"/>
    <w:rsid w:val="009E02FD"/>
    <w:rsid w:val="009E081E"/>
    <w:rsid w:val="009E136B"/>
    <w:rsid w:val="009E165E"/>
    <w:rsid w:val="009E2819"/>
    <w:rsid w:val="009E34DA"/>
    <w:rsid w:val="009E375F"/>
    <w:rsid w:val="009E4194"/>
    <w:rsid w:val="009E4679"/>
    <w:rsid w:val="009E4DE4"/>
    <w:rsid w:val="009E548F"/>
    <w:rsid w:val="009E5BBD"/>
    <w:rsid w:val="009E61DF"/>
    <w:rsid w:val="009E6CC7"/>
    <w:rsid w:val="009E73B9"/>
    <w:rsid w:val="009F0742"/>
    <w:rsid w:val="009F122E"/>
    <w:rsid w:val="009F1408"/>
    <w:rsid w:val="009F143C"/>
    <w:rsid w:val="009F1B70"/>
    <w:rsid w:val="009F31D2"/>
    <w:rsid w:val="009F3FB4"/>
    <w:rsid w:val="009F4306"/>
    <w:rsid w:val="009F4AA5"/>
    <w:rsid w:val="009F569F"/>
    <w:rsid w:val="009F57FA"/>
    <w:rsid w:val="009F657D"/>
    <w:rsid w:val="009F673A"/>
    <w:rsid w:val="009F6DBC"/>
    <w:rsid w:val="009F767C"/>
    <w:rsid w:val="009F790D"/>
    <w:rsid w:val="009F7BBE"/>
    <w:rsid w:val="00A0103D"/>
    <w:rsid w:val="00A01601"/>
    <w:rsid w:val="00A01B86"/>
    <w:rsid w:val="00A01D9C"/>
    <w:rsid w:val="00A020AA"/>
    <w:rsid w:val="00A02220"/>
    <w:rsid w:val="00A02226"/>
    <w:rsid w:val="00A0240E"/>
    <w:rsid w:val="00A02F9C"/>
    <w:rsid w:val="00A03FA8"/>
    <w:rsid w:val="00A0414D"/>
    <w:rsid w:val="00A043AE"/>
    <w:rsid w:val="00A045EC"/>
    <w:rsid w:val="00A04A3C"/>
    <w:rsid w:val="00A04DDA"/>
    <w:rsid w:val="00A0591E"/>
    <w:rsid w:val="00A07B27"/>
    <w:rsid w:val="00A07B45"/>
    <w:rsid w:val="00A07C02"/>
    <w:rsid w:val="00A103F3"/>
    <w:rsid w:val="00A113A2"/>
    <w:rsid w:val="00A113F9"/>
    <w:rsid w:val="00A11972"/>
    <w:rsid w:val="00A124AA"/>
    <w:rsid w:val="00A12D45"/>
    <w:rsid w:val="00A12F31"/>
    <w:rsid w:val="00A13840"/>
    <w:rsid w:val="00A13F26"/>
    <w:rsid w:val="00A14344"/>
    <w:rsid w:val="00A153DB"/>
    <w:rsid w:val="00A15A17"/>
    <w:rsid w:val="00A1601E"/>
    <w:rsid w:val="00A16249"/>
    <w:rsid w:val="00A1688A"/>
    <w:rsid w:val="00A168FA"/>
    <w:rsid w:val="00A20BE4"/>
    <w:rsid w:val="00A21034"/>
    <w:rsid w:val="00A22BD9"/>
    <w:rsid w:val="00A22CAE"/>
    <w:rsid w:val="00A22FEA"/>
    <w:rsid w:val="00A232E3"/>
    <w:rsid w:val="00A23E64"/>
    <w:rsid w:val="00A2443F"/>
    <w:rsid w:val="00A245E3"/>
    <w:rsid w:val="00A24D8D"/>
    <w:rsid w:val="00A25365"/>
    <w:rsid w:val="00A2554C"/>
    <w:rsid w:val="00A26591"/>
    <w:rsid w:val="00A265FA"/>
    <w:rsid w:val="00A27BCD"/>
    <w:rsid w:val="00A30E4A"/>
    <w:rsid w:val="00A3172D"/>
    <w:rsid w:val="00A31B2D"/>
    <w:rsid w:val="00A337E5"/>
    <w:rsid w:val="00A33A5E"/>
    <w:rsid w:val="00A34222"/>
    <w:rsid w:val="00A35AC9"/>
    <w:rsid w:val="00A35C21"/>
    <w:rsid w:val="00A361EF"/>
    <w:rsid w:val="00A3655A"/>
    <w:rsid w:val="00A369D3"/>
    <w:rsid w:val="00A36F9D"/>
    <w:rsid w:val="00A37173"/>
    <w:rsid w:val="00A3791B"/>
    <w:rsid w:val="00A37CE0"/>
    <w:rsid w:val="00A405CB"/>
    <w:rsid w:val="00A40783"/>
    <w:rsid w:val="00A40ECF"/>
    <w:rsid w:val="00A410AA"/>
    <w:rsid w:val="00A41596"/>
    <w:rsid w:val="00A416CD"/>
    <w:rsid w:val="00A429D2"/>
    <w:rsid w:val="00A42AEE"/>
    <w:rsid w:val="00A42E17"/>
    <w:rsid w:val="00A4457B"/>
    <w:rsid w:val="00A4471D"/>
    <w:rsid w:val="00A44CD7"/>
    <w:rsid w:val="00A457E5"/>
    <w:rsid w:val="00A45C19"/>
    <w:rsid w:val="00A46679"/>
    <w:rsid w:val="00A47E09"/>
    <w:rsid w:val="00A47F17"/>
    <w:rsid w:val="00A50C59"/>
    <w:rsid w:val="00A518EB"/>
    <w:rsid w:val="00A51A39"/>
    <w:rsid w:val="00A51F0B"/>
    <w:rsid w:val="00A51F9E"/>
    <w:rsid w:val="00A5291C"/>
    <w:rsid w:val="00A53953"/>
    <w:rsid w:val="00A53D13"/>
    <w:rsid w:val="00A53E5A"/>
    <w:rsid w:val="00A53FBD"/>
    <w:rsid w:val="00A54656"/>
    <w:rsid w:val="00A551F3"/>
    <w:rsid w:val="00A558E5"/>
    <w:rsid w:val="00A56171"/>
    <w:rsid w:val="00A605EA"/>
    <w:rsid w:val="00A60F7B"/>
    <w:rsid w:val="00A6118B"/>
    <w:rsid w:val="00A61539"/>
    <w:rsid w:val="00A62121"/>
    <w:rsid w:val="00A621E0"/>
    <w:rsid w:val="00A6236E"/>
    <w:rsid w:val="00A6265B"/>
    <w:rsid w:val="00A63099"/>
    <w:rsid w:val="00A63284"/>
    <w:rsid w:val="00A643AE"/>
    <w:rsid w:val="00A64DD7"/>
    <w:rsid w:val="00A658EA"/>
    <w:rsid w:val="00A66405"/>
    <w:rsid w:val="00A667F4"/>
    <w:rsid w:val="00A70DB9"/>
    <w:rsid w:val="00A718A3"/>
    <w:rsid w:val="00A71F5B"/>
    <w:rsid w:val="00A721BA"/>
    <w:rsid w:val="00A7247F"/>
    <w:rsid w:val="00A725F0"/>
    <w:rsid w:val="00A72A44"/>
    <w:rsid w:val="00A72E76"/>
    <w:rsid w:val="00A734AB"/>
    <w:rsid w:val="00A739B7"/>
    <w:rsid w:val="00A73F45"/>
    <w:rsid w:val="00A753CC"/>
    <w:rsid w:val="00A75597"/>
    <w:rsid w:val="00A755E2"/>
    <w:rsid w:val="00A7601B"/>
    <w:rsid w:val="00A7676D"/>
    <w:rsid w:val="00A76B0F"/>
    <w:rsid w:val="00A76C42"/>
    <w:rsid w:val="00A77100"/>
    <w:rsid w:val="00A7719F"/>
    <w:rsid w:val="00A80891"/>
    <w:rsid w:val="00A808A7"/>
    <w:rsid w:val="00A80934"/>
    <w:rsid w:val="00A81616"/>
    <w:rsid w:val="00A81AE1"/>
    <w:rsid w:val="00A822BE"/>
    <w:rsid w:val="00A82898"/>
    <w:rsid w:val="00A82E54"/>
    <w:rsid w:val="00A8311C"/>
    <w:rsid w:val="00A831BE"/>
    <w:rsid w:val="00A83BC1"/>
    <w:rsid w:val="00A841E5"/>
    <w:rsid w:val="00A8483F"/>
    <w:rsid w:val="00A84C3B"/>
    <w:rsid w:val="00A84F86"/>
    <w:rsid w:val="00A857F2"/>
    <w:rsid w:val="00A8585B"/>
    <w:rsid w:val="00A85ABF"/>
    <w:rsid w:val="00A85F22"/>
    <w:rsid w:val="00A86043"/>
    <w:rsid w:val="00A86FA7"/>
    <w:rsid w:val="00A87882"/>
    <w:rsid w:val="00A909F9"/>
    <w:rsid w:val="00A90BAF"/>
    <w:rsid w:val="00A90D35"/>
    <w:rsid w:val="00A90D3B"/>
    <w:rsid w:val="00A91494"/>
    <w:rsid w:val="00A92D9A"/>
    <w:rsid w:val="00A95237"/>
    <w:rsid w:val="00A9543A"/>
    <w:rsid w:val="00AA036D"/>
    <w:rsid w:val="00AA20BF"/>
    <w:rsid w:val="00AA24D5"/>
    <w:rsid w:val="00AA2B12"/>
    <w:rsid w:val="00AA305C"/>
    <w:rsid w:val="00AA32D3"/>
    <w:rsid w:val="00AA33AF"/>
    <w:rsid w:val="00AA4E36"/>
    <w:rsid w:val="00AA5C72"/>
    <w:rsid w:val="00AA5CCF"/>
    <w:rsid w:val="00AA5CD2"/>
    <w:rsid w:val="00AA71F6"/>
    <w:rsid w:val="00AA7625"/>
    <w:rsid w:val="00AA7BDA"/>
    <w:rsid w:val="00AB021D"/>
    <w:rsid w:val="00AB0778"/>
    <w:rsid w:val="00AB1AF9"/>
    <w:rsid w:val="00AB2B1C"/>
    <w:rsid w:val="00AB3142"/>
    <w:rsid w:val="00AB3EE2"/>
    <w:rsid w:val="00AB5F38"/>
    <w:rsid w:val="00AB5F3B"/>
    <w:rsid w:val="00AB678F"/>
    <w:rsid w:val="00AB701B"/>
    <w:rsid w:val="00AB7412"/>
    <w:rsid w:val="00AC0256"/>
    <w:rsid w:val="00AC04DA"/>
    <w:rsid w:val="00AC11D6"/>
    <w:rsid w:val="00AC1ADE"/>
    <w:rsid w:val="00AC1D8E"/>
    <w:rsid w:val="00AC2F18"/>
    <w:rsid w:val="00AC316C"/>
    <w:rsid w:val="00AC4A9A"/>
    <w:rsid w:val="00AC4EE1"/>
    <w:rsid w:val="00AC58D3"/>
    <w:rsid w:val="00AC6447"/>
    <w:rsid w:val="00AC6C41"/>
    <w:rsid w:val="00AC6D89"/>
    <w:rsid w:val="00AC759D"/>
    <w:rsid w:val="00AC75C3"/>
    <w:rsid w:val="00AC79E2"/>
    <w:rsid w:val="00AC7C57"/>
    <w:rsid w:val="00AD1A07"/>
    <w:rsid w:val="00AD26E7"/>
    <w:rsid w:val="00AD3B7C"/>
    <w:rsid w:val="00AD490A"/>
    <w:rsid w:val="00AD4FE0"/>
    <w:rsid w:val="00AD5172"/>
    <w:rsid w:val="00AD70C4"/>
    <w:rsid w:val="00AD7CB5"/>
    <w:rsid w:val="00AD7CC3"/>
    <w:rsid w:val="00AE01EB"/>
    <w:rsid w:val="00AE0DBD"/>
    <w:rsid w:val="00AE180A"/>
    <w:rsid w:val="00AE18F4"/>
    <w:rsid w:val="00AE25CB"/>
    <w:rsid w:val="00AE2B49"/>
    <w:rsid w:val="00AE2FD1"/>
    <w:rsid w:val="00AE318B"/>
    <w:rsid w:val="00AE3199"/>
    <w:rsid w:val="00AE3BFA"/>
    <w:rsid w:val="00AE3DCD"/>
    <w:rsid w:val="00AE3E3A"/>
    <w:rsid w:val="00AE3F3A"/>
    <w:rsid w:val="00AE41FF"/>
    <w:rsid w:val="00AE4414"/>
    <w:rsid w:val="00AE45D5"/>
    <w:rsid w:val="00AE48AF"/>
    <w:rsid w:val="00AE4C8A"/>
    <w:rsid w:val="00AE5ED1"/>
    <w:rsid w:val="00AE6671"/>
    <w:rsid w:val="00AE72A1"/>
    <w:rsid w:val="00AF0069"/>
    <w:rsid w:val="00AF0331"/>
    <w:rsid w:val="00AF05B2"/>
    <w:rsid w:val="00AF0821"/>
    <w:rsid w:val="00AF0870"/>
    <w:rsid w:val="00AF0B51"/>
    <w:rsid w:val="00AF0BC5"/>
    <w:rsid w:val="00AF0C26"/>
    <w:rsid w:val="00AF1208"/>
    <w:rsid w:val="00AF12A6"/>
    <w:rsid w:val="00AF1733"/>
    <w:rsid w:val="00AF2AEA"/>
    <w:rsid w:val="00AF4670"/>
    <w:rsid w:val="00AF497E"/>
    <w:rsid w:val="00AF49BF"/>
    <w:rsid w:val="00AF591E"/>
    <w:rsid w:val="00AF5DAE"/>
    <w:rsid w:val="00AF5FF1"/>
    <w:rsid w:val="00AF724C"/>
    <w:rsid w:val="00AF7705"/>
    <w:rsid w:val="00AF7CBD"/>
    <w:rsid w:val="00AF7CDE"/>
    <w:rsid w:val="00AF7E34"/>
    <w:rsid w:val="00B00056"/>
    <w:rsid w:val="00B00440"/>
    <w:rsid w:val="00B00C12"/>
    <w:rsid w:val="00B00EA0"/>
    <w:rsid w:val="00B01321"/>
    <w:rsid w:val="00B015D9"/>
    <w:rsid w:val="00B017AE"/>
    <w:rsid w:val="00B01D89"/>
    <w:rsid w:val="00B0216D"/>
    <w:rsid w:val="00B02F40"/>
    <w:rsid w:val="00B03979"/>
    <w:rsid w:val="00B0452C"/>
    <w:rsid w:val="00B04C7C"/>
    <w:rsid w:val="00B0577F"/>
    <w:rsid w:val="00B06540"/>
    <w:rsid w:val="00B067AE"/>
    <w:rsid w:val="00B100F8"/>
    <w:rsid w:val="00B10168"/>
    <w:rsid w:val="00B10B8A"/>
    <w:rsid w:val="00B10D6F"/>
    <w:rsid w:val="00B111B6"/>
    <w:rsid w:val="00B1126D"/>
    <w:rsid w:val="00B11D9E"/>
    <w:rsid w:val="00B12605"/>
    <w:rsid w:val="00B12CA0"/>
    <w:rsid w:val="00B13363"/>
    <w:rsid w:val="00B134FA"/>
    <w:rsid w:val="00B13648"/>
    <w:rsid w:val="00B160BD"/>
    <w:rsid w:val="00B163E5"/>
    <w:rsid w:val="00B164BF"/>
    <w:rsid w:val="00B169DB"/>
    <w:rsid w:val="00B16EAF"/>
    <w:rsid w:val="00B17F58"/>
    <w:rsid w:val="00B205DC"/>
    <w:rsid w:val="00B205DD"/>
    <w:rsid w:val="00B20BBF"/>
    <w:rsid w:val="00B20D04"/>
    <w:rsid w:val="00B20D2E"/>
    <w:rsid w:val="00B2258F"/>
    <w:rsid w:val="00B22AF8"/>
    <w:rsid w:val="00B23DAA"/>
    <w:rsid w:val="00B23F7C"/>
    <w:rsid w:val="00B25155"/>
    <w:rsid w:val="00B25A01"/>
    <w:rsid w:val="00B25CF6"/>
    <w:rsid w:val="00B25FD1"/>
    <w:rsid w:val="00B26992"/>
    <w:rsid w:val="00B2797F"/>
    <w:rsid w:val="00B27B4F"/>
    <w:rsid w:val="00B27D30"/>
    <w:rsid w:val="00B27E43"/>
    <w:rsid w:val="00B27F9E"/>
    <w:rsid w:val="00B27FC6"/>
    <w:rsid w:val="00B302C2"/>
    <w:rsid w:val="00B3191F"/>
    <w:rsid w:val="00B324B8"/>
    <w:rsid w:val="00B328FB"/>
    <w:rsid w:val="00B332DF"/>
    <w:rsid w:val="00B3336E"/>
    <w:rsid w:val="00B3370A"/>
    <w:rsid w:val="00B3376A"/>
    <w:rsid w:val="00B33F11"/>
    <w:rsid w:val="00B33FD6"/>
    <w:rsid w:val="00B34B1F"/>
    <w:rsid w:val="00B353A5"/>
    <w:rsid w:val="00B358DB"/>
    <w:rsid w:val="00B35AFD"/>
    <w:rsid w:val="00B35C70"/>
    <w:rsid w:val="00B36043"/>
    <w:rsid w:val="00B362BE"/>
    <w:rsid w:val="00B36683"/>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4D1"/>
    <w:rsid w:val="00B5058F"/>
    <w:rsid w:val="00B50689"/>
    <w:rsid w:val="00B506B1"/>
    <w:rsid w:val="00B51862"/>
    <w:rsid w:val="00B52313"/>
    <w:rsid w:val="00B52821"/>
    <w:rsid w:val="00B53641"/>
    <w:rsid w:val="00B536A0"/>
    <w:rsid w:val="00B53F91"/>
    <w:rsid w:val="00B5459E"/>
    <w:rsid w:val="00B54C68"/>
    <w:rsid w:val="00B54E00"/>
    <w:rsid w:val="00B55DB1"/>
    <w:rsid w:val="00B5612F"/>
    <w:rsid w:val="00B56CBD"/>
    <w:rsid w:val="00B56E50"/>
    <w:rsid w:val="00B56FD0"/>
    <w:rsid w:val="00B57313"/>
    <w:rsid w:val="00B57546"/>
    <w:rsid w:val="00B6110A"/>
    <w:rsid w:val="00B61799"/>
    <w:rsid w:val="00B6236C"/>
    <w:rsid w:val="00B62C0C"/>
    <w:rsid w:val="00B63010"/>
    <w:rsid w:val="00B63E86"/>
    <w:rsid w:val="00B64B11"/>
    <w:rsid w:val="00B65992"/>
    <w:rsid w:val="00B67400"/>
    <w:rsid w:val="00B67654"/>
    <w:rsid w:val="00B67A0E"/>
    <w:rsid w:val="00B67CF6"/>
    <w:rsid w:val="00B70066"/>
    <w:rsid w:val="00B71757"/>
    <w:rsid w:val="00B71C5D"/>
    <w:rsid w:val="00B724E5"/>
    <w:rsid w:val="00B72C9C"/>
    <w:rsid w:val="00B72D47"/>
    <w:rsid w:val="00B73756"/>
    <w:rsid w:val="00B739D4"/>
    <w:rsid w:val="00B7418F"/>
    <w:rsid w:val="00B74885"/>
    <w:rsid w:val="00B74A23"/>
    <w:rsid w:val="00B75002"/>
    <w:rsid w:val="00B754E9"/>
    <w:rsid w:val="00B76108"/>
    <w:rsid w:val="00B76898"/>
    <w:rsid w:val="00B76DA1"/>
    <w:rsid w:val="00B7715C"/>
    <w:rsid w:val="00B77677"/>
    <w:rsid w:val="00B77B7B"/>
    <w:rsid w:val="00B77E1E"/>
    <w:rsid w:val="00B8015B"/>
    <w:rsid w:val="00B80478"/>
    <w:rsid w:val="00B80546"/>
    <w:rsid w:val="00B8071A"/>
    <w:rsid w:val="00B80AF5"/>
    <w:rsid w:val="00B81424"/>
    <w:rsid w:val="00B82B5C"/>
    <w:rsid w:val="00B839AD"/>
    <w:rsid w:val="00B83E9E"/>
    <w:rsid w:val="00B8434F"/>
    <w:rsid w:val="00B84CDE"/>
    <w:rsid w:val="00B84FA3"/>
    <w:rsid w:val="00B86832"/>
    <w:rsid w:val="00B86F4A"/>
    <w:rsid w:val="00B87336"/>
    <w:rsid w:val="00B87807"/>
    <w:rsid w:val="00B879F4"/>
    <w:rsid w:val="00B87B88"/>
    <w:rsid w:val="00B90A51"/>
    <w:rsid w:val="00B90AC2"/>
    <w:rsid w:val="00B90DBA"/>
    <w:rsid w:val="00B912E8"/>
    <w:rsid w:val="00B9171B"/>
    <w:rsid w:val="00B91FD1"/>
    <w:rsid w:val="00B923C3"/>
    <w:rsid w:val="00B9356B"/>
    <w:rsid w:val="00B93975"/>
    <w:rsid w:val="00B93D38"/>
    <w:rsid w:val="00B947CB"/>
    <w:rsid w:val="00B949C3"/>
    <w:rsid w:val="00B94FC1"/>
    <w:rsid w:val="00B94FEE"/>
    <w:rsid w:val="00B956D7"/>
    <w:rsid w:val="00B95707"/>
    <w:rsid w:val="00B95D42"/>
    <w:rsid w:val="00B95E24"/>
    <w:rsid w:val="00B96800"/>
    <w:rsid w:val="00B96870"/>
    <w:rsid w:val="00B975BD"/>
    <w:rsid w:val="00BA11FC"/>
    <w:rsid w:val="00BA12AC"/>
    <w:rsid w:val="00BA14AB"/>
    <w:rsid w:val="00BA200C"/>
    <w:rsid w:val="00BA35D9"/>
    <w:rsid w:val="00BA4129"/>
    <w:rsid w:val="00BA4F3B"/>
    <w:rsid w:val="00BA5238"/>
    <w:rsid w:val="00BA5F2C"/>
    <w:rsid w:val="00BA7070"/>
    <w:rsid w:val="00BA7079"/>
    <w:rsid w:val="00BA77B6"/>
    <w:rsid w:val="00BB0089"/>
    <w:rsid w:val="00BB066B"/>
    <w:rsid w:val="00BB09D4"/>
    <w:rsid w:val="00BB0B57"/>
    <w:rsid w:val="00BB0DF8"/>
    <w:rsid w:val="00BB0FD4"/>
    <w:rsid w:val="00BB11BE"/>
    <w:rsid w:val="00BB228B"/>
    <w:rsid w:val="00BB235C"/>
    <w:rsid w:val="00BB2D96"/>
    <w:rsid w:val="00BB409D"/>
    <w:rsid w:val="00BB4D05"/>
    <w:rsid w:val="00BB4D7C"/>
    <w:rsid w:val="00BB5524"/>
    <w:rsid w:val="00BB602A"/>
    <w:rsid w:val="00BB76F5"/>
    <w:rsid w:val="00BC04CD"/>
    <w:rsid w:val="00BC061C"/>
    <w:rsid w:val="00BC0F2B"/>
    <w:rsid w:val="00BC108C"/>
    <w:rsid w:val="00BC14E4"/>
    <w:rsid w:val="00BC17A4"/>
    <w:rsid w:val="00BC2684"/>
    <w:rsid w:val="00BC2D2A"/>
    <w:rsid w:val="00BC300E"/>
    <w:rsid w:val="00BC38FD"/>
    <w:rsid w:val="00BC3D5D"/>
    <w:rsid w:val="00BC3DC9"/>
    <w:rsid w:val="00BC468A"/>
    <w:rsid w:val="00BC487B"/>
    <w:rsid w:val="00BC4C9C"/>
    <w:rsid w:val="00BC503F"/>
    <w:rsid w:val="00BC53C3"/>
    <w:rsid w:val="00BC56F2"/>
    <w:rsid w:val="00BC5710"/>
    <w:rsid w:val="00BC669C"/>
    <w:rsid w:val="00BC66D3"/>
    <w:rsid w:val="00BC6AC9"/>
    <w:rsid w:val="00BC7284"/>
    <w:rsid w:val="00BC72B6"/>
    <w:rsid w:val="00BC73F7"/>
    <w:rsid w:val="00BC7E1D"/>
    <w:rsid w:val="00BD03EC"/>
    <w:rsid w:val="00BD11BF"/>
    <w:rsid w:val="00BD1B05"/>
    <w:rsid w:val="00BD1E22"/>
    <w:rsid w:val="00BD264A"/>
    <w:rsid w:val="00BD3DB7"/>
    <w:rsid w:val="00BD43F3"/>
    <w:rsid w:val="00BD4495"/>
    <w:rsid w:val="00BD584E"/>
    <w:rsid w:val="00BD5C8E"/>
    <w:rsid w:val="00BD5CD8"/>
    <w:rsid w:val="00BD624D"/>
    <w:rsid w:val="00BD685F"/>
    <w:rsid w:val="00BD6867"/>
    <w:rsid w:val="00BD68DE"/>
    <w:rsid w:val="00BD76B0"/>
    <w:rsid w:val="00BE07E1"/>
    <w:rsid w:val="00BE147A"/>
    <w:rsid w:val="00BE182D"/>
    <w:rsid w:val="00BE2375"/>
    <w:rsid w:val="00BE2ABF"/>
    <w:rsid w:val="00BE2D5B"/>
    <w:rsid w:val="00BE3DA0"/>
    <w:rsid w:val="00BE486C"/>
    <w:rsid w:val="00BE4AED"/>
    <w:rsid w:val="00BE4E6C"/>
    <w:rsid w:val="00BE5881"/>
    <w:rsid w:val="00BE59A5"/>
    <w:rsid w:val="00BE5E2D"/>
    <w:rsid w:val="00BE61C3"/>
    <w:rsid w:val="00BE69B7"/>
    <w:rsid w:val="00BE6B23"/>
    <w:rsid w:val="00BF058D"/>
    <w:rsid w:val="00BF06D1"/>
    <w:rsid w:val="00BF1131"/>
    <w:rsid w:val="00BF1B7A"/>
    <w:rsid w:val="00BF2296"/>
    <w:rsid w:val="00BF24B6"/>
    <w:rsid w:val="00BF2F77"/>
    <w:rsid w:val="00BF2FA3"/>
    <w:rsid w:val="00BF3E56"/>
    <w:rsid w:val="00BF4287"/>
    <w:rsid w:val="00BF5F47"/>
    <w:rsid w:val="00BF6031"/>
    <w:rsid w:val="00BF64F0"/>
    <w:rsid w:val="00BF652B"/>
    <w:rsid w:val="00BF6AAA"/>
    <w:rsid w:val="00BF7B76"/>
    <w:rsid w:val="00C0025E"/>
    <w:rsid w:val="00C0054F"/>
    <w:rsid w:val="00C006CD"/>
    <w:rsid w:val="00C023EC"/>
    <w:rsid w:val="00C02EF8"/>
    <w:rsid w:val="00C02FFD"/>
    <w:rsid w:val="00C0416E"/>
    <w:rsid w:val="00C0476C"/>
    <w:rsid w:val="00C04E61"/>
    <w:rsid w:val="00C05653"/>
    <w:rsid w:val="00C05C4B"/>
    <w:rsid w:val="00C06890"/>
    <w:rsid w:val="00C06903"/>
    <w:rsid w:val="00C069CE"/>
    <w:rsid w:val="00C06BD4"/>
    <w:rsid w:val="00C06BE3"/>
    <w:rsid w:val="00C06CA1"/>
    <w:rsid w:val="00C0707B"/>
    <w:rsid w:val="00C07217"/>
    <w:rsid w:val="00C0761B"/>
    <w:rsid w:val="00C11128"/>
    <w:rsid w:val="00C12794"/>
    <w:rsid w:val="00C12921"/>
    <w:rsid w:val="00C12CF7"/>
    <w:rsid w:val="00C139A6"/>
    <w:rsid w:val="00C147F4"/>
    <w:rsid w:val="00C15015"/>
    <w:rsid w:val="00C1512C"/>
    <w:rsid w:val="00C15D65"/>
    <w:rsid w:val="00C15DBB"/>
    <w:rsid w:val="00C1698E"/>
    <w:rsid w:val="00C1708F"/>
    <w:rsid w:val="00C17D8B"/>
    <w:rsid w:val="00C17EAB"/>
    <w:rsid w:val="00C20501"/>
    <w:rsid w:val="00C20A82"/>
    <w:rsid w:val="00C20C13"/>
    <w:rsid w:val="00C20C2E"/>
    <w:rsid w:val="00C21580"/>
    <w:rsid w:val="00C22162"/>
    <w:rsid w:val="00C22674"/>
    <w:rsid w:val="00C254FF"/>
    <w:rsid w:val="00C25993"/>
    <w:rsid w:val="00C262CC"/>
    <w:rsid w:val="00C271DF"/>
    <w:rsid w:val="00C278C5"/>
    <w:rsid w:val="00C278CA"/>
    <w:rsid w:val="00C30118"/>
    <w:rsid w:val="00C30EBB"/>
    <w:rsid w:val="00C310F9"/>
    <w:rsid w:val="00C324CB"/>
    <w:rsid w:val="00C32F1C"/>
    <w:rsid w:val="00C33A62"/>
    <w:rsid w:val="00C34325"/>
    <w:rsid w:val="00C34C24"/>
    <w:rsid w:val="00C350FE"/>
    <w:rsid w:val="00C354B1"/>
    <w:rsid w:val="00C35A9F"/>
    <w:rsid w:val="00C35AEC"/>
    <w:rsid w:val="00C36E14"/>
    <w:rsid w:val="00C36FCF"/>
    <w:rsid w:val="00C37CF7"/>
    <w:rsid w:val="00C37F66"/>
    <w:rsid w:val="00C408D4"/>
    <w:rsid w:val="00C40D12"/>
    <w:rsid w:val="00C4139C"/>
    <w:rsid w:val="00C4163F"/>
    <w:rsid w:val="00C41DC2"/>
    <w:rsid w:val="00C41E97"/>
    <w:rsid w:val="00C42490"/>
    <w:rsid w:val="00C42EA3"/>
    <w:rsid w:val="00C431A3"/>
    <w:rsid w:val="00C4320F"/>
    <w:rsid w:val="00C444CE"/>
    <w:rsid w:val="00C44D28"/>
    <w:rsid w:val="00C44EB9"/>
    <w:rsid w:val="00C44ECA"/>
    <w:rsid w:val="00C45368"/>
    <w:rsid w:val="00C4570D"/>
    <w:rsid w:val="00C462F7"/>
    <w:rsid w:val="00C4669B"/>
    <w:rsid w:val="00C4677D"/>
    <w:rsid w:val="00C47D7A"/>
    <w:rsid w:val="00C500A0"/>
    <w:rsid w:val="00C5020F"/>
    <w:rsid w:val="00C50352"/>
    <w:rsid w:val="00C51585"/>
    <w:rsid w:val="00C51AAD"/>
    <w:rsid w:val="00C520C6"/>
    <w:rsid w:val="00C523B3"/>
    <w:rsid w:val="00C52DB3"/>
    <w:rsid w:val="00C52EAF"/>
    <w:rsid w:val="00C53225"/>
    <w:rsid w:val="00C533B8"/>
    <w:rsid w:val="00C5342B"/>
    <w:rsid w:val="00C53744"/>
    <w:rsid w:val="00C53BBE"/>
    <w:rsid w:val="00C53ED0"/>
    <w:rsid w:val="00C5431E"/>
    <w:rsid w:val="00C550D6"/>
    <w:rsid w:val="00C55B39"/>
    <w:rsid w:val="00C5613F"/>
    <w:rsid w:val="00C56685"/>
    <w:rsid w:val="00C56886"/>
    <w:rsid w:val="00C568CD"/>
    <w:rsid w:val="00C56A78"/>
    <w:rsid w:val="00C56DEF"/>
    <w:rsid w:val="00C56E66"/>
    <w:rsid w:val="00C56EA2"/>
    <w:rsid w:val="00C57701"/>
    <w:rsid w:val="00C57A9F"/>
    <w:rsid w:val="00C57C11"/>
    <w:rsid w:val="00C60600"/>
    <w:rsid w:val="00C60E7F"/>
    <w:rsid w:val="00C612E5"/>
    <w:rsid w:val="00C615D8"/>
    <w:rsid w:val="00C61D6D"/>
    <w:rsid w:val="00C6226D"/>
    <w:rsid w:val="00C640AC"/>
    <w:rsid w:val="00C646BE"/>
    <w:rsid w:val="00C64BA1"/>
    <w:rsid w:val="00C64E73"/>
    <w:rsid w:val="00C65EF3"/>
    <w:rsid w:val="00C6686D"/>
    <w:rsid w:val="00C67069"/>
    <w:rsid w:val="00C670BC"/>
    <w:rsid w:val="00C67246"/>
    <w:rsid w:val="00C679D5"/>
    <w:rsid w:val="00C70480"/>
    <w:rsid w:val="00C704FA"/>
    <w:rsid w:val="00C71435"/>
    <w:rsid w:val="00C7185D"/>
    <w:rsid w:val="00C73E0D"/>
    <w:rsid w:val="00C7438A"/>
    <w:rsid w:val="00C745F7"/>
    <w:rsid w:val="00C74762"/>
    <w:rsid w:val="00C74C57"/>
    <w:rsid w:val="00C74D46"/>
    <w:rsid w:val="00C74E3E"/>
    <w:rsid w:val="00C7556F"/>
    <w:rsid w:val="00C7569A"/>
    <w:rsid w:val="00C7618E"/>
    <w:rsid w:val="00C764AC"/>
    <w:rsid w:val="00C771D0"/>
    <w:rsid w:val="00C77B0E"/>
    <w:rsid w:val="00C77DFB"/>
    <w:rsid w:val="00C77ECB"/>
    <w:rsid w:val="00C803B3"/>
    <w:rsid w:val="00C803D2"/>
    <w:rsid w:val="00C807A4"/>
    <w:rsid w:val="00C80D19"/>
    <w:rsid w:val="00C80E62"/>
    <w:rsid w:val="00C81E91"/>
    <w:rsid w:val="00C82370"/>
    <w:rsid w:val="00C82564"/>
    <w:rsid w:val="00C842E4"/>
    <w:rsid w:val="00C85D81"/>
    <w:rsid w:val="00C8633A"/>
    <w:rsid w:val="00C86DC0"/>
    <w:rsid w:val="00C86DD7"/>
    <w:rsid w:val="00C87291"/>
    <w:rsid w:val="00C872E2"/>
    <w:rsid w:val="00C87388"/>
    <w:rsid w:val="00C87888"/>
    <w:rsid w:val="00C90548"/>
    <w:rsid w:val="00C90BF6"/>
    <w:rsid w:val="00C910F5"/>
    <w:rsid w:val="00C9117B"/>
    <w:rsid w:val="00C9163A"/>
    <w:rsid w:val="00C92FD4"/>
    <w:rsid w:val="00C94145"/>
    <w:rsid w:val="00C95386"/>
    <w:rsid w:val="00C958FA"/>
    <w:rsid w:val="00C95DCE"/>
    <w:rsid w:val="00C95E93"/>
    <w:rsid w:val="00C962FB"/>
    <w:rsid w:val="00C964CB"/>
    <w:rsid w:val="00C97367"/>
    <w:rsid w:val="00C978B2"/>
    <w:rsid w:val="00CA0D0B"/>
    <w:rsid w:val="00CA0E99"/>
    <w:rsid w:val="00CA0F2E"/>
    <w:rsid w:val="00CA1262"/>
    <w:rsid w:val="00CA1703"/>
    <w:rsid w:val="00CA176D"/>
    <w:rsid w:val="00CA2E96"/>
    <w:rsid w:val="00CA323E"/>
    <w:rsid w:val="00CA366F"/>
    <w:rsid w:val="00CA432B"/>
    <w:rsid w:val="00CA4385"/>
    <w:rsid w:val="00CA51FC"/>
    <w:rsid w:val="00CA55D9"/>
    <w:rsid w:val="00CA58C4"/>
    <w:rsid w:val="00CA5D2D"/>
    <w:rsid w:val="00CA609F"/>
    <w:rsid w:val="00CA6256"/>
    <w:rsid w:val="00CA64AA"/>
    <w:rsid w:val="00CA749B"/>
    <w:rsid w:val="00CA795F"/>
    <w:rsid w:val="00CA7BA9"/>
    <w:rsid w:val="00CA7C1E"/>
    <w:rsid w:val="00CA7CB1"/>
    <w:rsid w:val="00CB029F"/>
    <w:rsid w:val="00CB042E"/>
    <w:rsid w:val="00CB0593"/>
    <w:rsid w:val="00CB05DA"/>
    <w:rsid w:val="00CB0626"/>
    <w:rsid w:val="00CB06F1"/>
    <w:rsid w:val="00CB177B"/>
    <w:rsid w:val="00CB2DA8"/>
    <w:rsid w:val="00CB3A55"/>
    <w:rsid w:val="00CB4246"/>
    <w:rsid w:val="00CB43E2"/>
    <w:rsid w:val="00CB4B29"/>
    <w:rsid w:val="00CB5707"/>
    <w:rsid w:val="00CB59C5"/>
    <w:rsid w:val="00CB5B84"/>
    <w:rsid w:val="00CB5EFE"/>
    <w:rsid w:val="00CB636A"/>
    <w:rsid w:val="00CB64F2"/>
    <w:rsid w:val="00CB6AEF"/>
    <w:rsid w:val="00CB6BCF"/>
    <w:rsid w:val="00CB72BB"/>
    <w:rsid w:val="00CB7E38"/>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6B0"/>
    <w:rsid w:val="00CC474D"/>
    <w:rsid w:val="00CC4E80"/>
    <w:rsid w:val="00CC5573"/>
    <w:rsid w:val="00CC5F74"/>
    <w:rsid w:val="00CC618C"/>
    <w:rsid w:val="00CC6951"/>
    <w:rsid w:val="00CC6995"/>
    <w:rsid w:val="00CC6F7B"/>
    <w:rsid w:val="00CC7263"/>
    <w:rsid w:val="00CC7615"/>
    <w:rsid w:val="00CD0A2E"/>
    <w:rsid w:val="00CD0B2D"/>
    <w:rsid w:val="00CD0D70"/>
    <w:rsid w:val="00CD17DA"/>
    <w:rsid w:val="00CD1943"/>
    <w:rsid w:val="00CD26C5"/>
    <w:rsid w:val="00CD2722"/>
    <w:rsid w:val="00CD33DF"/>
    <w:rsid w:val="00CD37EE"/>
    <w:rsid w:val="00CD3864"/>
    <w:rsid w:val="00CD4A0C"/>
    <w:rsid w:val="00CD54D8"/>
    <w:rsid w:val="00CD56B2"/>
    <w:rsid w:val="00CD570B"/>
    <w:rsid w:val="00CD61E4"/>
    <w:rsid w:val="00CD6603"/>
    <w:rsid w:val="00CD672E"/>
    <w:rsid w:val="00CD76CC"/>
    <w:rsid w:val="00CE070A"/>
    <w:rsid w:val="00CE0C42"/>
    <w:rsid w:val="00CE110C"/>
    <w:rsid w:val="00CE1973"/>
    <w:rsid w:val="00CE1B43"/>
    <w:rsid w:val="00CE1B5E"/>
    <w:rsid w:val="00CE1E98"/>
    <w:rsid w:val="00CE2870"/>
    <w:rsid w:val="00CE2CC1"/>
    <w:rsid w:val="00CE2F90"/>
    <w:rsid w:val="00CE3790"/>
    <w:rsid w:val="00CE3A16"/>
    <w:rsid w:val="00CE3F0D"/>
    <w:rsid w:val="00CE4083"/>
    <w:rsid w:val="00CE4542"/>
    <w:rsid w:val="00CE458C"/>
    <w:rsid w:val="00CE46A7"/>
    <w:rsid w:val="00CE598C"/>
    <w:rsid w:val="00CE5A49"/>
    <w:rsid w:val="00CE5ED0"/>
    <w:rsid w:val="00CE7334"/>
    <w:rsid w:val="00CE7468"/>
    <w:rsid w:val="00CE7658"/>
    <w:rsid w:val="00CE7D21"/>
    <w:rsid w:val="00CF015A"/>
    <w:rsid w:val="00CF0482"/>
    <w:rsid w:val="00CF0EA9"/>
    <w:rsid w:val="00CF1047"/>
    <w:rsid w:val="00CF1523"/>
    <w:rsid w:val="00CF1639"/>
    <w:rsid w:val="00CF1FB5"/>
    <w:rsid w:val="00CF27C8"/>
    <w:rsid w:val="00CF3D0C"/>
    <w:rsid w:val="00CF457F"/>
    <w:rsid w:val="00CF474C"/>
    <w:rsid w:val="00CF5194"/>
    <w:rsid w:val="00CF549C"/>
    <w:rsid w:val="00CF557E"/>
    <w:rsid w:val="00CF7485"/>
    <w:rsid w:val="00CF776C"/>
    <w:rsid w:val="00D00017"/>
    <w:rsid w:val="00D00877"/>
    <w:rsid w:val="00D0124B"/>
    <w:rsid w:val="00D0124D"/>
    <w:rsid w:val="00D02671"/>
    <w:rsid w:val="00D0288D"/>
    <w:rsid w:val="00D03AA7"/>
    <w:rsid w:val="00D03EF1"/>
    <w:rsid w:val="00D041A5"/>
    <w:rsid w:val="00D045C2"/>
    <w:rsid w:val="00D05362"/>
    <w:rsid w:val="00D05639"/>
    <w:rsid w:val="00D058C0"/>
    <w:rsid w:val="00D05A06"/>
    <w:rsid w:val="00D05D48"/>
    <w:rsid w:val="00D05D94"/>
    <w:rsid w:val="00D05EB7"/>
    <w:rsid w:val="00D0678E"/>
    <w:rsid w:val="00D06F1B"/>
    <w:rsid w:val="00D0725B"/>
    <w:rsid w:val="00D0740D"/>
    <w:rsid w:val="00D07951"/>
    <w:rsid w:val="00D07ABE"/>
    <w:rsid w:val="00D10A98"/>
    <w:rsid w:val="00D11052"/>
    <w:rsid w:val="00D11536"/>
    <w:rsid w:val="00D11990"/>
    <w:rsid w:val="00D11D06"/>
    <w:rsid w:val="00D123E8"/>
    <w:rsid w:val="00D12DAB"/>
    <w:rsid w:val="00D13A12"/>
    <w:rsid w:val="00D13F05"/>
    <w:rsid w:val="00D13F74"/>
    <w:rsid w:val="00D1450E"/>
    <w:rsid w:val="00D14995"/>
    <w:rsid w:val="00D150D6"/>
    <w:rsid w:val="00D1581D"/>
    <w:rsid w:val="00D1586D"/>
    <w:rsid w:val="00D16929"/>
    <w:rsid w:val="00D16BDB"/>
    <w:rsid w:val="00D16CBF"/>
    <w:rsid w:val="00D17331"/>
    <w:rsid w:val="00D17806"/>
    <w:rsid w:val="00D21576"/>
    <w:rsid w:val="00D2175A"/>
    <w:rsid w:val="00D22D10"/>
    <w:rsid w:val="00D22F84"/>
    <w:rsid w:val="00D230E7"/>
    <w:rsid w:val="00D2320E"/>
    <w:rsid w:val="00D23668"/>
    <w:rsid w:val="00D24564"/>
    <w:rsid w:val="00D247F7"/>
    <w:rsid w:val="00D24D2D"/>
    <w:rsid w:val="00D24FBB"/>
    <w:rsid w:val="00D2532D"/>
    <w:rsid w:val="00D263D3"/>
    <w:rsid w:val="00D265C2"/>
    <w:rsid w:val="00D26EB0"/>
    <w:rsid w:val="00D26F17"/>
    <w:rsid w:val="00D26F1C"/>
    <w:rsid w:val="00D27FED"/>
    <w:rsid w:val="00D30187"/>
    <w:rsid w:val="00D30D15"/>
    <w:rsid w:val="00D31241"/>
    <w:rsid w:val="00D316A6"/>
    <w:rsid w:val="00D31755"/>
    <w:rsid w:val="00D32523"/>
    <w:rsid w:val="00D326F9"/>
    <w:rsid w:val="00D327AE"/>
    <w:rsid w:val="00D32BDF"/>
    <w:rsid w:val="00D33466"/>
    <w:rsid w:val="00D33584"/>
    <w:rsid w:val="00D33950"/>
    <w:rsid w:val="00D348D1"/>
    <w:rsid w:val="00D34D73"/>
    <w:rsid w:val="00D34F67"/>
    <w:rsid w:val="00D35487"/>
    <w:rsid w:val="00D361C6"/>
    <w:rsid w:val="00D3658E"/>
    <w:rsid w:val="00D40BB7"/>
    <w:rsid w:val="00D413D6"/>
    <w:rsid w:val="00D4233F"/>
    <w:rsid w:val="00D429EB"/>
    <w:rsid w:val="00D42AE6"/>
    <w:rsid w:val="00D4439B"/>
    <w:rsid w:val="00D4467E"/>
    <w:rsid w:val="00D4519E"/>
    <w:rsid w:val="00D4607E"/>
    <w:rsid w:val="00D46164"/>
    <w:rsid w:val="00D47B22"/>
    <w:rsid w:val="00D5184A"/>
    <w:rsid w:val="00D51867"/>
    <w:rsid w:val="00D52533"/>
    <w:rsid w:val="00D52ABB"/>
    <w:rsid w:val="00D531CC"/>
    <w:rsid w:val="00D5397B"/>
    <w:rsid w:val="00D5489C"/>
    <w:rsid w:val="00D5587F"/>
    <w:rsid w:val="00D563C3"/>
    <w:rsid w:val="00D575D6"/>
    <w:rsid w:val="00D60D20"/>
    <w:rsid w:val="00D60E55"/>
    <w:rsid w:val="00D61733"/>
    <w:rsid w:val="00D6264D"/>
    <w:rsid w:val="00D62DFC"/>
    <w:rsid w:val="00D63009"/>
    <w:rsid w:val="00D639D0"/>
    <w:rsid w:val="00D63AC0"/>
    <w:rsid w:val="00D644D6"/>
    <w:rsid w:val="00D6605A"/>
    <w:rsid w:val="00D66586"/>
    <w:rsid w:val="00D668E8"/>
    <w:rsid w:val="00D6699C"/>
    <w:rsid w:val="00D67102"/>
    <w:rsid w:val="00D67BBF"/>
    <w:rsid w:val="00D67BD3"/>
    <w:rsid w:val="00D67E3C"/>
    <w:rsid w:val="00D70161"/>
    <w:rsid w:val="00D70733"/>
    <w:rsid w:val="00D707CC"/>
    <w:rsid w:val="00D71833"/>
    <w:rsid w:val="00D71927"/>
    <w:rsid w:val="00D725A8"/>
    <w:rsid w:val="00D72637"/>
    <w:rsid w:val="00D72A74"/>
    <w:rsid w:val="00D731BE"/>
    <w:rsid w:val="00D733ED"/>
    <w:rsid w:val="00D7372F"/>
    <w:rsid w:val="00D73C2B"/>
    <w:rsid w:val="00D73CCA"/>
    <w:rsid w:val="00D74B3B"/>
    <w:rsid w:val="00D771CA"/>
    <w:rsid w:val="00D7784E"/>
    <w:rsid w:val="00D801A2"/>
    <w:rsid w:val="00D80C6D"/>
    <w:rsid w:val="00D80F6D"/>
    <w:rsid w:val="00D81085"/>
    <w:rsid w:val="00D8141A"/>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63B9"/>
    <w:rsid w:val="00D866CB"/>
    <w:rsid w:val="00D868A3"/>
    <w:rsid w:val="00D86A51"/>
    <w:rsid w:val="00D86CE8"/>
    <w:rsid w:val="00D9004A"/>
    <w:rsid w:val="00D9027D"/>
    <w:rsid w:val="00D902F5"/>
    <w:rsid w:val="00D90419"/>
    <w:rsid w:val="00D9060B"/>
    <w:rsid w:val="00D90988"/>
    <w:rsid w:val="00D9099F"/>
    <w:rsid w:val="00D909F7"/>
    <w:rsid w:val="00D90C7E"/>
    <w:rsid w:val="00D90E97"/>
    <w:rsid w:val="00D91013"/>
    <w:rsid w:val="00D91812"/>
    <w:rsid w:val="00D91870"/>
    <w:rsid w:val="00D927AA"/>
    <w:rsid w:val="00D930ED"/>
    <w:rsid w:val="00D9322D"/>
    <w:rsid w:val="00D935D5"/>
    <w:rsid w:val="00D938A7"/>
    <w:rsid w:val="00D939F6"/>
    <w:rsid w:val="00D94478"/>
    <w:rsid w:val="00D9518B"/>
    <w:rsid w:val="00D962FB"/>
    <w:rsid w:val="00D975F8"/>
    <w:rsid w:val="00D97C50"/>
    <w:rsid w:val="00DA0596"/>
    <w:rsid w:val="00DA100E"/>
    <w:rsid w:val="00DA1E46"/>
    <w:rsid w:val="00DA405C"/>
    <w:rsid w:val="00DA413B"/>
    <w:rsid w:val="00DA5276"/>
    <w:rsid w:val="00DA54F6"/>
    <w:rsid w:val="00DA5C57"/>
    <w:rsid w:val="00DA6809"/>
    <w:rsid w:val="00DA6F2F"/>
    <w:rsid w:val="00DA6F8D"/>
    <w:rsid w:val="00DA7E59"/>
    <w:rsid w:val="00DA7FED"/>
    <w:rsid w:val="00DB058B"/>
    <w:rsid w:val="00DB0D57"/>
    <w:rsid w:val="00DB1274"/>
    <w:rsid w:val="00DB2659"/>
    <w:rsid w:val="00DB32BE"/>
    <w:rsid w:val="00DB3CFA"/>
    <w:rsid w:val="00DB4203"/>
    <w:rsid w:val="00DB427F"/>
    <w:rsid w:val="00DB42F3"/>
    <w:rsid w:val="00DB4C1D"/>
    <w:rsid w:val="00DB5870"/>
    <w:rsid w:val="00DB62A6"/>
    <w:rsid w:val="00DB6614"/>
    <w:rsid w:val="00DB6F12"/>
    <w:rsid w:val="00DB7125"/>
    <w:rsid w:val="00DB76CA"/>
    <w:rsid w:val="00DC06E2"/>
    <w:rsid w:val="00DC0AF0"/>
    <w:rsid w:val="00DC1704"/>
    <w:rsid w:val="00DC1AB3"/>
    <w:rsid w:val="00DC212D"/>
    <w:rsid w:val="00DC23BA"/>
    <w:rsid w:val="00DC2B9E"/>
    <w:rsid w:val="00DC2EFB"/>
    <w:rsid w:val="00DC2F1E"/>
    <w:rsid w:val="00DC3789"/>
    <w:rsid w:val="00DC38FB"/>
    <w:rsid w:val="00DC3C52"/>
    <w:rsid w:val="00DC4259"/>
    <w:rsid w:val="00DC55B4"/>
    <w:rsid w:val="00DC599F"/>
    <w:rsid w:val="00DC60A5"/>
    <w:rsid w:val="00DC6806"/>
    <w:rsid w:val="00DC7931"/>
    <w:rsid w:val="00DC7CD5"/>
    <w:rsid w:val="00DD15B1"/>
    <w:rsid w:val="00DD211A"/>
    <w:rsid w:val="00DD3536"/>
    <w:rsid w:val="00DD5163"/>
    <w:rsid w:val="00DD5315"/>
    <w:rsid w:val="00DD54D0"/>
    <w:rsid w:val="00DD67E8"/>
    <w:rsid w:val="00DD6A9C"/>
    <w:rsid w:val="00DD714D"/>
    <w:rsid w:val="00DD798D"/>
    <w:rsid w:val="00DE03AC"/>
    <w:rsid w:val="00DE05E5"/>
    <w:rsid w:val="00DE09FD"/>
    <w:rsid w:val="00DE1A71"/>
    <w:rsid w:val="00DE1B67"/>
    <w:rsid w:val="00DE237A"/>
    <w:rsid w:val="00DE288E"/>
    <w:rsid w:val="00DE298C"/>
    <w:rsid w:val="00DE34F8"/>
    <w:rsid w:val="00DE3570"/>
    <w:rsid w:val="00DE3710"/>
    <w:rsid w:val="00DE4169"/>
    <w:rsid w:val="00DE49E2"/>
    <w:rsid w:val="00DE65D5"/>
    <w:rsid w:val="00DE6635"/>
    <w:rsid w:val="00DE68EE"/>
    <w:rsid w:val="00DE740A"/>
    <w:rsid w:val="00DE7AF1"/>
    <w:rsid w:val="00DE7B29"/>
    <w:rsid w:val="00DE7FBA"/>
    <w:rsid w:val="00DF0BA4"/>
    <w:rsid w:val="00DF0E07"/>
    <w:rsid w:val="00DF14AD"/>
    <w:rsid w:val="00DF2407"/>
    <w:rsid w:val="00DF2478"/>
    <w:rsid w:val="00DF2E56"/>
    <w:rsid w:val="00DF2FD6"/>
    <w:rsid w:val="00DF3389"/>
    <w:rsid w:val="00DF3CCC"/>
    <w:rsid w:val="00DF3E90"/>
    <w:rsid w:val="00DF591A"/>
    <w:rsid w:val="00DF5B89"/>
    <w:rsid w:val="00DF5FF4"/>
    <w:rsid w:val="00DF67D9"/>
    <w:rsid w:val="00DF68D7"/>
    <w:rsid w:val="00DF6B36"/>
    <w:rsid w:val="00DF7982"/>
    <w:rsid w:val="00DF7A6B"/>
    <w:rsid w:val="00E0067B"/>
    <w:rsid w:val="00E00CC8"/>
    <w:rsid w:val="00E00D8D"/>
    <w:rsid w:val="00E01749"/>
    <w:rsid w:val="00E02120"/>
    <w:rsid w:val="00E02BC0"/>
    <w:rsid w:val="00E02C57"/>
    <w:rsid w:val="00E02DD1"/>
    <w:rsid w:val="00E02E18"/>
    <w:rsid w:val="00E03909"/>
    <w:rsid w:val="00E04AF3"/>
    <w:rsid w:val="00E04ED2"/>
    <w:rsid w:val="00E0520F"/>
    <w:rsid w:val="00E05CA6"/>
    <w:rsid w:val="00E06F25"/>
    <w:rsid w:val="00E077DD"/>
    <w:rsid w:val="00E079D8"/>
    <w:rsid w:val="00E102D0"/>
    <w:rsid w:val="00E109B1"/>
    <w:rsid w:val="00E10AF9"/>
    <w:rsid w:val="00E11170"/>
    <w:rsid w:val="00E1148C"/>
    <w:rsid w:val="00E1287F"/>
    <w:rsid w:val="00E12888"/>
    <w:rsid w:val="00E12B7F"/>
    <w:rsid w:val="00E13476"/>
    <w:rsid w:val="00E1368E"/>
    <w:rsid w:val="00E13765"/>
    <w:rsid w:val="00E13AA0"/>
    <w:rsid w:val="00E13D90"/>
    <w:rsid w:val="00E1493F"/>
    <w:rsid w:val="00E15257"/>
    <w:rsid w:val="00E15C03"/>
    <w:rsid w:val="00E15DD2"/>
    <w:rsid w:val="00E15FC6"/>
    <w:rsid w:val="00E1775C"/>
    <w:rsid w:val="00E17BFC"/>
    <w:rsid w:val="00E17D26"/>
    <w:rsid w:val="00E17D31"/>
    <w:rsid w:val="00E17FDD"/>
    <w:rsid w:val="00E17FE3"/>
    <w:rsid w:val="00E20659"/>
    <w:rsid w:val="00E2073C"/>
    <w:rsid w:val="00E20BD6"/>
    <w:rsid w:val="00E20F2C"/>
    <w:rsid w:val="00E215BC"/>
    <w:rsid w:val="00E215D2"/>
    <w:rsid w:val="00E22A85"/>
    <w:rsid w:val="00E23642"/>
    <w:rsid w:val="00E23D4E"/>
    <w:rsid w:val="00E2437C"/>
    <w:rsid w:val="00E2454E"/>
    <w:rsid w:val="00E2480A"/>
    <w:rsid w:val="00E24BEA"/>
    <w:rsid w:val="00E251B9"/>
    <w:rsid w:val="00E258D0"/>
    <w:rsid w:val="00E2609F"/>
    <w:rsid w:val="00E262E3"/>
    <w:rsid w:val="00E2719E"/>
    <w:rsid w:val="00E27F31"/>
    <w:rsid w:val="00E30E96"/>
    <w:rsid w:val="00E30EA7"/>
    <w:rsid w:val="00E30EEE"/>
    <w:rsid w:val="00E3102F"/>
    <w:rsid w:val="00E310C6"/>
    <w:rsid w:val="00E31E98"/>
    <w:rsid w:val="00E32697"/>
    <w:rsid w:val="00E32F0A"/>
    <w:rsid w:val="00E33BF2"/>
    <w:rsid w:val="00E349EC"/>
    <w:rsid w:val="00E34F92"/>
    <w:rsid w:val="00E36277"/>
    <w:rsid w:val="00E36DCC"/>
    <w:rsid w:val="00E376C1"/>
    <w:rsid w:val="00E376F4"/>
    <w:rsid w:val="00E3782B"/>
    <w:rsid w:val="00E40AFD"/>
    <w:rsid w:val="00E40E02"/>
    <w:rsid w:val="00E417D9"/>
    <w:rsid w:val="00E41A5D"/>
    <w:rsid w:val="00E41F96"/>
    <w:rsid w:val="00E4495F"/>
    <w:rsid w:val="00E44F15"/>
    <w:rsid w:val="00E455A8"/>
    <w:rsid w:val="00E458B7"/>
    <w:rsid w:val="00E4656E"/>
    <w:rsid w:val="00E46F18"/>
    <w:rsid w:val="00E4761A"/>
    <w:rsid w:val="00E477EA"/>
    <w:rsid w:val="00E47DEE"/>
    <w:rsid w:val="00E506E7"/>
    <w:rsid w:val="00E509BB"/>
    <w:rsid w:val="00E51BA6"/>
    <w:rsid w:val="00E534AD"/>
    <w:rsid w:val="00E53A2C"/>
    <w:rsid w:val="00E544A0"/>
    <w:rsid w:val="00E547B2"/>
    <w:rsid w:val="00E5486D"/>
    <w:rsid w:val="00E55371"/>
    <w:rsid w:val="00E5583B"/>
    <w:rsid w:val="00E570A6"/>
    <w:rsid w:val="00E60A11"/>
    <w:rsid w:val="00E60CBE"/>
    <w:rsid w:val="00E60E11"/>
    <w:rsid w:val="00E612A0"/>
    <w:rsid w:val="00E619F4"/>
    <w:rsid w:val="00E62868"/>
    <w:rsid w:val="00E630CD"/>
    <w:rsid w:val="00E630DA"/>
    <w:rsid w:val="00E63192"/>
    <w:rsid w:val="00E6360E"/>
    <w:rsid w:val="00E6388F"/>
    <w:rsid w:val="00E638BF"/>
    <w:rsid w:val="00E63C11"/>
    <w:rsid w:val="00E65210"/>
    <w:rsid w:val="00E6580E"/>
    <w:rsid w:val="00E6737F"/>
    <w:rsid w:val="00E6757F"/>
    <w:rsid w:val="00E676C3"/>
    <w:rsid w:val="00E67B42"/>
    <w:rsid w:val="00E7030B"/>
    <w:rsid w:val="00E70DD6"/>
    <w:rsid w:val="00E71CBE"/>
    <w:rsid w:val="00E71D6E"/>
    <w:rsid w:val="00E725B0"/>
    <w:rsid w:val="00E7310E"/>
    <w:rsid w:val="00E73642"/>
    <w:rsid w:val="00E742CE"/>
    <w:rsid w:val="00E74C1A"/>
    <w:rsid w:val="00E74C1D"/>
    <w:rsid w:val="00E7583B"/>
    <w:rsid w:val="00E7601F"/>
    <w:rsid w:val="00E765F7"/>
    <w:rsid w:val="00E769B6"/>
    <w:rsid w:val="00E76A6C"/>
    <w:rsid w:val="00E76AE9"/>
    <w:rsid w:val="00E76CB6"/>
    <w:rsid w:val="00E76D6D"/>
    <w:rsid w:val="00E778DA"/>
    <w:rsid w:val="00E77F21"/>
    <w:rsid w:val="00E8034B"/>
    <w:rsid w:val="00E808F2"/>
    <w:rsid w:val="00E81BA2"/>
    <w:rsid w:val="00E830A3"/>
    <w:rsid w:val="00E831B5"/>
    <w:rsid w:val="00E831BF"/>
    <w:rsid w:val="00E832FC"/>
    <w:rsid w:val="00E83C38"/>
    <w:rsid w:val="00E84081"/>
    <w:rsid w:val="00E8412F"/>
    <w:rsid w:val="00E84394"/>
    <w:rsid w:val="00E8549C"/>
    <w:rsid w:val="00E85DE6"/>
    <w:rsid w:val="00E8676D"/>
    <w:rsid w:val="00E87338"/>
    <w:rsid w:val="00E87456"/>
    <w:rsid w:val="00E8784D"/>
    <w:rsid w:val="00E878C8"/>
    <w:rsid w:val="00E87DDB"/>
    <w:rsid w:val="00E87EE4"/>
    <w:rsid w:val="00E90399"/>
    <w:rsid w:val="00E90BC7"/>
    <w:rsid w:val="00E91D78"/>
    <w:rsid w:val="00E9258A"/>
    <w:rsid w:val="00E9281D"/>
    <w:rsid w:val="00E92B14"/>
    <w:rsid w:val="00E93296"/>
    <w:rsid w:val="00E93F15"/>
    <w:rsid w:val="00E94238"/>
    <w:rsid w:val="00E95AFB"/>
    <w:rsid w:val="00E969A6"/>
    <w:rsid w:val="00E96CC9"/>
    <w:rsid w:val="00EA0192"/>
    <w:rsid w:val="00EA0911"/>
    <w:rsid w:val="00EA0D54"/>
    <w:rsid w:val="00EA0DA2"/>
    <w:rsid w:val="00EA0E71"/>
    <w:rsid w:val="00EA1412"/>
    <w:rsid w:val="00EA1C22"/>
    <w:rsid w:val="00EA2555"/>
    <w:rsid w:val="00EA2676"/>
    <w:rsid w:val="00EA2797"/>
    <w:rsid w:val="00EA2948"/>
    <w:rsid w:val="00EA2D12"/>
    <w:rsid w:val="00EA41E9"/>
    <w:rsid w:val="00EA4E8F"/>
    <w:rsid w:val="00EA54A7"/>
    <w:rsid w:val="00EA57F9"/>
    <w:rsid w:val="00EA58B4"/>
    <w:rsid w:val="00EA5D60"/>
    <w:rsid w:val="00EA61CF"/>
    <w:rsid w:val="00EA61EC"/>
    <w:rsid w:val="00EA6906"/>
    <w:rsid w:val="00EA6C03"/>
    <w:rsid w:val="00EA6FE0"/>
    <w:rsid w:val="00EA7057"/>
    <w:rsid w:val="00EA74F7"/>
    <w:rsid w:val="00EA764F"/>
    <w:rsid w:val="00EA7B6E"/>
    <w:rsid w:val="00EB046C"/>
    <w:rsid w:val="00EB07C0"/>
    <w:rsid w:val="00EB088F"/>
    <w:rsid w:val="00EB1058"/>
    <w:rsid w:val="00EB19FF"/>
    <w:rsid w:val="00EB2B26"/>
    <w:rsid w:val="00EB364C"/>
    <w:rsid w:val="00EB36CF"/>
    <w:rsid w:val="00EB3ACA"/>
    <w:rsid w:val="00EB3BDB"/>
    <w:rsid w:val="00EB3EC9"/>
    <w:rsid w:val="00EB3F3E"/>
    <w:rsid w:val="00EB49DA"/>
    <w:rsid w:val="00EB4ABF"/>
    <w:rsid w:val="00EB516F"/>
    <w:rsid w:val="00EB5491"/>
    <w:rsid w:val="00EB6B56"/>
    <w:rsid w:val="00EB7097"/>
    <w:rsid w:val="00EB731F"/>
    <w:rsid w:val="00EB73C0"/>
    <w:rsid w:val="00EB7E48"/>
    <w:rsid w:val="00EC08F6"/>
    <w:rsid w:val="00EC0BFC"/>
    <w:rsid w:val="00EC0F5D"/>
    <w:rsid w:val="00EC1252"/>
    <w:rsid w:val="00EC1563"/>
    <w:rsid w:val="00EC1E47"/>
    <w:rsid w:val="00EC24DE"/>
    <w:rsid w:val="00EC2A5E"/>
    <w:rsid w:val="00EC2ED6"/>
    <w:rsid w:val="00EC373E"/>
    <w:rsid w:val="00EC3E3C"/>
    <w:rsid w:val="00EC45B0"/>
    <w:rsid w:val="00EC4BF1"/>
    <w:rsid w:val="00EC4D5E"/>
    <w:rsid w:val="00EC5F3F"/>
    <w:rsid w:val="00EC72D6"/>
    <w:rsid w:val="00ED08A0"/>
    <w:rsid w:val="00ED0B39"/>
    <w:rsid w:val="00ED1158"/>
    <w:rsid w:val="00ED1221"/>
    <w:rsid w:val="00ED225A"/>
    <w:rsid w:val="00ED2865"/>
    <w:rsid w:val="00ED2CD6"/>
    <w:rsid w:val="00ED31A9"/>
    <w:rsid w:val="00ED3EC2"/>
    <w:rsid w:val="00ED44B2"/>
    <w:rsid w:val="00ED676B"/>
    <w:rsid w:val="00ED6F2B"/>
    <w:rsid w:val="00ED72A4"/>
    <w:rsid w:val="00EE09F5"/>
    <w:rsid w:val="00EE0E54"/>
    <w:rsid w:val="00EE1980"/>
    <w:rsid w:val="00EE213F"/>
    <w:rsid w:val="00EE2C26"/>
    <w:rsid w:val="00EE3F98"/>
    <w:rsid w:val="00EE42BD"/>
    <w:rsid w:val="00EE43BA"/>
    <w:rsid w:val="00EE496A"/>
    <w:rsid w:val="00EE549F"/>
    <w:rsid w:val="00EE5952"/>
    <w:rsid w:val="00EE5D0F"/>
    <w:rsid w:val="00EE5F11"/>
    <w:rsid w:val="00EE6185"/>
    <w:rsid w:val="00EE687A"/>
    <w:rsid w:val="00EE6B56"/>
    <w:rsid w:val="00EE6BBE"/>
    <w:rsid w:val="00EE6C49"/>
    <w:rsid w:val="00EE6DAE"/>
    <w:rsid w:val="00EE70E1"/>
    <w:rsid w:val="00EE7569"/>
    <w:rsid w:val="00EE7A28"/>
    <w:rsid w:val="00EE7D60"/>
    <w:rsid w:val="00EF0A8B"/>
    <w:rsid w:val="00EF0C65"/>
    <w:rsid w:val="00EF10BD"/>
    <w:rsid w:val="00EF20DE"/>
    <w:rsid w:val="00EF326F"/>
    <w:rsid w:val="00EF3AE7"/>
    <w:rsid w:val="00EF3EC6"/>
    <w:rsid w:val="00EF4CC2"/>
    <w:rsid w:val="00EF4FBC"/>
    <w:rsid w:val="00EF50D0"/>
    <w:rsid w:val="00EF5615"/>
    <w:rsid w:val="00EF5D7B"/>
    <w:rsid w:val="00EF6327"/>
    <w:rsid w:val="00EF74DF"/>
    <w:rsid w:val="00EF7A9D"/>
    <w:rsid w:val="00F005F1"/>
    <w:rsid w:val="00F006B6"/>
    <w:rsid w:val="00F0140D"/>
    <w:rsid w:val="00F017E1"/>
    <w:rsid w:val="00F01A62"/>
    <w:rsid w:val="00F0233B"/>
    <w:rsid w:val="00F036FC"/>
    <w:rsid w:val="00F03AEB"/>
    <w:rsid w:val="00F03E15"/>
    <w:rsid w:val="00F04560"/>
    <w:rsid w:val="00F046F4"/>
    <w:rsid w:val="00F0545F"/>
    <w:rsid w:val="00F05D7D"/>
    <w:rsid w:val="00F06575"/>
    <w:rsid w:val="00F068AE"/>
    <w:rsid w:val="00F0722A"/>
    <w:rsid w:val="00F07337"/>
    <w:rsid w:val="00F0768E"/>
    <w:rsid w:val="00F076A1"/>
    <w:rsid w:val="00F078A9"/>
    <w:rsid w:val="00F07ED9"/>
    <w:rsid w:val="00F07F37"/>
    <w:rsid w:val="00F10213"/>
    <w:rsid w:val="00F1053E"/>
    <w:rsid w:val="00F11104"/>
    <w:rsid w:val="00F115B0"/>
    <w:rsid w:val="00F1194D"/>
    <w:rsid w:val="00F12D1E"/>
    <w:rsid w:val="00F130BC"/>
    <w:rsid w:val="00F132D3"/>
    <w:rsid w:val="00F134A8"/>
    <w:rsid w:val="00F139DF"/>
    <w:rsid w:val="00F147B9"/>
    <w:rsid w:val="00F148F7"/>
    <w:rsid w:val="00F14DCC"/>
    <w:rsid w:val="00F14EEC"/>
    <w:rsid w:val="00F15FE9"/>
    <w:rsid w:val="00F160C4"/>
    <w:rsid w:val="00F20A9D"/>
    <w:rsid w:val="00F20AE4"/>
    <w:rsid w:val="00F20E32"/>
    <w:rsid w:val="00F218A4"/>
    <w:rsid w:val="00F21BC4"/>
    <w:rsid w:val="00F21E9D"/>
    <w:rsid w:val="00F21FCC"/>
    <w:rsid w:val="00F22BFC"/>
    <w:rsid w:val="00F23763"/>
    <w:rsid w:val="00F241AF"/>
    <w:rsid w:val="00F244A8"/>
    <w:rsid w:val="00F249FF"/>
    <w:rsid w:val="00F24A31"/>
    <w:rsid w:val="00F25780"/>
    <w:rsid w:val="00F27372"/>
    <w:rsid w:val="00F27575"/>
    <w:rsid w:val="00F27E93"/>
    <w:rsid w:val="00F27F51"/>
    <w:rsid w:val="00F30472"/>
    <w:rsid w:val="00F30476"/>
    <w:rsid w:val="00F30BEE"/>
    <w:rsid w:val="00F30F32"/>
    <w:rsid w:val="00F31005"/>
    <w:rsid w:val="00F328BF"/>
    <w:rsid w:val="00F32D73"/>
    <w:rsid w:val="00F337FE"/>
    <w:rsid w:val="00F33E15"/>
    <w:rsid w:val="00F34878"/>
    <w:rsid w:val="00F35358"/>
    <w:rsid w:val="00F35C21"/>
    <w:rsid w:val="00F36033"/>
    <w:rsid w:val="00F36D37"/>
    <w:rsid w:val="00F371B2"/>
    <w:rsid w:val="00F37472"/>
    <w:rsid w:val="00F37A3D"/>
    <w:rsid w:val="00F4121A"/>
    <w:rsid w:val="00F412B9"/>
    <w:rsid w:val="00F42CB9"/>
    <w:rsid w:val="00F42F06"/>
    <w:rsid w:val="00F42F73"/>
    <w:rsid w:val="00F43CC6"/>
    <w:rsid w:val="00F443F7"/>
    <w:rsid w:val="00F44D83"/>
    <w:rsid w:val="00F45243"/>
    <w:rsid w:val="00F4551B"/>
    <w:rsid w:val="00F45645"/>
    <w:rsid w:val="00F45BC4"/>
    <w:rsid w:val="00F4612E"/>
    <w:rsid w:val="00F47012"/>
    <w:rsid w:val="00F47AE3"/>
    <w:rsid w:val="00F47D7F"/>
    <w:rsid w:val="00F47EB8"/>
    <w:rsid w:val="00F501C2"/>
    <w:rsid w:val="00F5073D"/>
    <w:rsid w:val="00F50C48"/>
    <w:rsid w:val="00F50CE8"/>
    <w:rsid w:val="00F5102F"/>
    <w:rsid w:val="00F515B1"/>
    <w:rsid w:val="00F5182C"/>
    <w:rsid w:val="00F51945"/>
    <w:rsid w:val="00F51B24"/>
    <w:rsid w:val="00F5245E"/>
    <w:rsid w:val="00F529CA"/>
    <w:rsid w:val="00F52FFC"/>
    <w:rsid w:val="00F5311F"/>
    <w:rsid w:val="00F5479E"/>
    <w:rsid w:val="00F54CDE"/>
    <w:rsid w:val="00F54EF3"/>
    <w:rsid w:val="00F55CBC"/>
    <w:rsid w:val="00F5616B"/>
    <w:rsid w:val="00F56693"/>
    <w:rsid w:val="00F56862"/>
    <w:rsid w:val="00F56E57"/>
    <w:rsid w:val="00F6034B"/>
    <w:rsid w:val="00F613F4"/>
    <w:rsid w:val="00F621E3"/>
    <w:rsid w:val="00F6246D"/>
    <w:rsid w:val="00F6252E"/>
    <w:rsid w:val="00F62C48"/>
    <w:rsid w:val="00F63DD6"/>
    <w:rsid w:val="00F63F2B"/>
    <w:rsid w:val="00F64127"/>
    <w:rsid w:val="00F641EC"/>
    <w:rsid w:val="00F654AF"/>
    <w:rsid w:val="00F65A80"/>
    <w:rsid w:val="00F65D5C"/>
    <w:rsid w:val="00F669B1"/>
    <w:rsid w:val="00F674D9"/>
    <w:rsid w:val="00F67665"/>
    <w:rsid w:val="00F702BB"/>
    <w:rsid w:val="00F721CC"/>
    <w:rsid w:val="00F72468"/>
    <w:rsid w:val="00F72805"/>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3753"/>
    <w:rsid w:val="00F84550"/>
    <w:rsid w:val="00F849BD"/>
    <w:rsid w:val="00F84CC8"/>
    <w:rsid w:val="00F853A8"/>
    <w:rsid w:val="00F8564D"/>
    <w:rsid w:val="00F863C2"/>
    <w:rsid w:val="00F8644A"/>
    <w:rsid w:val="00F8776C"/>
    <w:rsid w:val="00F87B25"/>
    <w:rsid w:val="00F90C62"/>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9CA"/>
    <w:rsid w:val="00FA5CFC"/>
    <w:rsid w:val="00FA6157"/>
    <w:rsid w:val="00FA6DB5"/>
    <w:rsid w:val="00FA7BB3"/>
    <w:rsid w:val="00FA7C8B"/>
    <w:rsid w:val="00FB0B7E"/>
    <w:rsid w:val="00FB1714"/>
    <w:rsid w:val="00FB17AE"/>
    <w:rsid w:val="00FB1B04"/>
    <w:rsid w:val="00FB23BB"/>
    <w:rsid w:val="00FB2A0A"/>
    <w:rsid w:val="00FB2D2E"/>
    <w:rsid w:val="00FB36BB"/>
    <w:rsid w:val="00FB3B33"/>
    <w:rsid w:val="00FB4B76"/>
    <w:rsid w:val="00FB5104"/>
    <w:rsid w:val="00FB5AE8"/>
    <w:rsid w:val="00FB5F59"/>
    <w:rsid w:val="00FB6929"/>
    <w:rsid w:val="00FB772A"/>
    <w:rsid w:val="00FB7796"/>
    <w:rsid w:val="00FB7A70"/>
    <w:rsid w:val="00FB7D87"/>
    <w:rsid w:val="00FC01B5"/>
    <w:rsid w:val="00FC0829"/>
    <w:rsid w:val="00FC0A50"/>
    <w:rsid w:val="00FC12FA"/>
    <w:rsid w:val="00FC1B8C"/>
    <w:rsid w:val="00FC31B8"/>
    <w:rsid w:val="00FC384E"/>
    <w:rsid w:val="00FC38F9"/>
    <w:rsid w:val="00FC3965"/>
    <w:rsid w:val="00FC3B86"/>
    <w:rsid w:val="00FC3F72"/>
    <w:rsid w:val="00FC405C"/>
    <w:rsid w:val="00FC475D"/>
    <w:rsid w:val="00FC4D0D"/>
    <w:rsid w:val="00FC52AF"/>
    <w:rsid w:val="00FC5C7B"/>
    <w:rsid w:val="00FC663D"/>
    <w:rsid w:val="00FC6E86"/>
    <w:rsid w:val="00FC745E"/>
    <w:rsid w:val="00FC7F84"/>
    <w:rsid w:val="00FD03B6"/>
    <w:rsid w:val="00FD10B8"/>
    <w:rsid w:val="00FD17A5"/>
    <w:rsid w:val="00FD20B3"/>
    <w:rsid w:val="00FD48BA"/>
    <w:rsid w:val="00FD4D83"/>
    <w:rsid w:val="00FD4FB0"/>
    <w:rsid w:val="00FD5538"/>
    <w:rsid w:val="00FD5BFD"/>
    <w:rsid w:val="00FD6F83"/>
    <w:rsid w:val="00FD747C"/>
    <w:rsid w:val="00FD7A62"/>
    <w:rsid w:val="00FD7CDC"/>
    <w:rsid w:val="00FD7EBC"/>
    <w:rsid w:val="00FE003C"/>
    <w:rsid w:val="00FE0194"/>
    <w:rsid w:val="00FE02D8"/>
    <w:rsid w:val="00FE05BE"/>
    <w:rsid w:val="00FE0969"/>
    <w:rsid w:val="00FE0976"/>
    <w:rsid w:val="00FE09EE"/>
    <w:rsid w:val="00FE1354"/>
    <w:rsid w:val="00FE17F0"/>
    <w:rsid w:val="00FE1D11"/>
    <w:rsid w:val="00FE1D17"/>
    <w:rsid w:val="00FE2D9F"/>
    <w:rsid w:val="00FE3347"/>
    <w:rsid w:val="00FE3415"/>
    <w:rsid w:val="00FE3940"/>
    <w:rsid w:val="00FE3A0A"/>
    <w:rsid w:val="00FE3A1A"/>
    <w:rsid w:val="00FE3B91"/>
    <w:rsid w:val="00FE43A4"/>
    <w:rsid w:val="00FE53F2"/>
    <w:rsid w:val="00FE5614"/>
    <w:rsid w:val="00FE5A10"/>
    <w:rsid w:val="00FE6313"/>
    <w:rsid w:val="00FE6AD0"/>
    <w:rsid w:val="00FE702A"/>
    <w:rsid w:val="00FE77C2"/>
    <w:rsid w:val="00FE7B69"/>
    <w:rsid w:val="00FE7BF0"/>
    <w:rsid w:val="00FF044B"/>
    <w:rsid w:val="00FF0532"/>
    <w:rsid w:val="00FF0979"/>
    <w:rsid w:val="00FF0A4A"/>
    <w:rsid w:val="00FF0FEA"/>
    <w:rsid w:val="00FF12A7"/>
    <w:rsid w:val="00FF19A2"/>
    <w:rsid w:val="00FF1A41"/>
    <w:rsid w:val="00FF2485"/>
    <w:rsid w:val="00FF25BB"/>
    <w:rsid w:val="00FF25D2"/>
    <w:rsid w:val="00FF2682"/>
    <w:rsid w:val="00FF34CB"/>
    <w:rsid w:val="00FF3536"/>
    <w:rsid w:val="00FF3F88"/>
    <w:rsid w:val="00FF40C7"/>
    <w:rsid w:val="00FF46AB"/>
    <w:rsid w:val="00FF5379"/>
    <w:rsid w:val="00FF55EE"/>
    <w:rsid w:val="00FF56B1"/>
    <w:rsid w:val="00FF56F4"/>
    <w:rsid w:val="00FF6252"/>
    <w:rsid w:val="00FF726C"/>
    <w:rsid w:val="00FF729E"/>
    <w:rsid w:val="00FF74F3"/>
    <w:rsid w:val="00FF7637"/>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link w:val="EstiloCar"/>
    <w:qFormat/>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347E4E"/>
    <w:pPr>
      <w:spacing w:after="0" w:line="240" w:lineRule="auto"/>
    </w:pPr>
    <w:rPr>
      <w:sz w:val="20"/>
      <w:szCs w:val="20"/>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347E4E"/>
    <w:rPr>
      <w:sz w:val="20"/>
      <w:szCs w:val="20"/>
    </w:r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6388C"/>
  </w:style>
  <w:style w:type="character" w:customStyle="1" w:styleId="EstiloCar">
    <w:name w:val="Estilo Car"/>
    <w:basedOn w:val="Fuentedeprrafopredeter"/>
    <w:link w:val="Estilo"/>
    <w:rsid w:val="004076F7"/>
    <w:rPr>
      <w:rFonts w:ascii="Arial" w:eastAsia="Times New Roman" w:hAnsi="Arial" w:cs="Arial"/>
      <w:sz w:val="24"/>
      <w:szCs w:val="24"/>
      <w:lang w:val="es-ES" w:eastAsia="es-ES"/>
    </w:rPr>
  </w:style>
  <w:style w:type="character" w:customStyle="1" w:styleId="ng-star-inserted">
    <w:name w:val="ng-star-inserted"/>
    <w:basedOn w:val="Fuentedeprrafopredeter"/>
    <w:rsid w:val="004076F7"/>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076F7"/>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76949905">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237711196">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22708447">
      <w:bodyDiv w:val="1"/>
      <w:marLeft w:val="0"/>
      <w:marRight w:val="0"/>
      <w:marTop w:val="0"/>
      <w:marBottom w:val="0"/>
      <w:divBdr>
        <w:top w:val="none" w:sz="0" w:space="0" w:color="auto"/>
        <w:left w:val="none" w:sz="0" w:space="0" w:color="auto"/>
        <w:bottom w:val="none" w:sz="0" w:space="0" w:color="auto"/>
        <w:right w:val="none" w:sz="0" w:space="0" w:color="auto"/>
      </w:divBdr>
    </w:div>
    <w:div w:id="332221213">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559289102">
      <w:bodyDiv w:val="1"/>
      <w:marLeft w:val="0"/>
      <w:marRight w:val="0"/>
      <w:marTop w:val="0"/>
      <w:marBottom w:val="0"/>
      <w:divBdr>
        <w:top w:val="none" w:sz="0" w:space="0" w:color="auto"/>
        <w:left w:val="none" w:sz="0" w:space="0" w:color="auto"/>
        <w:bottom w:val="none" w:sz="0" w:space="0" w:color="auto"/>
        <w:right w:val="none" w:sz="0" w:space="0" w:color="auto"/>
      </w:divBdr>
    </w:div>
    <w:div w:id="574123838">
      <w:bodyDiv w:val="1"/>
      <w:marLeft w:val="0"/>
      <w:marRight w:val="0"/>
      <w:marTop w:val="0"/>
      <w:marBottom w:val="0"/>
      <w:divBdr>
        <w:top w:val="none" w:sz="0" w:space="0" w:color="auto"/>
        <w:left w:val="none" w:sz="0" w:space="0" w:color="auto"/>
        <w:bottom w:val="none" w:sz="0" w:space="0" w:color="auto"/>
        <w:right w:val="none" w:sz="0" w:space="0" w:color="auto"/>
      </w:divBdr>
    </w:div>
    <w:div w:id="602034364">
      <w:bodyDiv w:val="1"/>
      <w:marLeft w:val="0"/>
      <w:marRight w:val="0"/>
      <w:marTop w:val="0"/>
      <w:marBottom w:val="0"/>
      <w:divBdr>
        <w:top w:val="none" w:sz="0" w:space="0" w:color="auto"/>
        <w:left w:val="none" w:sz="0" w:space="0" w:color="auto"/>
        <w:bottom w:val="none" w:sz="0" w:space="0" w:color="auto"/>
        <w:right w:val="none" w:sz="0" w:space="0" w:color="auto"/>
      </w:divBdr>
      <w:divsChild>
        <w:div w:id="18215326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7793896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278680418">
      <w:bodyDiv w:val="1"/>
      <w:marLeft w:val="0"/>
      <w:marRight w:val="0"/>
      <w:marTop w:val="0"/>
      <w:marBottom w:val="0"/>
      <w:divBdr>
        <w:top w:val="none" w:sz="0" w:space="0" w:color="auto"/>
        <w:left w:val="none" w:sz="0" w:space="0" w:color="auto"/>
        <w:bottom w:val="none" w:sz="0" w:space="0" w:color="auto"/>
        <w:right w:val="none" w:sz="0" w:space="0" w:color="auto"/>
      </w:divBdr>
      <w:divsChild>
        <w:div w:id="2114011424">
          <w:marLeft w:val="0"/>
          <w:marRight w:val="0"/>
          <w:marTop w:val="0"/>
          <w:marBottom w:val="0"/>
          <w:divBdr>
            <w:top w:val="none" w:sz="0" w:space="0" w:color="auto"/>
            <w:left w:val="none" w:sz="0" w:space="0" w:color="auto"/>
            <w:bottom w:val="none" w:sz="0" w:space="0" w:color="auto"/>
            <w:right w:val="none" w:sz="0" w:space="0" w:color="auto"/>
          </w:divBdr>
        </w:div>
        <w:div w:id="140393617">
          <w:marLeft w:val="0"/>
          <w:marRight w:val="0"/>
          <w:marTop w:val="0"/>
          <w:marBottom w:val="0"/>
          <w:divBdr>
            <w:top w:val="none" w:sz="0" w:space="0" w:color="auto"/>
            <w:left w:val="none" w:sz="0" w:space="0" w:color="auto"/>
            <w:bottom w:val="none" w:sz="0" w:space="0" w:color="auto"/>
            <w:right w:val="none" w:sz="0" w:space="0" w:color="auto"/>
          </w:divBdr>
        </w:div>
        <w:div w:id="309285252">
          <w:marLeft w:val="0"/>
          <w:marRight w:val="0"/>
          <w:marTop w:val="0"/>
          <w:marBottom w:val="0"/>
          <w:divBdr>
            <w:top w:val="none" w:sz="0" w:space="0" w:color="auto"/>
            <w:left w:val="none" w:sz="0" w:space="0" w:color="auto"/>
            <w:bottom w:val="none" w:sz="0" w:space="0" w:color="auto"/>
            <w:right w:val="none" w:sz="0" w:space="0" w:color="auto"/>
          </w:divBdr>
        </w:div>
        <w:div w:id="1135180182">
          <w:marLeft w:val="0"/>
          <w:marRight w:val="0"/>
          <w:marTop w:val="0"/>
          <w:marBottom w:val="0"/>
          <w:divBdr>
            <w:top w:val="none" w:sz="0" w:space="0" w:color="auto"/>
            <w:left w:val="none" w:sz="0" w:space="0" w:color="auto"/>
            <w:bottom w:val="none" w:sz="0" w:space="0" w:color="auto"/>
            <w:right w:val="none" w:sz="0" w:space="0" w:color="auto"/>
          </w:divBdr>
        </w:div>
        <w:div w:id="442117593">
          <w:marLeft w:val="0"/>
          <w:marRight w:val="0"/>
          <w:marTop w:val="0"/>
          <w:marBottom w:val="0"/>
          <w:divBdr>
            <w:top w:val="none" w:sz="0" w:space="0" w:color="auto"/>
            <w:left w:val="none" w:sz="0" w:space="0" w:color="auto"/>
            <w:bottom w:val="none" w:sz="0" w:space="0" w:color="auto"/>
            <w:right w:val="none" w:sz="0" w:space="0" w:color="auto"/>
          </w:divBdr>
        </w:div>
        <w:div w:id="1793740385">
          <w:marLeft w:val="0"/>
          <w:marRight w:val="0"/>
          <w:marTop w:val="0"/>
          <w:marBottom w:val="0"/>
          <w:divBdr>
            <w:top w:val="none" w:sz="0" w:space="0" w:color="auto"/>
            <w:left w:val="none" w:sz="0" w:space="0" w:color="auto"/>
            <w:bottom w:val="none" w:sz="0" w:space="0" w:color="auto"/>
            <w:right w:val="none" w:sz="0" w:space="0" w:color="auto"/>
          </w:divBdr>
        </w:div>
        <w:div w:id="28380544">
          <w:marLeft w:val="0"/>
          <w:marRight w:val="0"/>
          <w:marTop w:val="0"/>
          <w:marBottom w:val="0"/>
          <w:divBdr>
            <w:top w:val="none" w:sz="0" w:space="0" w:color="auto"/>
            <w:left w:val="none" w:sz="0" w:space="0" w:color="auto"/>
            <w:bottom w:val="none" w:sz="0" w:space="0" w:color="auto"/>
            <w:right w:val="none" w:sz="0" w:space="0" w:color="auto"/>
          </w:divBdr>
        </w:div>
        <w:div w:id="1977955846">
          <w:marLeft w:val="0"/>
          <w:marRight w:val="0"/>
          <w:marTop w:val="0"/>
          <w:marBottom w:val="0"/>
          <w:divBdr>
            <w:top w:val="none" w:sz="0" w:space="0" w:color="auto"/>
            <w:left w:val="none" w:sz="0" w:space="0" w:color="auto"/>
            <w:bottom w:val="none" w:sz="0" w:space="0" w:color="auto"/>
            <w:right w:val="none" w:sz="0" w:space="0" w:color="auto"/>
          </w:divBdr>
        </w:div>
        <w:div w:id="461578289">
          <w:marLeft w:val="0"/>
          <w:marRight w:val="0"/>
          <w:marTop w:val="0"/>
          <w:marBottom w:val="0"/>
          <w:divBdr>
            <w:top w:val="none" w:sz="0" w:space="0" w:color="auto"/>
            <w:left w:val="none" w:sz="0" w:space="0" w:color="auto"/>
            <w:bottom w:val="none" w:sz="0" w:space="0" w:color="auto"/>
            <w:right w:val="none" w:sz="0" w:space="0" w:color="auto"/>
          </w:divBdr>
        </w:div>
        <w:div w:id="210583791">
          <w:marLeft w:val="0"/>
          <w:marRight w:val="0"/>
          <w:marTop w:val="0"/>
          <w:marBottom w:val="0"/>
          <w:divBdr>
            <w:top w:val="none" w:sz="0" w:space="0" w:color="auto"/>
            <w:left w:val="none" w:sz="0" w:space="0" w:color="auto"/>
            <w:bottom w:val="none" w:sz="0" w:space="0" w:color="auto"/>
            <w:right w:val="none" w:sz="0" w:space="0" w:color="auto"/>
          </w:divBdr>
        </w:div>
        <w:div w:id="455490728">
          <w:marLeft w:val="0"/>
          <w:marRight w:val="0"/>
          <w:marTop w:val="0"/>
          <w:marBottom w:val="0"/>
          <w:divBdr>
            <w:top w:val="none" w:sz="0" w:space="0" w:color="auto"/>
            <w:left w:val="none" w:sz="0" w:space="0" w:color="auto"/>
            <w:bottom w:val="none" w:sz="0" w:space="0" w:color="auto"/>
            <w:right w:val="none" w:sz="0" w:space="0" w:color="auto"/>
          </w:divBdr>
        </w:div>
        <w:div w:id="561526834">
          <w:marLeft w:val="0"/>
          <w:marRight w:val="0"/>
          <w:marTop w:val="0"/>
          <w:marBottom w:val="0"/>
          <w:divBdr>
            <w:top w:val="none" w:sz="0" w:space="0" w:color="auto"/>
            <w:left w:val="none" w:sz="0" w:space="0" w:color="auto"/>
            <w:bottom w:val="none" w:sz="0" w:space="0" w:color="auto"/>
            <w:right w:val="none" w:sz="0" w:space="0" w:color="auto"/>
          </w:divBdr>
        </w:div>
        <w:div w:id="2048918382">
          <w:marLeft w:val="0"/>
          <w:marRight w:val="0"/>
          <w:marTop w:val="0"/>
          <w:marBottom w:val="0"/>
          <w:divBdr>
            <w:top w:val="none" w:sz="0" w:space="0" w:color="auto"/>
            <w:left w:val="none" w:sz="0" w:space="0" w:color="auto"/>
            <w:bottom w:val="none" w:sz="0" w:space="0" w:color="auto"/>
            <w:right w:val="none" w:sz="0" w:space="0" w:color="auto"/>
          </w:divBdr>
        </w:div>
        <w:div w:id="292096528">
          <w:marLeft w:val="0"/>
          <w:marRight w:val="0"/>
          <w:marTop w:val="0"/>
          <w:marBottom w:val="0"/>
          <w:divBdr>
            <w:top w:val="none" w:sz="0" w:space="0" w:color="auto"/>
            <w:left w:val="none" w:sz="0" w:space="0" w:color="auto"/>
            <w:bottom w:val="none" w:sz="0" w:space="0" w:color="auto"/>
            <w:right w:val="none" w:sz="0" w:space="0" w:color="auto"/>
          </w:divBdr>
        </w:div>
        <w:div w:id="318852869">
          <w:marLeft w:val="0"/>
          <w:marRight w:val="0"/>
          <w:marTop w:val="0"/>
          <w:marBottom w:val="0"/>
          <w:divBdr>
            <w:top w:val="none" w:sz="0" w:space="0" w:color="auto"/>
            <w:left w:val="none" w:sz="0" w:space="0" w:color="auto"/>
            <w:bottom w:val="none" w:sz="0" w:space="0" w:color="auto"/>
            <w:right w:val="none" w:sz="0" w:space="0" w:color="auto"/>
          </w:divBdr>
        </w:div>
        <w:div w:id="18354873">
          <w:marLeft w:val="0"/>
          <w:marRight w:val="0"/>
          <w:marTop w:val="0"/>
          <w:marBottom w:val="0"/>
          <w:divBdr>
            <w:top w:val="none" w:sz="0" w:space="0" w:color="auto"/>
            <w:left w:val="none" w:sz="0" w:space="0" w:color="auto"/>
            <w:bottom w:val="none" w:sz="0" w:space="0" w:color="auto"/>
            <w:right w:val="none" w:sz="0" w:space="0" w:color="auto"/>
          </w:divBdr>
        </w:div>
      </w:divsChild>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26535479">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58302301">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38462595">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eld.edu.mx/Revista-de-Investigaciones-Juridicas/RIJ-47/Capitulos/3.-LA-PRUEBA-DE-INTERES-PUBLICO-Y-LA-FALTA-DE-PONDERACION-EN-LA-INFORMACION-CONFIDENCIAL.pdf" TargetMode="External"/><Relationship Id="rId2" Type="http://schemas.openxmlformats.org/officeDocument/2006/relationships/hyperlink" Target="http://www.cegaipslp.org.mx/HV2020Tres.nsf/nombre_de_la_vista/7C42ECB368F78EF28625866B006135EE/$File/SLP+REGLAMENTO+INTERIOR+SGG+(14-MAR-2020).PDF" TargetMode="External"/><Relationship Id="rId1" Type="http://schemas.openxmlformats.org/officeDocument/2006/relationships/hyperlink" Target="javascript:void(0)" TargetMode="External"/><Relationship Id="rId5" Type="http://schemas.openxmlformats.org/officeDocument/2006/relationships/hyperlink" Target="https://www.corteidh.or.cr/docs/casos/articulos/seriec_107_esp.pdf" TargetMode="External"/><Relationship Id="rId4" Type="http://schemas.openxmlformats.org/officeDocument/2006/relationships/hyperlink" Target="https://www.eld.edu.mx/Revista-de-Investigaciones-Juridicas/RIJ-47/Capitulos/3.-LA-PRUEBA-DE-INTERES-PUBLICO-Y-LA-FALTA-DE-PONDERACION-EN-LA-INFORMACION-CONFIDENCI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2682B-0924-4078-968C-1184F3C6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3597</TotalTime>
  <Pages>52</Pages>
  <Words>16223</Words>
  <Characters>89229</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Marce Acosta</cp:lastModifiedBy>
  <cp:revision>288</cp:revision>
  <cp:lastPrinted>2026-05-07T20:15:00Z</cp:lastPrinted>
  <dcterms:created xsi:type="dcterms:W3CDTF">2025-09-04T15:15:00Z</dcterms:created>
  <dcterms:modified xsi:type="dcterms:W3CDTF">2026-06-30T17:44:00Z</dcterms:modified>
</cp:coreProperties>
</file>