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D75F00" w14:textId="7729D6F7" w:rsidR="00E40380" w:rsidRPr="00BD7E2F" w:rsidRDefault="00BD7E2F" w:rsidP="00BD7E2F">
      <w:pPr>
        <w:jc w:val="both"/>
      </w:pPr>
      <w:r w:rsidRPr="00BD7E2F">
        <w:rPr>
          <w:sz w:val="32"/>
          <w:szCs w:val="32"/>
        </w:rPr>
        <w:t xml:space="preserve">Este sujeto obligado si está facultado para generar la información requerida </w:t>
      </w:r>
      <w:r w:rsidRPr="00BD7E2F">
        <w:rPr>
          <w:sz w:val="32"/>
          <w:szCs w:val="32"/>
        </w:rPr>
        <w:t>según</w:t>
      </w:r>
      <w:r w:rsidRPr="00BD7E2F">
        <w:rPr>
          <w:sz w:val="32"/>
          <w:szCs w:val="32"/>
        </w:rPr>
        <w:t xml:space="preserve"> lo dispuesto en el Artículo 84 Fracción XIX, de la Ley de Transparencia y Acceso a la Información Pública del Estado de San Luis Potosí; sin embargo, no se genera Información por motivo de que no se llevan a cabo convocatorias para ocupar cargos </w:t>
      </w:r>
      <w:r w:rsidRPr="00BD7E2F">
        <w:rPr>
          <w:sz w:val="32"/>
          <w:szCs w:val="32"/>
        </w:rPr>
        <w:t>públicos</w:t>
      </w:r>
      <w:r w:rsidRPr="00BD7E2F">
        <w:rPr>
          <w:sz w:val="32"/>
          <w:szCs w:val="32"/>
        </w:rPr>
        <w:t xml:space="preserve"> con </w:t>
      </w:r>
      <w:r w:rsidRPr="00BD7E2F">
        <w:rPr>
          <w:sz w:val="32"/>
          <w:szCs w:val="32"/>
        </w:rPr>
        <w:t>fundamento</w:t>
      </w:r>
      <w:r w:rsidRPr="00BD7E2F">
        <w:rPr>
          <w:sz w:val="32"/>
          <w:szCs w:val="32"/>
        </w:rPr>
        <w:t xml:space="preserve"> en el reglamento interno del Sistema Municipal Para el Desarrollo Integral de la Familia </w:t>
      </w:r>
      <w:r w:rsidRPr="00BD7E2F">
        <w:rPr>
          <w:sz w:val="32"/>
          <w:szCs w:val="32"/>
        </w:rPr>
        <w:t>según</w:t>
      </w:r>
      <w:r w:rsidRPr="00BD7E2F">
        <w:rPr>
          <w:sz w:val="32"/>
          <w:szCs w:val="32"/>
        </w:rPr>
        <w:t xml:space="preserve"> lo dispuesto en el Articulo 14, </w:t>
      </w:r>
      <w:r w:rsidRPr="00BD7E2F">
        <w:rPr>
          <w:sz w:val="32"/>
          <w:szCs w:val="32"/>
        </w:rPr>
        <w:t>fracción</w:t>
      </w:r>
      <w:r w:rsidRPr="00BD7E2F">
        <w:rPr>
          <w:sz w:val="32"/>
          <w:szCs w:val="32"/>
        </w:rPr>
        <w:t xml:space="preserve"> VII, De Las Atribuciones del </w:t>
      </w:r>
      <w:r w:rsidRPr="00BD7E2F">
        <w:rPr>
          <w:sz w:val="32"/>
          <w:szCs w:val="32"/>
        </w:rPr>
        <w:t>Director</w:t>
      </w:r>
      <w:r w:rsidRPr="00BD7E2F">
        <w:rPr>
          <w:sz w:val="32"/>
          <w:szCs w:val="32"/>
        </w:rPr>
        <w:t xml:space="preserve"> General: VII. Nombrar y remover con lo establecido en la Ley de los Trabajadores al Servicio de las Instituciones Públicas de Gobierno del Estado a los empleados de base y confianza del organismo</w:t>
      </w:r>
      <w:r>
        <w:rPr>
          <w:sz w:val="32"/>
          <w:szCs w:val="32"/>
        </w:rPr>
        <w:t>.</w:t>
      </w:r>
    </w:p>
    <w:sectPr w:rsidR="00E40380" w:rsidRPr="00BD7E2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380"/>
    <w:rsid w:val="002920A8"/>
    <w:rsid w:val="0051561A"/>
    <w:rsid w:val="00667B54"/>
    <w:rsid w:val="00BD7E2F"/>
    <w:rsid w:val="00DC2525"/>
    <w:rsid w:val="00E40380"/>
    <w:rsid w:val="00F93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99310"/>
  <w15:chartTrackingRefBased/>
  <w15:docId w15:val="{1891413D-5382-419D-8EC2-A76C960F3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375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111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demian Alberto</dc:creator>
  <cp:keywords/>
  <dc:description/>
  <cp:lastModifiedBy>mony Vargas</cp:lastModifiedBy>
  <cp:revision>3</cp:revision>
  <dcterms:created xsi:type="dcterms:W3CDTF">2024-11-16T05:15:00Z</dcterms:created>
  <dcterms:modified xsi:type="dcterms:W3CDTF">2026-04-10T18:40:00Z</dcterms:modified>
</cp:coreProperties>
</file>