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C7" w:rsidRDefault="00120FC7" w:rsidP="00120FC7">
      <w:pPr>
        <w:rPr>
          <w:rFonts w:eastAsia="Times New Roman"/>
        </w:rPr>
      </w:pPr>
      <w:r>
        <w:rPr>
          <w:rFonts w:eastAsia="Times New Roman"/>
        </w:rPr>
        <w:t>NOTIFICO ACUERDO </w:t>
      </w:r>
      <w:r>
        <w:rPr>
          <w:rFonts w:eastAsia="Times New Roman"/>
          <w:b/>
          <w:spacing w:val="2"/>
          <w:lang w:val="es-ES"/>
        </w:rPr>
        <w:t>CEGAIP-23/</w:t>
      </w:r>
      <w:proofErr w:type="gramStart"/>
      <w:r>
        <w:rPr>
          <w:rFonts w:eastAsia="Times New Roman"/>
          <w:b/>
          <w:spacing w:val="2"/>
          <w:lang w:val="es-ES"/>
        </w:rPr>
        <w:t>2026.S.E.</w:t>
      </w:r>
      <w:proofErr w:type="gramEnd"/>
      <w:r>
        <w:rPr>
          <w:rFonts w:eastAsia="Times New Roman"/>
          <w:b/>
          <w:spacing w:val="2"/>
          <w:lang w:val="es-ES"/>
        </w:rPr>
        <w:t> </w:t>
      </w:r>
      <w:r>
        <w:rPr>
          <w:rFonts w:eastAsia="Times New Roman"/>
        </w:rPr>
        <w:t>APROBADO EN SESIÓN DE FECHA 27 DE MAYO DE 2026.</w:t>
      </w:r>
    </w:p>
    <w:p w:rsidR="00120FC7" w:rsidRDefault="00120FC7" w:rsidP="00120FC7">
      <w:pPr>
        <w:rPr>
          <w:rFonts w:eastAsia="Times New Roman"/>
        </w:rPr>
      </w:pPr>
    </w:p>
    <w:p w:rsidR="00120FC7" w:rsidRDefault="00120FC7" w:rsidP="00120FC7">
      <w:pPr>
        <w:pStyle w:val="v1msonormal"/>
        <w:tabs>
          <w:tab w:val="num" w:pos="426"/>
        </w:tabs>
        <w:spacing w:before="0" w:beforeAutospacing="0" w:after="0" w:afterAutospacing="0"/>
        <w:ind w:left="1070" w:hanging="360"/>
        <w:jc w:val="both"/>
      </w:pPr>
      <w:r>
        <w:rPr>
          <w:rFonts w:eastAsia="Arial"/>
          <w:b/>
          <w:sz w:val="14"/>
          <w:szCs w:val="14"/>
          <w:lang w:val="es-ES"/>
        </w:rPr>
        <w:t xml:space="preserve">    </w:t>
      </w:r>
      <w:r>
        <w:rPr>
          <w:rFonts w:ascii="Arial" w:hAnsi="Arial" w:cs="Arial"/>
        </w:rPr>
        <w:t>Se da cuenta con el memorándum UV-020/2026, de fecha 22 de mayo de 2026, signado por la Licenciada Fátima Adriana López Martínez, Jefa de la Unidad de Verificaciones de esta Comisión, a través del cual hace la siguiente propuesta al Pleno de la comisión (Anexo 01):</w:t>
      </w:r>
    </w:p>
    <w:p w:rsidR="00120FC7" w:rsidRDefault="00120FC7" w:rsidP="00120FC7">
      <w:pPr>
        <w:tabs>
          <w:tab w:val="left" w:pos="-1260"/>
        </w:tabs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t xml:space="preserve"> </w:t>
      </w:r>
      <w:r>
        <w:rPr>
          <w:i/>
          <w:sz w:val="22"/>
          <w:szCs w:val="22"/>
          <w:lang w:val="es-ES"/>
        </w:rPr>
        <w:t>“…Por medio de a presente y de conformidad con lo establecido en los artículos 98, 99, 100 y 101 que señalan la obligación de llevar a cabo las acciones de vigilancia sobre las obligaciones de transparencia, por tal motivo, hago de su conocimiento la propuesta, para su análisis y en su caso aprobación del plan de verificación 2026, mismo que contempla el inicio del procedimiento de verificación a los 59 municipios del Estado de San Luis Potosí, por las razones siguientes:</w:t>
      </w:r>
    </w:p>
    <w:p w:rsidR="00120FC7" w:rsidRDefault="00120FC7" w:rsidP="00120FC7">
      <w:pPr>
        <w:tabs>
          <w:tab w:val="left" w:pos="-1260"/>
        </w:tabs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tab/>
        <w:t>En primer lugar, porque los municipios son el primer contacto entre el gobierno y la ciudadanía ya que, en ellos se concentran trámites, servicios y decisiones de impacto inmediato (cabildo, licencias,</w:t>
      </w:r>
    </w:p>
    <w:p w:rsidR="00120FC7" w:rsidRDefault="00120FC7" w:rsidP="00120FC7">
      <w:pPr>
        <w:tabs>
          <w:tab w:val="left" w:pos="-1260"/>
        </w:tabs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t xml:space="preserve"> obra pública, programas, seguridad y servicios municipales). Por ello, la transparencia municipal es la más visible y la que mayor efecto tiene en la confianza pública.</w:t>
      </w:r>
    </w:p>
    <w:p w:rsidR="00120FC7" w:rsidRDefault="00120FC7" w:rsidP="00120FC7">
      <w:pPr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tab/>
        <w:t xml:space="preserve">En segundo lugar, porque las administraciones municipales del periodo 2024–2027 ya cuentan con más de un año de gestión, tiempo suficiente para que exista información generada y publicada de varios meses y la verificación serviría para valorar la calidad y actualización de la información publicada, lo que permitirá a los municipios encontrar áreas de oportunidad para el mejor funcionamiento de sus administraciones. </w:t>
      </w:r>
    </w:p>
    <w:p w:rsidR="00120FC7" w:rsidRDefault="00120FC7" w:rsidP="00120FC7">
      <w:pPr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tab/>
        <w:t>En tercer lugar, porque el impacto en la publicación de las obligaciones de transparencia en el ciudadano, es inmediato ya que la información municipal se utiliza para trámites, servicios y seguimiento de decisiones que afecta la esfera jurídica de los ciudadanos.</w:t>
      </w:r>
    </w:p>
    <w:p w:rsidR="00120FC7" w:rsidRDefault="00120FC7" w:rsidP="00120FC7">
      <w:pPr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tab/>
        <w:t xml:space="preserve">Adicionalmente realizar la verificación vinculante previene el rezago de información, ya que al señalarles a los municipios el cumplimiento cualitativo de la información que deben de publicar de manera mensual evitara a futuro la acumulación de omisiones y reducirá correcciones posteriores lo que a su vez representar una mejor rendición de cuentas, mayor visibilidad en materia de presupuesto, gasto, obra pública, contrataciones, nómina, beneficiarios de programas sociales; todo esto con fundamento en los artículos 6 y 115 de la Constitución Política de los Estados Unidos Mexicanos,  5 y 17 fracción III de la Constitución Política del Estado de San Luis Potosí, artículos 1, 3 y 6 de la Ley Orgánica del Municipio Libre del Estado de San Luis Potosí y artículos 1, 2 fracción II y V, 3 fracciones XII, XX, XXXV, 23 y 97, 98, 99, 100 y 101 de la Ley de Transparencia y Acceso a la Información Pública del Estado de San Luis Potosí. </w:t>
      </w:r>
    </w:p>
    <w:p w:rsidR="00120FC7" w:rsidRDefault="00120FC7" w:rsidP="00120FC7">
      <w:pPr>
        <w:spacing w:before="100" w:beforeAutospacing="1" w:after="100" w:afterAutospacing="1"/>
        <w:jc w:val="both"/>
      </w:pPr>
      <w:r>
        <w:rPr>
          <w:b/>
          <w:i/>
          <w:sz w:val="22"/>
          <w:szCs w:val="22"/>
          <w:lang w:val="es-ES"/>
        </w:rPr>
        <w:tab/>
      </w:r>
      <w:r>
        <w:rPr>
          <w:i/>
          <w:sz w:val="22"/>
          <w:szCs w:val="22"/>
          <w:lang w:val="es-ES"/>
        </w:rPr>
        <w:t>La propuesta operativa es realizar la verificación vinculante 2026 a los 59 municipios que integran el estado de San Luis Potosí, de los meses de febrero, marzo y abril del 2026 dos mil veintiséis.</w:t>
      </w:r>
    </w:p>
    <w:p w:rsidR="00120FC7" w:rsidRDefault="00120FC7" w:rsidP="00120FC7">
      <w:pPr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tab/>
        <w:t>Evaluando las obligaciones comunes establecidas en el artículo 84 así como las obligaciones específicas del artículo 85 fracción I y II.</w:t>
      </w:r>
    </w:p>
    <w:p w:rsidR="00120FC7" w:rsidRDefault="00120FC7" w:rsidP="00120FC7">
      <w:pPr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lastRenderedPageBreak/>
        <w:tab/>
        <w:t>Así como a los siguientes sujetos obligados que presentan un cumplimiento nulo en las obligaciones de transparencia que les corresponde publicar en la Plataforma Estatal de Transparencia siendo estos:</w:t>
      </w:r>
    </w:p>
    <w:p w:rsidR="00120FC7" w:rsidRDefault="00120FC7" w:rsidP="00120FC7">
      <w:pPr>
        <w:spacing w:before="100" w:beforeAutospacing="1" w:after="100" w:afterAutospacing="1"/>
        <w:jc w:val="both"/>
      </w:pPr>
      <w:r>
        <w:rPr>
          <w:i/>
          <w:sz w:val="22"/>
          <w:szCs w:val="22"/>
          <w:lang w:val="es-ES"/>
        </w:rPr>
        <w:t> </w:t>
      </w:r>
    </w:p>
    <w:p w:rsidR="00014D99" w:rsidRDefault="00120FC7">
      <w:bookmarkStart w:id="0" w:name="_GoBack"/>
      <w:bookmarkEnd w:id="0"/>
    </w:p>
    <w:sectPr w:rsidR="00014D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C7"/>
    <w:rsid w:val="00120FC7"/>
    <w:rsid w:val="001E02F2"/>
    <w:rsid w:val="00FE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BB4B1"/>
  <w15:chartTrackingRefBased/>
  <w15:docId w15:val="{A9366FEA-FF08-4E9A-9D28-E1BAA2C5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FC7"/>
    <w:pPr>
      <w:spacing w:after="0" w:line="240" w:lineRule="auto"/>
    </w:pPr>
    <w:rPr>
      <w:rFonts w:ascii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120F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2026-07-06T18:59:00Z</dcterms:created>
  <dcterms:modified xsi:type="dcterms:W3CDTF">2026-07-06T19:08:00Z</dcterms:modified>
</cp:coreProperties>
</file>