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92534" w14:textId="046FEF33" w:rsidR="00F558D6" w:rsidRDefault="00F558D6" w:rsidP="00F558D6">
      <w:pPr>
        <w:jc w:val="right"/>
        <w:rPr>
          <w:lang w:val="es-ES"/>
        </w:rPr>
      </w:pPr>
    </w:p>
    <w:p w14:paraId="078D4856" w14:textId="521CAF95" w:rsidR="000133D8" w:rsidRDefault="000133D8" w:rsidP="000133D8">
      <w:pPr>
        <w:rPr>
          <w:lang w:val="es-ES"/>
        </w:rPr>
      </w:pPr>
    </w:p>
    <w:p w14:paraId="2FCB1BE6" w14:textId="77777777" w:rsidR="006F2E6C" w:rsidRPr="006F2E6C" w:rsidRDefault="006F2E6C" w:rsidP="006F2E6C">
      <w:pPr>
        <w:spacing w:after="200" w:line="276" w:lineRule="auto"/>
        <w:jc w:val="center"/>
        <w:rPr>
          <w:rFonts w:ascii="Calibri" w:eastAsia="Times New Roman" w:hAnsi="Calibri" w:cs="Times New Roman"/>
          <w:sz w:val="48"/>
          <w:szCs w:val="48"/>
          <w:lang w:eastAsia="es-MX"/>
        </w:rPr>
      </w:pPr>
      <w:r w:rsidRPr="006F2E6C">
        <w:rPr>
          <w:rFonts w:ascii="Calibri" w:eastAsia="Times New Roman" w:hAnsi="Calibri" w:cs="Times New Roman"/>
          <w:sz w:val="48"/>
          <w:szCs w:val="48"/>
          <w:lang w:eastAsia="es-MX"/>
        </w:rPr>
        <w:t>NO SE GENERA</w:t>
      </w:r>
    </w:p>
    <w:p w14:paraId="1DFA0B6B" w14:textId="77777777" w:rsidR="006F2E6C" w:rsidRPr="006F2E6C" w:rsidRDefault="006F2E6C" w:rsidP="006F2E6C">
      <w:pPr>
        <w:spacing w:after="0" w:line="240" w:lineRule="auto"/>
        <w:jc w:val="both"/>
        <w:rPr>
          <w:rFonts w:ascii="Arial" w:eastAsia="Times New Roman" w:hAnsi="Arial" w:cs="Arial"/>
          <w:color w:val="000000"/>
          <w:sz w:val="24"/>
          <w:szCs w:val="24"/>
          <w:lang w:eastAsia="es-MX"/>
        </w:rPr>
      </w:pPr>
      <w:r w:rsidRPr="006F2E6C">
        <w:rPr>
          <w:rFonts w:ascii="Arial" w:eastAsia="Times New Roman" w:hAnsi="Arial" w:cs="Arial"/>
          <w:color w:val="000000"/>
          <w:sz w:val="24"/>
          <w:szCs w:val="24"/>
          <w:lang w:eastAsia="es-MX"/>
        </w:rPr>
        <w:t xml:space="preserve">                                                                                                            </w:t>
      </w:r>
    </w:p>
    <w:p w14:paraId="1C94B894" w14:textId="77777777" w:rsidR="006F2E6C" w:rsidRPr="006F2E6C" w:rsidRDefault="006F2E6C" w:rsidP="006F2E6C">
      <w:pPr>
        <w:spacing w:after="200" w:line="276" w:lineRule="auto"/>
        <w:jc w:val="both"/>
        <w:rPr>
          <w:rFonts w:ascii="Arial" w:eastAsia="Times New Roman" w:hAnsi="Arial" w:cs="Arial"/>
          <w:color w:val="000000"/>
          <w:sz w:val="24"/>
          <w:szCs w:val="24"/>
          <w:lang w:eastAsia="es-MX"/>
        </w:rPr>
      </w:pPr>
      <w:r w:rsidRPr="006F2E6C">
        <w:rPr>
          <w:rFonts w:ascii="Arial" w:eastAsia="Times New Roman" w:hAnsi="Arial" w:cs="Arial"/>
          <w:color w:val="000000"/>
          <w:sz w:val="24"/>
          <w:szCs w:val="24"/>
          <w:lang w:eastAsia="es-MX"/>
        </w:rPr>
        <w:t xml:space="preserve">En virtud de que los procedimientos de adquisición del mes a reportar se realizaron por adjudicación directa de conformidad con lo establecido en el artículo 23 de la Ley de Adquisiciones del Estado de San Luis Potosí y el Decreto Legislativo 0355 publicado en el Periódico Oficial del Estado el día 22 de Diciembre de 2025,  en el que se fijan los montos para las adquisiciones, arrendamientos y servicios en las instituciones del Estado de San Luis Potosí para el año 2026 los cuales fueron determinados por el Congreso del Estado, en el que se establece el monto máximo de operaciones que podrá adjudicarse directamente, que será por 1125 Unidades de Medida y actualización Vigente y en virtud de que la adjudicación del servicio fue por un monto menor al fijado para generar un proceso, por lo que la adjudicación realizada es Directa. </w:t>
      </w:r>
    </w:p>
    <w:p w14:paraId="1079BBCB" w14:textId="77777777" w:rsidR="006F2E6C" w:rsidRPr="006F2E6C" w:rsidRDefault="006F2E6C" w:rsidP="006F2E6C">
      <w:pPr>
        <w:spacing w:after="200" w:line="276" w:lineRule="auto"/>
        <w:jc w:val="both"/>
        <w:rPr>
          <w:rFonts w:ascii="Arial" w:eastAsia="Times New Roman" w:hAnsi="Arial" w:cs="Arial"/>
          <w:color w:val="000000"/>
          <w:sz w:val="24"/>
          <w:szCs w:val="24"/>
          <w:lang w:eastAsia="es-MX"/>
        </w:rPr>
      </w:pPr>
      <w:r w:rsidRPr="006F2E6C">
        <w:rPr>
          <w:rFonts w:ascii="Arial" w:eastAsia="Times New Roman" w:hAnsi="Arial" w:cs="Arial"/>
          <w:color w:val="000000"/>
          <w:sz w:val="24"/>
          <w:szCs w:val="24"/>
          <w:lang w:eastAsia="es-MX"/>
        </w:rPr>
        <w:t xml:space="preserve">Motivo por el cual resulta innecesario agregar información a reportar en el mes que se presenta, sin embargo, en virtud de que el sistema no permite dejar los criterios </w:t>
      </w:r>
      <w:bookmarkStart w:id="0" w:name="_GoBack"/>
      <w:r w:rsidRPr="006F2E6C">
        <w:rPr>
          <w:rFonts w:ascii="Arial" w:eastAsia="Times New Roman" w:hAnsi="Arial" w:cs="Arial"/>
          <w:color w:val="000000"/>
          <w:sz w:val="24"/>
          <w:szCs w:val="24"/>
          <w:lang w:eastAsia="es-MX"/>
        </w:rPr>
        <w:t>en blanco se agrega la información como a continuación se describe:</w:t>
      </w:r>
    </w:p>
    <w:bookmarkEnd w:id="0"/>
    <w:p w14:paraId="29260CCD" w14:textId="565A417D" w:rsidR="006F2E6C" w:rsidRPr="006F2E6C" w:rsidRDefault="006F2E6C" w:rsidP="006F2E6C">
      <w:pPr>
        <w:spacing w:after="200" w:line="276" w:lineRule="auto"/>
        <w:jc w:val="both"/>
        <w:rPr>
          <w:rFonts w:ascii="Arial" w:eastAsia="Times New Roman" w:hAnsi="Arial" w:cs="Arial"/>
          <w:color w:val="000000"/>
          <w:sz w:val="24"/>
          <w:szCs w:val="24"/>
          <w:lang w:eastAsia="es-MX"/>
        </w:rPr>
      </w:pPr>
      <w:r w:rsidRPr="006F2E6C">
        <w:rPr>
          <w:rFonts w:ascii="Arial" w:eastAsia="Times New Roman" w:hAnsi="Arial" w:cs="Arial"/>
          <w:color w:val="000000"/>
          <w:sz w:val="24"/>
          <w:szCs w:val="24"/>
          <w:lang w:eastAsia="es-MX"/>
        </w:rPr>
        <w:t xml:space="preserve">Se inserta la leyenda de “No se genera”  en las columnas G, I, N, W, X, Y, AA, AC, AE, AI, AK, AM ,AQ ,AR, AS, AU, AV, AW, AX, BG, BI, BJ, BR, BS, BT, BU, BW, CA y se insertan fechas en la columnas M, P, AZ, BA, BB, BL, BM para evitar dejar las celdas en blanco.  </w:t>
      </w:r>
    </w:p>
    <w:p w14:paraId="33C5D4D6" w14:textId="77777777" w:rsidR="006F2E6C" w:rsidRPr="006F2E6C" w:rsidRDefault="006F2E6C" w:rsidP="006F2E6C">
      <w:pPr>
        <w:spacing w:after="200" w:line="276" w:lineRule="auto"/>
        <w:jc w:val="both"/>
        <w:rPr>
          <w:rFonts w:ascii="Arial" w:eastAsia="Times New Roman" w:hAnsi="Arial" w:cs="Arial"/>
          <w:b/>
          <w:sz w:val="24"/>
          <w:szCs w:val="24"/>
          <w:lang w:eastAsia="es-MX"/>
        </w:rPr>
      </w:pPr>
      <w:r w:rsidRPr="006F2E6C">
        <w:rPr>
          <w:rFonts w:ascii="Arial" w:eastAsia="Times New Roman" w:hAnsi="Arial" w:cs="Arial"/>
          <w:color w:val="000000"/>
          <w:sz w:val="24"/>
          <w:szCs w:val="24"/>
          <w:lang w:eastAsia="es-MX"/>
        </w:rPr>
        <w:t>En las columnas de Hipervínculo J, L, S, T, U, V, BN, BO, BV, CB, CC, CD, CE, CF Se agrega un hipervínculo que redirección al documento de la fundamentación correspondiente del porque no se agregan los documentos solicitados.</w:t>
      </w:r>
    </w:p>
    <w:p w14:paraId="4782F0B4" w14:textId="77777777" w:rsidR="006F2E6C" w:rsidRPr="006F2E6C" w:rsidRDefault="006F2E6C" w:rsidP="006F2E6C">
      <w:pPr>
        <w:spacing w:after="200" w:line="276" w:lineRule="auto"/>
        <w:jc w:val="center"/>
        <w:rPr>
          <w:rFonts w:ascii="Arial" w:eastAsia="Times New Roman" w:hAnsi="Arial" w:cs="Arial"/>
          <w:b/>
          <w:lang w:eastAsia="es-MX"/>
        </w:rPr>
      </w:pPr>
    </w:p>
    <w:p w14:paraId="3188C4A4" w14:textId="77777777" w:rsidR="000133D8" w:rsidRDefault="000133D8" w:rsidP="00F558D6">
      <w:pPr>
        <w:jc w:val="right"/>
        <w:rPr>
          <w:lang w:val="es-ES"/>
        </w:rPr>
      </w:pPr>
    </w:p>
    <w:sectPr w:rsidR="000133D8">
      <w:headerReference w:type="even" r:id="rId6"/>
      <w:headerReference w:type="default" r:id="rId7"/>
      <w:headerReference w:type="firs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E406A" w14:textId="77777777" w:rsidR="00082FEE" w:rsidRDefault="00082FEE" w:rsidP="009255FB">
      <w:pPr>
        <w:spacing w:after="0" w:line="240" w:lineRule="auto"/>
      </w:pPr>
      <w:r>
        <w:separator/>
      </w:r>
    </w:p>
  </w:endnote>
  <w:endnote w:type="continuationSeparator" w:id="0">
    <w:p w14:paraId="438AFC99" w14:textId="77777777" w:rsidR="00082FEE" w:rsidRDefault="00082FEE" w:rsidP="00925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2692E" w14:textId="77777777" w:rsidR="00082FEE" w:rsidRDefault="00082FEE" w:rsidP="009255FB">
      <w:pPr>
        <w:spacing w:after="0" w:line="240" w:lineRule="auto"/>
      </w:pPr>
      <w:r>
        <w:separator/>
      </w:r>
    </w:p>
  </w:footnote>
  <w:footnote w:type="continuationSeparator" w:id="0">
    <w:p w14:paraId="7EECCE79" w14:textId="77777777" w:rsidR="00082FEE" w:rsidRDefault="00082FEE" w:rsidP="00925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9FCD3" w14:textId="28995E79" w:rsidR="009255FB" w:rsidRDefault="00082FEE">
    <w:pPr>
      <w:pStyle w:val="Encabezado"/>
    </w:pPr>
    <w:r>
      <w:rPr>
        <w:noProof/>
      </w:rPr>
      <w:pict w14:anchorId="1ECA0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7164704" o:spid="_x0000_s2074" type="#_x0000_t75" style="position:absolute;margin-left:0;margin-top:0;width:621.45pt;height:804.25pt;z-index:-251657216;mso-position-horizontal:center;mso-position-horizontal-relative:margin;mso-position-vertical:center;mso-position-vertical-relative:margin" o:allowincell="f">
          <v:imagedata r:id="rId1" o:title="“2026, Año del Bicentenario de la Promulgación de la Constitución Política del Estado Libre y Soberano de San Luis Potosí”"/>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7EF76" w14:textId="46EA958C" w:rsidR="009255FB" w:rsidRDefault="00082FEE">
    <w:pPr>
      <w:pStyle w:val="Encabezado"/>
    </w:pPr>
    <w:r>
      <w:rPr>
        <w:noProof/>
      </w:rPr>
      <w:pict w14:anchorId="3077EE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7164705" o:spid="_x0000_s2075" type="#_x0000_t75" style="position:absolute;margin-left:-97.45pt;margin-top:-83.75pt;width:621.45pt;height:804.25pt;z-index:-251656192;mso-position-horizontal-relative:margin;mso-position-vertical-relative:margin" o:allowincell="f">
          <v:imagedata r:id="rId1" o:title="“2026, Año del Bicentenario de la Promulgación de la Constitución Política del Estado Libre y Soberano de San Luis Potosí”"/>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08C83" w14:textId="2E674F77" w:rsidR="009255FB" w:rsidRDefault="00082FEE">
    <w:pPr>
      <w:pStyle w:val="Encabezado"/>
    </w:pPr>
    <w:r>
      <w:rPr>
        <w:noProof/>
      </w:rPr>
      <w:pict w14:anchorId="4C6061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7164703" o:spid="_x0000_s2073" type="#_x0000_t75" style="position:absolute;margin-left:0;margin-top:0;width:621.45pt;height:804.25pt;z-index:-251658240;mso-position-horizontal:center;mso-position-horizontal-relative:margin;mso-position-vertical:center;mso-position-vertical-relative:margin" o:allowincell="f">
          <v:imagedata r:id="rId1" o:title="“2026, Año del Bicentenario de la Promulgación de la Constitución Política del Estado Libre y Soberano de San Luis Potosí”"/>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08"/>
  <w:hyphenationZone w:val="425"/>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5FB"/>
    <w:rsid w:val="000133D8"/>
    <w:rsid w:val="00067476"/>
    <w:rsid w:val="00082FEE"/>
    <w:rsid w:val="00326E1A"/>
    <w:rsid w:val="005329E0"/>
    <w:rsid w:val="005A380D"/>
    <w:rsid w:val="005D0B8B"/>
    <w:rsid w:val="00654AFB"/>
    <w:rsid w:val="006A0557"/>
    <w:rsid w:val="006F2E6C"/>
    <w:rsid w:val="007A747B"/>
    <w:rsid w:val="008658B7"/>
    <w:rsid w:val="009255FB"/>
    <w:rsid w:val="00943610"/>
    <w:rsid w:val="009D25BC"/>
    <w:rsid w:val="00A175AA"/>
    <w:rsid w:val="00B628BD"/>
    <w:rsid w:val="00B815D6"/>
    <w:rsid w:val="00BE1CA5"/>
    <w:rsid w:val="00C4364D"/>
    <w:rsid w:val="00C5030F"/>
    <w:rsid w:val="00D11900"/>
    <w:rsid w:val="00E42D07"/>
    <w:rsid w:val="00E7205B"/>
    <w:rsid w:val="00F558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4FF913BC"/>
  <w15:chartTrackingRefBased/>
  <w15:docId w15:val="{B1245188-1FB1-40FD-A43B-B6C8AA7E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55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255FB"/>
  </w:style>
  <w:style w:type="paragraph" w:styleId="Piedepgina">
    <w:name w:val="footer"/>
    <w:basedOn w:val="Normal"/>
    <w:link w:val="PiedepginaCar"/>
    <w:uiPriority w:val="99"/>
    <w:unhideWhenUsed/>
    <w:rsid w:val="009255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5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60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1435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Almendárez</dc:creator>
  <cp:keywords/>
  <dc:description/>
  <cp:lastModifiedBy>JefaturaRecMat UTSLP</cp:lastModifiedBy>
  <cp:revision>3</cp:revision>
  <cp:lastPrinted>2026-05-18T16:25:00Z</cp:lastPrinted>
  <dcterms:created xsi:type="dcterms:W3CDTF">2026-07-07T22:15:00Z</dcterms:created>
  <dcterms:modified xsi:type="dcterms:W3CDTF">2026-07-08T21:29:00Z</dcterms:modified>
</cp:coreProperties>
</file>