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5475F3" w:rsidRPr="005475F3" w14:paraId="506927C9"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53441E" w14:textId="77777777" w:rsidR="00137098" w:rsidRPr="005475F3" w:rsidRDefault="00137098" w:rsidP="00137098">
            <w:pPr>
              <w:spacing w:line="360" w:lineRule="auto"/>
              <w:ind w:left="-108"/>
              <w:jc w:val="both"/>
              <w:rPr>
                <w:rFonts w:ascii="Arial" w:hAnsi="Arial" w:cs="Arial"/>
                <w:sz w:val="24"/>
                <w:szCs w:val="24"/>
                <w:lang w:eastAsia="es-ES"/>
              </w:rPr>
            </w:pPr>
            <w:bookmarkStart w:id="0" w:name="_Hlk520393671"/>
            <w:r w:rsidRPr="005475F3">
              <w:rPr>
                <w:rFonts w:ascii="Arial" w:hAnsi="Arial" w:cs="Arial"/>
                <w:b/>
                <w:sz w:val="24"/>
                <w:szCs w:val="24"/>
                <w:lang w:eastAsia="es-ES"/>
              </w:rPr>
              <w:t xml:space="preserve">RECURSO DE REVISIÓN: </w:t>
            </w:r>
            <w:r w:rsidRPr="005475F3">
              <w:rPr>
                <w:rFonts w:ascii="Arial" w:hAnsi="Arial" w:cs="Arial"/>
                <w:sz w:val="24"/>
                <w:szCs w:val="24"/>
                <w:lang w:eastAsia="es-ES"/>
              </w:rPr>
              <w:t>RR-006/2026-3</w:t>
            </w:r>
          </w:p>
        </w:tc>
      </w:tr>
      <w:tr w:rsidR="005475F3" w:rsidRPr="005475F3" w14:paraId="3A0568CC"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2831A5" w14:textId="77777777" w:rsidR="00137098" w:rsidRPr="005475F3" w:rsidRDefault="00137098" w:rsidP="00137098">
            <w:pPr>
              <w:spacing w:line="360" w:lineRule="auto"/>
              <w:ind w:left="-108"/>
              <w:jc w:val="both"/>
              <w:rPr>
                <w:rFonts w:ascii="Arial" w:hAnsi="Arial" w:cs="Arial"/>
                <w:b/>
                <w:sz w:val="24"/>
                <w:szCs w:val="24"/>
                <w:lang w:eastAsia="es-ES"/>
              </w:rPr>
            </w:pPr>
            <w:r w:rsidRPr="005475F3">
              <w:rPr>
                <w:rFonts w:ascii="Arial" w:hAnsi="Arial" w:cs="Arial"/>
                <w:b/>
                <w:sz w:val="24"/>
                <w:szCs w:val="24"/>
                <w:lang w:eastAsia="es-ES"/>
              </w:rPr>
              <w:t xml:space="preserve">SUJETO OBLIGADO: </w:t>
            </w:r>
            <w:r w:rsidRPr="005475F3">
              <w:rPr>
                <w:rFonts w:ascii="Arial" w:hAnsi="Arial" w:cs="Arial"/>
                <w:sz w:val="24"/>
                <w:szCs w:val="24"/>
                <w:lang w:eastAsia="es-ES"/>
              </w:rPr>
              <w:t>FISCALÍA GENERAL DEL ESTADO</w:t>
            </w:r>
            <w:r w:rsidRPr="005475F3">
              <w:rPr>
                <w:rFonts w:ascii="Arial" w:eastAsia="Arial Unicode MS" w:hAnsi="Arial" w:cs="Arial"/>
                <w:sz w:val="24"/>
                <w:szCs w:val="24"/>
                <w:lang w:eastAsia="es-ES"/>
              </w:rPr>
              <w:t>.</w:t>
            </w:r>
          </w:p>
        </w:tc>
      </w:tr>
      <w:tr w:rsidR="00137098" w:rsidRPr="005475F3" w14:paraId="112D33F3"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923CA3" w14:textId="77777777" w:rsidR="00137098" w:rsidRPr="005475F3" w:rsidRDefault="00137098" w:rsidP="00137098">
            <w:pPr>
              <w:spacing w:line="360" w:lineRule="auto"/>
              <w:ind w:left="-108"/>
              <w:jc w:val="both"/>
              <w:rPr>
                <w:rFonts w:ascii="Arial" w:hAnsi="Arial" w:cs="Arial"/>
                <w:sz w:val="24"/>
                <w:szCs w:val="24"/>
                <w:lang w:eastAsia="es-ES"/>
              </w:rPr>
            </w:pPr>
            <w:r w:rsidRPr="005475F3">
              <w:rPr>
                <w:rFonts w:ascii="Arial" w:hAnsi="Arial" w:cs="Arial"/>
                <w:b/>
                <w:sz w:val="24"/>
                <w:szCs w:val="24"/>
                <w:lang w:eastAsia="es-ES"/>
              </w:rPr>
              <w:t xml:space="preserve">COMISIONADO PONENTE: </w:t>
            </w:r>
            <w:r w:rsidRPr="005475F3">
              <w:rPr>
                <w:rFonts w:ascii="Arial" w:hAnsi="Arial" w:cs="Arial"/>
                <w:sz w:val="24"/>
                <w:szCs w:val="24"/>
                <w:lang w:eastAsia="es-ES"/>
              </w:rPr>
              <w:t>ANA CRISTINA GARCÍA NALES.</w:t>
            </w:r>
          </w:p>
        </w:tc>
      </w:tr>
    </w:tbl>
    <w:p w14:paraId="0E2EB923" w14:textId="77777777" w:rsidR="00137098" w:rsidRPr="005475F3" w:rsidRDefault="00137098" w:rsidP="00137098">
      <w:pPr>
        <w:spacing w:after="0" w:line="360" w:lineRule="auto"/>
        <w:jc w:val="both"/>
        <w:rPr>
          <w:rFonts w:ascii="Arial" w:eastAsia="Times New Roman" w:hAnsi="Arial" w:cs="Arial"/>
          <w:b/>
          <w:sz w:val="24"/>
          <w:szCs w:val="24"/>
          <w:lang w:eastAsia="es-ES"/>
        </w:rPr>
      </w:pPr>
    </w:p>
    <w:p w14:paraId="31812E9C" w14:textId="77777777" w:rsidR="00137098" w:rsidRPr="005475F3" w:rsidRDefault="00137098" w:rsidP="00137098">
      <w:pPr>
        <w:spacing w:after="0" w:line="360" w:lineRule="auto"/>
        <w:ind w:firstLine="708"/>
        <w:jc w:val="both"/>
        <w:rPr>
          <w:rFonts w:ascii="Arial" w:eastAsia="Arial Unicode MS" w:hAnsi="Arial" w:cs="Arial"/>
          <w:sz w:val="24"/>
          <w:szCs w:val="24"/>
          <w:lang w:eastAsia="es-ES"/>
        </w:rPr>
      </w:pPr>
    </w:p>
    <w:p w14:paraId="43E5E7AB" w14:textId="77777777" w:rsidR="00137098" w:rsidRPr="005475F3" w:rsidRDefault="00137098" w:rsidP="00137098">
      <w:pPr>
        <w:spacing w:after="0" w:line="360" w:lineRule="auto"/>
        <w:ind w:firstLine="708"/>
        <w:jc w:val="both"/>
        <w:rPr>
          <w:rFonts w:ascii="Arial" w:eastAsia="BatangChe" w:hAnsi="Arial" w:cs="Arial"/>
          <w:sz w:val="24"/>
          <w:szCs w:val="24"/>
          <w:lang w:eastAsia="es-ES"/>
        </w:rPr>
      </w:pPr>
      <w:r w:rsidRPr="005475F3">
        <w:rPr>
          <w:rFonts w:ascii="Arial" w:eastAsia="Arial Unicode MS" w:hAnsi="Arial" w:cs="Arial"/>
          <w:sz w:val="24"/>
          <w:szCs w:val="24"/>
          <w:lang w:eastAsia="es-ES"/>
        </w:rPr>
        <w:t xml:space="preserve">San Luis Potosí, San Luis Potosí, </w:t>
      </w:r>
      <w:r w:rsidRPr="005475F3">
        <w:rPr>
          <w:rFonts w:ascii="Arial" w:eastAsia="BatangChe" w:hAnsi="Arial" w:cs="Arial"/>
          <w:sz w:val="24"/>
          <w:szCs w:val="24"/>
          <w:lang w:eastAsia="es-ES"/>
        </w:rPr>
        <w:t xml:space="preserve">Sesión Ordinaria del Pleno de la Comisión Estatal de Garantía de Acceso a la Información Pública, de cinco de febrero de dos mil veintiséis. </w:t>
      </w:r>
    </w:p>
    <w:p w14:paraId="65F57285" w14:textId="77777777" w:rsidR="00137098" w:rsidRPr="005475F3" w:rsidRDefault="00137098" w:rsidP="00137098">
      <w:pPr>
        <w:spacing w:after="0" w:line="360" w:lineRule="auto"/>
        <w:jc w:val="both"/>
        <w:rPr>
          <w:rFonts w:ascii="Arial" w:eastAsia="Arial Unicode MS" w:hAnsi="Arial" w:cs="Arial"/>
          <w:sz w:val="24"/>
          <w:szCs w:val="24"/>
          <w:lang w:eastAsia="es-ES"/>
        </w:rPr>
      </w:pPr>
    </w:p>
    <w:p w14:paraId="14374BA2"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bCs/>
          <w:sz w:val="24"/>
          <w:szCs w:val="24"/>
          <w:lang w:eastAsia="es-ES"/>
        </w:rPr>
        <w:t>VISTOS</w:t>
      </w:r>
      <w:r w:rsidRPr="005475F3">
        <w:rPr>
          <w:rFonts w:ascii="Arial" w:eastAsia="Arial Unicode MS" w:hAnsi="Arial" w:cs="Arial"/>
          <w:sz w:val="24"/>
          <w:szCs w:val="24"/>
          <w:lang w:eastAsia="es-ES"/>
        </w:rPr>
        <w:t>, para resolver los autos que conforman el expediente citado al rubro;</w:t>
      </w:r>
      <w:r w:rsidRPr="005475F3">
        <w:rPr>
          <w:rFonts w:ascii="Arial" w:eastAsia="Arial Unicode MS" w:hAnsi="Arial" w:cs="Arial"/>
          <w:b/>
          <w:sz w:val="24"/>
          <w:szCs w:val="24"/>
          <w:lang w:eastAsia="es-ES"/>
        </w:rPr>
        <w:t xml:space="preserve"> </w:t>
      </w:r>
      <w:r w:rsidRPr="005475F3">
        <w:rPr>
          <w:rFonts w:ascii="Arial" w:eastAsia="Arial Unicode MS" w:hAnsi="Arial" w:cs="Arial"/>
          <w:sz w:val="24"/>
          <w:szCs w:val="24"/>
          <w:lang w:eastAsia="es-ES"/>
        </w:rPr>
        <w:t>y</w:t>
      </w:r>
      <w:r w:rsidRPr="005475F3">
        <w:rPr>
          <w:rFonts w:ascii="Arial" w:eastAsia="Arial Unicode MS" w:hAnsi="Arial" w:cs="Arial"/>
          <w:b/>
          <w:sz w:val="24"/>
          <w:szCs w:val="24"/>
          <w:lang w:eastAsia="es-ES"/>
        </w:rPr>
        <w:t xml:space="preserve">  </w:t>
      </w:r>
    </w:p>
    <w:p w14:paraId="285D4E3C"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p>
    <w:p w14:paraId="1E8F191C"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r w:rsidRPr="005475F3">
        <w:rPr>
          <w:rFonts w:ascii="Arial" w:eastAsia="Arial Unicode MS" w:hAnsi="Arial" w:cs="Arial"/>
          <w:b/>
          <w:sz w:val="24"/>
          <w:szCs w:val="24"/>
          <w:lang w:val="pt-BR" w:eastAsia="es-ES"/>
        </w:rPr>
        <w:t>R E S U L T A N D O:</w:t>
      </w:r>
    </w:p>
    <w:p w14:paraId="72C2FB52"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p>
    <w:p w14:paraId="3D3062D0" w14:textId="77777777" w:rsidR="00137098" w:rsidRPr="005475F3" w:rsidRDefault="00137098" w:rsidP="00137098">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PRIMERO.</w:t>
      </w: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Solicitud de acceso a la información pública.</w:t>
      </w:r>
      <w:r w:rsidRPr="005475F3">
        <w:rPr>
          <w:rFonts w:ascii="Arial" w:eastAsia="Arial Unicode MS" w:hAnsi="Arial" w:cs="Arial"/>
          <w:sz w:val="24"/>
          <w:szCs w:val="24"/>
          <w:lang w:eastAsia="es-ES"/>
        </w:rPr>
        <w:t xml:space="preserve"> El veinte de noviembre de dos mil veinticinco, la persona recurrente presentó una solicitud de acceso a la información, ante la </w:t>
      </w:r>
      <w:r w:rsidRPr="005475F3">
        <w:rPr>
          <w:rFonts w:ascii="Arial" w:eastAsia="Arial Unicode MS" w:hAnsi="Arial" w:cs="Arial"/>
          <w:b/>
          <w:sz w:val="24"/>
          <w:szCs w:val="24"/>
          <w:lang w:eastAsia="es-ES"/>
        </w:rPr>
        <w:t>Fiscalía General del Estado</w:t>
      </w:r>
      <w:r w:rsidRPr="005475F3">
        <w:rPr>
          <w:rFonts w:ascii="Arial" w:eastAsia="Arial Unicode MS" w:hAnsi="Arial" w:cs="Arial"/>
          <w:sz w:val="24"/>
          <w:szCs w:val="24"/>
          <w:lang w:eastAsia="es-ES"/>
        </w:rPr>
        <w:t xml:space="preserve">, en la que se requirió: </w:t>
      </w:r>
    </w:p>
    <w:p w14:paraId="044BA04E" w14:textId="77777777" w:rsidR="00137098" w:rsidRPr="005475F3" w:rsidRDefault="00137098" w:rsidP="00137098">
      <w:pPr>
        <w:spacing w:after="0" w:line="360" w:lineRule="auto"/>
        <w:ind w:firstLine="709"/>
        <w:jc w:val="both"/>
        <w:rPr>
          <w:rFonts w:ascii="Arial" w:eastAsia="Arial Unicode MS" w:hAnsi="Arial" w:cs="Arial"/>
          <w:sz w:val="24"/>
          <w:szCs w:val="24"/>
          <w:lang w:eastAsia="es-ES"/>
        </w:rPr>
      </w:pPr>
    </w:p>
    <w:p w14:paraId="64518289" w14:textId="77777777" w:rsidR="00137098" w:rsidRPr="005475F3" w:rsidRDefault="00137098" w:rsidP="00137098">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 xml:space="preserve">“1.-Quiero saber el estatus de la averiguación previa o carpeta de investigación, que inició la Fiscalía de Justicia del Estado tras el asesinato de la madre buscadora Aida Karina Juárez Jacobo, quien fue reportada desaparecida en Zacatecas desde el 26 de agosto y apareció muerta en Villa de Ramos, San Luis Potosí el 28 de agosto de 2025 . La Fiscalía de ese estado dijo que estaba en coordinación con las autoridades de Zacatecas, para avanzar en la investigación.. </w:t>
      </w:r>
    </w:p>
    <w:p w14:paraId="2609B66F" w14:textId="77777777" w:rsidR="00137098" w:rsidRPr="005475F3" w:rsidRDefault="00137098" w:rsidP="00137098">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 xml:space="preserve">2.-Quiero saber si la fiscalía de San Luis Potosí inició una carpeta de investigación por este caso y el estatus del mismo, así como el delito o delitos que se investigaron. </w:t>
      </w:r>
    </w:p>
    <w:p w14:paraId="5DA8930B" w14:textId="77777777" w:rsidR="00137098" w:rsidRPr="005475F3" w:rsidRDefault="00137098" w:rsidP="00137098">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 xml:space="preserve">3.-También quiero saber si el expediente de la investigación fue determinado, informando en qué fecha fue determinado y especificando qué tipo de determinación tuvo el expediente. </w:t>
      </w:r>
    </w:p>
    <w:p w14:paraId="271DFB38" w14:textId="77777777" w:rsidR="00137098" w:rsidRPr="005475F3" w:rsidRDefault="00137098" w:rsidP="00137098">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 xml:space="preserve">4.-También solicito saber cuántas personas han sido detenidas desde el asesinato y hasta la fecha, relacionadas a la investigación. </w:t>
      </w:r>
    </w:p>
    <w:p w14:paraId="443B4E3D" w14:textId="77777777" w:rsidR="00137098" w:rsidRPr="005475F3" w:rsidRDefault="00137098" w:rsidP="00137098">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 xml:space="preserve">5.-También me gustaría que me informara si esa fiscalía logró alguna sentencia ante el poder judicial, informando en qué consistió la sentencia. Es importante destacar que este caso fue de gran interés público, como consta en diversas notas periodísticas debido a que la víctima era una madre </w:t>
      </w:r>
      <w:r w:rsidRPr="005475F3">
        <w:rPr>
          <w:rFonts w:ascii="Arial" w:eastAsia="Arial Unicode MS" w:hAnsi="Arial" w:cs="Arial"/>
          <w:lang w:eastAsia="es-ES"/>
        </w:rPr>
        <w:lastRenderedPageBreak/>
        <w:t>buscadorahttps://elpais.com/mexico/2025-08-29/asesinada-la-madre-buscadora-aida-karina-juarez-jacobo-tras-ser-secuestrada-en-zacatecas.html https://articulo19.org/asesinan-a-madre-buscadora-aida-karina-juarez-jacobo/ https://centroprodh.org.mx/sididh4_0/2025/08/29/condenan-el-asesinato-de-la-madre-buscadora-aida-karina-juarez-jacobo/ https://es-us.noticias.yahoo.com/onu-condena-asesinato-buscadora-aida-155718638.html?guccounter=1&amp;guce_referrer=aHR0cHM6Ly93d3cuZ29vZ2xlLmNvbS8&amp;guce_referrer_sig=AQAAACA_BeYizcuW50NXu7R9sixfJBMwT_m6Vkkc7P77lCJLOyJLdUH2FyDFZs6NlyZDm3D6ZGy-o6uA4lRfWhiBmkmnh1q3agJNT1yeTnKlklMgWcz_kMJL0hdOHv_kKN3QjpZGWoaIBND844XwXEQSlgxyq6u18359iHoiOZORqPxf”.</w:t>
      </w:r>
    </w:p>
    <w:p w14:paraId="267D8F64" w14:textId="77777777" w:rsidR="00137098" w:rsidRPr="005475F3" w:rsidRDefault="00137098" w:rsidP="00137098">
      <w:pPr>
        <w:spacing w:after="0" w:line="360" w:lineRule="auto"/>
        <w:ind w:firstLine="709"/>
        <w:jc w:val="both"/>
        <w:rPr>
          <w:rFonts w:ascii="Arial" w:eastAsia="Arial Unicode MS" w:hAnsi="Arial" w:cs="Arial"/>
          <w:b/>
          <w:sz w:val="24"/>
          <w:szCs w:val="24"/>
          <w:lang w:eastAsia="es-ES"/>
        </w:rPr>
      </w:pPr>
    </w:p>
    <w:p w14:paraId="5926033F" w14:textId="3664CF4C" w:rsidR="003D02B7" w:rsidRPr="005475F3" w:rsidRDefault="0093057A" w:rsidP="00137098">
      <w:pPr>
        <w:spacing w:after="0" w:line="360" w:lineRule="auto"/>
        <w:ind w:firstLine="709"/>
        <w:jc w:val="both"/>
        <w:rPr>
          <w:rFonts w:ascii="Arial" w:eastAsia="Arial Unicode MS" w:hAnsi="Arial" w:cs="Arial"/>
          <w:lang w:eastAsia="es-ES"/>
        </w:rPr>
      </w:pPr>
      <w:r w:rsidRPr="005475F3">
        <w:rPr>
          <w:rFonts w:ascii="Arial" w:eastAsia="Arial Unicode MS" w:hAnsi="Arial" w:cs="Arial"/>
          <w:b/>
          <w:sz w:val="24"/>
          <w:szCs w:val="24"/>
          <w:lang w:eastAsia="es-ES"/>
        </w:rPr>
        <w:t xml:space="preserve">SEGUNDO. Respuesta a la solicitud de acceso a la información pública. </w:t>
      </w:r>
      <w:r w:rsidRPr="005475F3">
        <w:rPr>
          <w:rFonts w:ascii="Arial" w:eastAsia="Arial Unicode MS" w:hAnsi="Arial" w:cs="Arial"/>
          <w:sz w:val="24"/>
          <w:szCs w:val="24"/>
          <w:lang w:eastAsia="es-ES"/>
        </w:rPr>
        <w:t xml:space="preserve">El </w:t>
      </w:r>
      <w:r w:rsidR="00137098" w:rsidRPr="005475F3">
        <w:rPr>
          <w:rFonts w:ascii="Arial" w:eastAsia="Arial Unicode MS" w:hAnsi="Arial" w:cs="Arial"/>
          <w:sz w:val="24"/>
          <w:szCs w:val="24"/>
          <w:lang w:eastAsia="es-ES"/>
        </w:rPr>
        <w:t>dos de diciembre</w:t>
      </w:r>
      <w:r w:rsidR="00AE6680" w:rsidRPr="005475F3">
        <w:rPr>
          <w:rFonts w:ascii="Arial" w:eastAsia="Arial Unicode MS" w:hAnsi="Arial" w:cs="Arial"/>
          <w:sz w:val="24"/>
          <w:szCs w:val="24"/>
          <w:lang w:eastAsia="es-ES"/>
        </w:rPr>
        <w:t xml:space="preserve"> de dos mil veinticinco</w:t>
      </w:r>
      <w:r w:rsidRPr="005475F3">
        <w:rPr>
          <w:rFonts w:ascii="Arial" w:eastAsia="Arial Unicode MS" w:hAnsi="Arial" w:cs="Arial"/>
          <w:sz w:val="24"/>
          <w:szCs w:val="24"/>
          <w:lang w:eastAsia="es-ES"/>
        </w:rPr>
        <w:t>, el Sujeto Obligado</w:t>
      </w:r>
      <w:r w:rsidR="00A81098" w:rsidRPr="005475F3">
        <w:rPr>
          <w:rFonts w:ascii="Arial" w:eastAsia="Arial Unicode MS" w:hAnsi="Arial" w:cs="Arial"/>
          <w:sz w:val="24"/>
          <w:szCs w:val="24"/>
          <w:lang w:eastAsia="es-ES"/>
        </w:rPr>
        <w:t>,</w:t>
      </w:r>
      <w:r w:rsidR="00AE6680" w:rsidRPr="005475F3">
        <w:rPr>
          <w:rFonts w:ascii="Arial" w:eastAsia="Arial Unicode MS" w:hAnsi="Arial" w:cs="Arial"/>
          <w:sz w:val="24"/>
          <w:szCs w:val="24"/>
          <w:lang w:eastAsia="es-ES"/>
        </w:rPr>
        <w:t xml:space="preserve"> a través del Sistema de Comunicación con los Sujetos Obligados, de la Plataforma Nacional de Transparencia, notificó a la persona particular, la aprobación de la ampliación del plazo para otorgar respuesta a la solicitud formulada; por lo cual, el día </w:t>
      </w:r>
      <w:r w:rsidR="00137098" w:rsidRPr="005475F3">
        <w:rPr>
          <w:rFonts w:ascii="Arial" w:eastAsia="Arial Unicode MS" w:hAnsi="Arial" w:cs="Arial"/>
          <w:sz w:val="24"/>
          <w:szCs w:val="24"/>
          <w:lang w:eastAsia="es-ES"/>
        </w:rPr>
        <w:t>dieciocho de diciembre de</w:t>
      </w:r>
      <w:r w:rsidR="00AE6680" w:rsidRPr="005475F3">
        <w:rPr>
          <w:rFonts w:ascii="Arial" w:eastAsia="Arial Unicode MS" w:hAnsi="Arial" w:cs="Arial"/>
          <w:sz w:val="24"/>
          <w:szCs w:val="24"/>
          <w:lang w:eastAsia="es-ES"/>
        </w:rPr>
        <w:t xml:space="preserve"> dos mil veinticinco, por el mismo medio, el sujeto obligado otorgó respuesta a la solicitud registrada con el número de folio </w:t>
      </w:r>
      <w:r w:rsidR="00137098" w:rsidRPr="005475F3">
        <w:rPr>
          <w:rFonts w:ascii="Arial" w:eastAsia="Arial Unicode MS" w:hAnsi="Arial" w:cs="Arial"/>
          <w:sz w:val="24"/>
          <w:szCs w:val="24"/>
          <w:lang w:eastAsia="es-ES"/>
        </w:rPr>
        <w:t>240469825000487</w:t>
      </w:r>
      <w:r w:rsidR="00AE6680" w:rsidRPr="005475F3">
        <w:rPr>
          <w:rFonts w:ascii="Arial" w:eastAsia="Arial Unicode MS" w:hAnsi="Arial" w:cs="Arial"/>
          <w:sz w:val="24"/>
          <w:szCs w:val="24"/>
          <w:lang w:eastAsia="es-ES"/>
        </w:rPr>
        <w:t>.</w:t>
      </w:r>
    </w:p>
    <w:p w14:paraId="7CDF1472" w14:textId="77777777" w:rsidR="007F11CA" w:rsidRPr="005475F3" w:rsidRDefault="007F11CA" w:rsidP="007F11CA">
      <w:pPr>
        <w:spacing w:after="0" w:line="240" w:lineRule="auto"/>
        <w:ind w:right="1324"/>
        <w:jc w:val="both"/>
        <w:rPr>
          <w:rFonts w:ascii="Arial" w:eastAsia="Arial Unicode MS" w:hAnsi="Arial" w:cs="Arial"/>
          <w:lang w:eastAsia="es-ES"/>
        </w:rPr>
      </w:pPr>
    </w:p>
    <w:p w14:paraId="0D777489" w14:textId="69E4D8CF" w:rsidR="007F11CA" w:rsidRPr="005475F3" w:rsidRDefault="0093057A" w:rsidP="008E4105">
      <w:pPr>
        <w:spacing w:after="0" w:line="360" w:lineRule="auto"/>
        <w:ind w:right="51"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TERCERO.</w:t>
      </w:r>
      <w:r w:rsidRPr="005475F3">
        <w:rPr>
          <w:rFonts w:ascii="Arial" w:eastAsia="Times New Roman" w:hAnsi="Arial" w:cs="Arial"/>
          <w:sz w:val="24"/>
          <w:szCs w:val="24"/>
          <w:lang w:eastAsia="es-ES"/>
        </w:rPr>
        <w:t xml:space="preserve"> </w:t>
      </w:r>
      <w:r w:rsidRPr="005475F3">
        <w:rPr>
          <w:rFonts w:ascii="Arial" w:eastAsia="Times New Roman" w:hAnsi="Arial" w:cs="Arial"/>
          <w:b/>
          <w:bCs/>
          <w:sz w:val="24"/>
          <w:szCs w:val="24"/>
          <w:lang w:eastAsia="es-ES"/>
        </w:rPr>
        <w:t xml:space="preserve">Interposición del Recurso de Revisión. </w:t>
      </w:r>
      <w:r w:rsidRPr="005475F3">
        <w:rPr>
          <w:rFonts w:ascii="Arial" w:eastAsia="Times New Roman" w:hAnsi="Arial" w:cs="Arial"/>
          <w:sz w:val="24"/>
          <w:szCs w:val="24"/>
          <w:lang w:eastAsia="es-ES"/>
        </w:rPr>
        <w:t xml:space="preserve">El </w:t>
      </w:r>
      <w:r w:rsidR="00137098" w:rsidRPr="005475F3">
        <w:rPr>
          <w:rFonts w:ascii="Arial" w:eastAsia="Times New Roman" w:hAnsi="Arial" w:cs="Arial"/>
          <w:sz w:val="24"/>
          <w:szCs w:val="24"/>
          <w:lang w:eastAsia="es-ES"/>
        </w:rPr>
        <w:t>dieciocho de diciembre de</w:t>
      </w:r>
      <w:r w:rsidR="008E4105" w:rsidRPr="005475F3">
        <w:rPr>
          <w:rFonts w:ascii="Arial" w:eastAsia="Times New Roman" w:hAnsi="Arial" w:cs="Arial"/>
          <w:sz w:val="24"/>
          <w:szCs w:val="24"/>
          <w:lang w:eastAsia="es-ES"/>
        </w:rPr>
        <w:t xml:space="preserve"> dos mil veinticinco</w:t>
      </w:r>
      <w:r w:rsidRPr="005475F3">
        <w:rPr>
          <w:rFonts w:ascii="Arial" w:eastAsia="Times New Roman" w:hAnsi="Arial" w:cs="Arial"/>
          <w:sz w:val="24"/>
          <w:szCs w:val="24"/>
          <w:lang w:eastAsia="es-ES"/>
        </w:rPr>
        <w:t xml:space="preserve">, este Órgano Garante recibió el recurso de revisión interpuesto por </w:t>
      </w:r>
      <w:r w:rsidR="008E4105" w:rsidRPr="005475F3">
        <w:rPr>
          <w:rFonts w:ascii="Arial" w:eastAsia="Times New Roman" w:hAnsi="Arial" w:cs="Arial"/>
          <w:sz w:val="24"/>
          <w:szCs w:val="24"/>
          <w:lang w:eastAsia="es-ES"/>
        </w:rPr>
        <w:t>la</w:t>
      </w:r>
      <w:r w:rsidRPr="005475F3">
        <w:rPr>
          <w:rFonts w:ascii="Arial" w:eastAsia="Times New Roman" w:hAnsi="Arial" w:cs="Arial"/>
          <w:sz w:val="24"/>
          <w:szCs w:val="24"/>
          <w:lang w:eastAsia="es-ES"/>
        </w:rPr>
        <w:t xml:space="preserve"> ahora recurrente</w:t>
      </w:r>
      <w:r w:rsidR="008E4105" w:rsidRPr="005475F3">
        <w:rPr>
          <w:rFonts w:ascii="Arial" w:eastAsia="Times New Roman" w:hAnsi="Arial" w:cs="Arial"/>
          <w:sz w:val="24"/>
          <w:szCs w:val="24"/>
          <w:lang w:eastAsia="es-ES"/>
        </w:rPr>
        <w:t>,</w:t>
      </w:r>
      <w:r w:rsidRPr="005475F3">
        <w:rPr>
          <w:rFonts w:ascii="Arial" w:eastAsia="Times New Roman" w:hAnsi="Arial" w:cs="Arial"/>
          <w:sz w:val="24"/>
          <w:szCs w:val="24"/>
          <w:lang w:eastAsia="es-ES"/>
        </w:rPr>
        <w:t xml:space="preserve"> en contra de la </w:t>
      </w:r>
      <w:r w:rsidR="008E4105" w:rsidRPr="005475F3">
        <w:rPr>
          <w:rFonts w:ascii="Arial" w:eastAsia="Times New Roman" w:hAnsi="Arial" w:cs="Arial"/>
          <w:sz w:val="24"/>
          <w:szCs w:val="24"/>
          <w:lang w:eastAsia="es-ES"/>
        </w:rPr>
        <w:t>clasificación con carácter de reservada, de la información solicitada</w:t>
      </w:r>
      <w:r w:rsidR="00137098" w:rsidRPr="005475F3">
        <w:rPr>
          <w:rFonts w:ascii="Arial" w:eastAsia="Times New Roman" w:hAnsi="Arial" w:cs="Arial"/>
          <w:sz w:val="24"/>
          <w:szCs w:val="24"/>
          <w:lang w:eastAsia="es-ES"/>
        </w:rPr>
        <w:t>, por las consideraciones siguientes:</w:t>
      </w:r>
    </w:p>
    <w:p w14:paraId="7C971962" w14:textId="51CA112B" w:rsidR="00137098" w:rsidRPr="005475F3" w:rsidRDefault="00137098" w:rsidP="008E4105">
      <w:pPr>
        <w:spacing w:after="0" w:line="360" w:lineRule="auto"/>
        <w:ind w:right="51" w:firstLine="708"/>
        <w:jc w:val="both"/>
        <w:rPr>
          <w:rFonts w:ascii="Arial" w:eastAsia="Times New Roman" w:hAnsi="Arial" w:cs="Arial"/>
          <w:sz w:val="24"/>
          <w:szCs w:val="24"/>
          <w:lang w:eastAsia="es-ES"/>
        </w:rPr>
      </w:pPr>
    </w:p>
    <w:p w14:paraId="44E9BDF2" w14:textId="77777777" w:rsidR="00547D80" w:rsidRPr="005475F3" w:rsidRDefault="00137098" w:rsidP="00137098">
      <w:pPr>
        <w:ind w:left="1134" w:right="1183"/>
        <w:jc w:val="both"/>
        <w:rPr>
          <w:rFonts w:ascii="Arial" w:eastAsia="Times New Roman" w:hAnsi="Arial" w:cs="Arial"/>
          <w:szCs w:val="24"/>
          <w:lang w:eastAsia="es-ES"/>
        </w:rPr>
      </w:pPr>
      <w:r w:rsidRPr="005475F3">
        <w:rPr>
          <w:rFonts w:ascii="Arial" w:eastAsia="Times New Roman" w:hAnsi="Arial" w:cs="Arial"/>
          <w:szCs w:val="24"/>
          <w:lang w:eastAsia="es-ES"/>
        </w:rPr>
        <w:t xml:space="preserve">ACTO RECLAMADO: Estoy inconforme con la respuesta emitida por la Fiscalía General del Estado quien manifiesta que la información solicitada es RESERVADA. Sin embargo, considero que dicha reserva es improcedente por los siguientes motivos: </w:t>
      </w:r>
    </w:p>
    <w:p w14:paraId="726E3370" w14:textId="77777777" w:rsidR="00547D80" w:rsidRPr="005475F3" w:rsidRDefault="00137098" w:rsidP="00137098">
      <w:pPr>
        <w:ind w:left="1134" w:right="1183"/>
        <w:jc w:val="both"/>
        <w:rPr>
          <w:rFonts w:ascii="Arial" w:eastAsia="Times New Roman" w:hAnsi="Arial" w:cs="Arial"/>
          <w:szCs w:val="24"/>
          <w:lang w:eastAsia="es-ES"/>
        </w:rPr>
      </w:pPr>
      <w:r w:rsidRPr="005475F3">
        <w:rPr>
          <w:rFonts w:ascii="Arial" w:eastAsia="Times New Roman" w:hAnsi="Arial" w:cs="Arial"/>
          <w:szCs w:val="24"/>
          <w:lang w:eastAsia="es-ES"/>
        </w:rPr>
        <w:t xml:space="preserve">1.-La existencia de la investigación y su apertura es un hecho que no está a debate, ya que fue información difundida públicamente por la propia Fiscalía. </w:t>
      </w:r>
    </w:p>
    <w:p w14:paraId="1815FC9B" w14:textId="77777777" w:rsidR="00547D80" w:rsidRPr="005475F3" w:rsidRDefault="00137098" w:rsidP="00137098">
      <w:pPr>
        <w:ind w:left="1134" w:right="1183"/>
        <w:jc w:val="both"/>
        <w:rPr>
          <w:rFonts w:ascii="Arial" w:eastAsia="Times New Roman" w:hAnsi="Arial" w:cs="Arial"/>
          <w:szCs w:val="24"/>
          <w:lang w:eastAsia="es-ES"/>
        </w:rPr>
      </w:pPr>
      <w:r w:rsidRPr="005475F3">
        <w:rPr>
          <w:rFonts w:ascii="Arial" w:eastAsia="Times New Roman" w:hAnsi="Arial" w:cs="Arial"/>
          <w:szCs w:val="24"/>
          <w:lang w:eastAsia="es-ES"/>
        </w:rPr>
        <w:t xml:space="preserve">2.-La información solicitada no es sustantiva ni operativa, sino de carácter administrativo y numérico: es decir, se solicita saber si la carpeta continúa en trámite, si fue determinada (judicializada o archivada), si se lograron sentencias, el delito que se investiga y la cantidad (NO IDENTIDADES) de personas detenidas relacionadas con la investigación. </w:t>
      </w:r>
    </w:p>
    <w:p w14:paraId="0A86D4BE" w14:textId="77777777" w:rsidR="00547D80" w:rsidRPr="005475F3" w:rsidRDefault="00137098" w:rsidP="00137098">
      <w:pPr>
        <w:ind w:left="1134" w:right="1183"/>
        <w:jc w:val="both"/>
        <w:rPr>
          <w:rFonts w:ascii="Arial" w:eastAsia="Times New Roman" w:hAnsi="Arial" w:cs="Arial"/>
          <w:szCs w:val="24"/>
          <w:lang w:eastAsia="es-ES"/>
        </w:rPr>
      </w:pPr>
      <w:r w:rsidRPr="005475F3">
        <w:rPr>
          <w:rFonts w:ascii="Arial" w:eastAsia="Times New Roman" w:hAnsi="Arial" w:cs="Arial"/>
          <w:szCs w:val="24"/>
          <w:lang w:eastAsia="es-ES"/>
        </w:rPr>
        <w:lastRenderedPageBreak/>
        <w:t xml:space="preserve">3.-Además es importante destacar que este caso reviste un alto alto interés público por tratarse de violencia contra personas buscadoras en un contexto de graves violaciones a derechos humanos, por lo que debe favorecerse el principio de máxima publicidad. </w:t>
      </w:r>
    </w:p>
    <w:p w14:paraId="42FC86A0" w14:textId="77777777" w:rsidR="00547D80" w:rsidRPr="005475F3" w:rsidRDefault="00137098" w:rsidP="00137098">
      <w:pPr>
        <w:ind w:left="1134" w:right="1183"/>
        <w:jc w:val="both"/>
        <w:rPr>
          <w:rFonts w:ascii="Arial" w:eastAsia="Times New Roman" w:hAnsi="Arial" w:cs="Arial"/>
          <w:szCs w:val="24"/>
          <w:lang w:eastAsia="es-ES"/>
        </w:rPr>
      </w:pPr>
      <w:r w:rsidRPr="005475F3">
        <w:rPr>
          <w:rFonts w:ascii="Arial" w:eastAsia="Times New Roman" w:hAnsi="Arial" w:cs="Arial"/>
          <w:szCs w:val="24"/>
          <w:lang w:eastAsia="es-ES"/>
        </w:rPr>
        <w:t xml:space="preserve">4.-La divulgación del estatus procesal, delito y cantidad de detenidos no afecta el desarrollo de la investigación ni implica revelación de datos personales o sensibles, por lo que su clasificación total resulta excesiva y desproporcionada. Al contrario, el dar a conocer dicha información contribuye a la transparencia en la procuración e impartición de justicia por parte de las autoridades. Cabe traer a colación los criterios emitidos por el extinto INAI, como lo que resolvió en los recursos de revisión RRA 2572/17, 5773/18, 4843/19, entre otros, donde determinó que la autoridad no puede reservar lo que ella misma hizo público. Además, en el recurso de revisión 0922/20, el INAI también llegó a la conclusión de que se debe dar información cuando se trate de datos numéricos o generales (número de indagatoria, estatus de la misma, fechas), donde se advierta que no se revelarían detalles ni se afectarían las investigaciones de prevención o persecución de los delitos, como en este caso. </w:t>
      </w:r>
    </w:p>
    <w:p w14:paraId="50018922" w14:textId="7F282ABD" w:rsidR="00137098" w:rsidRPr="005475F3" w:rsidRDefault="00137098" w:rsidP="00137098">
      <w:pPr>
        <w:ind w:left="1134" w:right="1183"/>
        <w:jc w:val="both"/>
        <w:rPr>
          <w:rFonts w:ascii="Arial" w:eastAsia="Times New Roman" w:hAnsi="Arial" w:cs="Arial"/>
          <w:szCs w:val="24"/>
          <w:lang w:eastAsia="es-ES"/>
        </w:rPr>
      </w:pPr>
      <w:r w:rsidRPr="005475F3">
        <w:rPr>
          <w:rFonts w:ascii="Arial" w:eastAsia="Times New Roman" w:hAnsi="Arial" w:cs="Arial"/>
          <w:szCs w:val="24"/>
          <w:lang w:eastAsia="es-ES"/>
        </w:rPr>
        <w:t>PUNTOS PETITORIOS: Que se revoque la clasificación de reserva aplicada a la información solicitada, por carecer de motivación y proporcionalidad. Y que se ordene a la Fiscalía entregar la información solicitada. Que se aplique el principio de máxima publicidad previsto en la legislación de transparencia, considerando el interés público del caso.</w:t>
      </w:r>
    </w:p>
    <w:p w14:paraId="19927FCE" w14:textId="77777777" w:rsidR="00137098" w:rsidRPr="005475F3" w:rsidRDefault="00137098" w:rsidP="00137098">
      <w:pPr>
        <w:rPr>
          <w:rFonts w:ascii="Arial" w:eastAsia="Times New Roman" w:hAnsi="Arial" w:cs="Arial"/>
          <w:iCs/>
          <w:sz w:val="24"/>
          <w:szCs w:val="24"/>
          <w:lang w:eastAsia="es-ES"/>
        </w:rPr>
      </w:pPr>
    </w:p>
    <w:p w14:paraId="4455EFED" w14:textId="77777777" w:rsidR="004736C0" w:rsidRPr="005475F3" w:rsidRDefault="004736C0" w:rsidP="00A30399">
      <w:pPr>
        <w:spacing w:after="0" w:line="240" w:lineRule="auto"/>
        <w:ind w:left="1134" w:right="1183"/>
        <w:jc w:val="both"/>
        <w:rPr>
          <w:rFonts w:ascii="Arial" w:eastAsia="Arial Unicode MS" w:hAnsi="Arial" w:cs="Arial"/>
          <w:iCs/>
          <w:lang w:eastAsia="es-ES"/>
        </w:rPr>
      </w:pPr>
    </w:p>
    <w:p w14:paraId="5EA0C368" w14:textId="79224398" w:rsidR="00F06187" w:rsidRPr="005475F3" w:rsidRDefault="00F06187" w:rsidP="004736C0">
      <w:pPr>
        <w:spacing w:after="0" w:line="240" w:lineRule="auto"/>
        <w:ind w:right="1183"/>
        <w:jc w:val="both"/>
        <w:rPr>
          <w:rFonts w:ascii="Arial" w:eastAsia="Arial Unicode MS" w:hAnsi="Arial" w:cs="Arial"/>
          <w:iCs/>
          <w:lang w:eastAsia="es-ES"/>
        </w:rPr>
      </w:pPr>
    </w:p>
    <w:p w14:paraId="7DE4CBD6" w14:textId="7D91A438" w:rsidR="0093057A" w:rsidRPr="005475F3" w:rsidRDefault="0093057A" w:rsidP="0093057A">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CUARTO.</w:t>
      </w:r>
      <w:r w:rsidRPr="005475F3">
        <w:rPr>
          <w:rFonts w:ascii="Arial" w:eastAsia="Times New Roman" w:hAnsi="Arial" w:cs="Arial"/>
          <w:sz w:val="24"/>
          <w:szCs w:val="24"/>
          <w:lang w:eastAsia="es-ES"/>
        </w:rPr>
        <w:t xml:space="preserve"> </w:t>
      </w:r>
      <w:r w:rsidRPr="005475F3">
        <w:rPr>
          <w:rFonts w:ascii="Arial" w:eastAsia="Times New Roman" w:hAnsi="Arial" w:cs="Arial"/>
          <w:b/>
          <w:bCs/>
          <w:sz w:val="24"/>
          <w:szCs w:val="24"/>
          <w:lang w:eastAsia="es-ES"/>
        </w:rPr>
        <w:t>Turno.</w:t>
      </w:r>
      <w:r w:rsidRPr="005475F3">
        <w:rPr>
          <w:rFonts w:ascii="Arial" w:eastAsia="Times New Roman" w:hAnsi="Arial" w:cs="Arial"/>
          <w:sz w:val="24"/>
          <w:szCs w:val="24"/>
          <w:lang w:eastAsia="es-ES"/>
        </w:rPr>
        <w:t xml:space="preserve"> El </w:t>
      </w:r>
      <w:r w:rsidR="00137098" w:rsidRPr="005475F3">
        <w:rPr>
          <w:rFonts w:ascii="Arial" w:eastAsia="Times New Roman" w:hAnsi="Arial" w:cs="Arial"/>
          <w:sz w:val="24"/>
          <w:szCs w:val="24"/>
          <w:lang w:eastAsia="es-ES"/>
        </w:rPr>
        <w:t>seis de enero</w:t>
      </w:r>
      <w:r w:rsidR="008E4105" w:rsidRPr="005475F3">
        <w:rPr>
          <w:rFonts w:ascii="Arial" w:eastAsia="Times New Roman" w:hAnsi="Arial" w:cs="Arial"/>
          <w:sz w:val="24"/>
          <w:szCs w:val="24"/>
          <w:lang w:eastAsia="es-ES"/>
        </w:rPr>
        <w:t xml:space="preserve"> </w:t>
      </w:r>
      <w:r w:rsidR="00137098" w:rsidRPr="005475F3">
        <w:rPr>
          <w:rFonts w:ascii="Arial" w:eastAsia="Times New Roman" w:hAnsi="Arial" w:cs="Arial"/>
          <w:sz w:val="24"/>
          <w:szCs w:val="24"/>
          <w:lang w:eastAsia="es-ES"/>
        </w:rPr>
        <w:t xml:space="preserve">de </w:t>
      </w:r>
      <w:r w:rsidR="008E4105" w:rsidRPr="005475F3">
        <w:rPr>
          <w:rFonts w:ascii="Arial" w:eastAsia="Times New Roman" w:hAnsi="Arial" w:cs="Arial"/>
          <w:sz w:val="24"/>
          <w:szCs w:val="24"/>
          <w:lang w:eastAsia="es-ES"/>
        </w:rPr>
        <w:t>dos mil veinti</w:t>
      </w:r>
      <w:r w:rsidR="00137098" w:rsidRPr="005475F3">
        <w:rPr>
          <w:rFonts w:ascii="Arial" w:eastAsia="Times New Roman" w:hAnsi="Arial" w:cs="Arial"/>
          <w:sz w:val="24"/>
          <w:szCs w:val="24"/>
          <w:lang w:eastAsia="es-ES"/>
        </w:rPr>
        <w:t>séis</w:t>
      </w:r>
      <w:r w:rsidR="008E4105" w:rsidRPr="005475F3">
        <w:rPr>
          <w:rFonts w:ascii="Arial" w:eastAsia="Times New Roman" w:hAnsi="Arial" w:cs="Arial"/>
          <w:sz w:val="24"/>
          <w:szCs w:val="24"/>
          <w:lang w:eastAsia="es-ES"/>
        </w:rPr>
        <w:t>,</w:t>
      </w:r>
      <w:r w:rsidRPr="005475F3">
        <w:rPr>
          <w:rFonts w:ascii="Arial" w:eastAsia="Times New Roman" w:hAnsi="Arial" w:cs="Arial"/>
          <w:sz w:val="24"/>
          <w:szCs w:val="24"/>
          <w:lang w:eastAsia="es-ES"/>
        </w:rPr>
        <w:t xml:space="preserve"> de conformidad con el artículo 174, fracción I de la Ley de Transparencia y Acceso a la Información Pública del Estado, el Recurso de Revisió</w:t>
      </w:r>
      <w:r w:rsidR="008E4105" w:rsidRPr="005475F3">
        <w:rPr>
          <w:rFonts w:ascii="Arial" w:eastAsia="Times New Roman" w:hAnsi="Arial" w:cs="Arial"/>
          <w:sz w:val="24"/>
          <w:szCs w:val="24"/>
          <w:lang w:eastAsia="es-ES"/>
        </w:rPr>
        <w:t>n que se resuelve fue turnado a</w:t>
      </w:r>
      <w:r w:rsidRPr="005475F3">
        <w:rPr>
          <w:rFonts w:ascii="Arial" w:eastAsia="Times New Roman" w:hAnsi="Arial" w:cs="Arial"/>
          <w:sz w:val="24"/>
          <w:szCs w:val="24"/>
          <w:lang w:eastAsia="es-ES"/>
        </w:rPr>
        <w:t>l Comisionad</w:t>
      </w:r>
      <w:r w:rsidR="008E4105" w:rsidRPr="005475F3">
        <w:rPr>
          <w:rFonts w:ascii="Arial" w:eastAsia="Times New Roman" w:hAnsi="Arial" w:cs="Arial"/>
          <w:sz w:val="24"/>
          <w:szCs w:val="24"/>
          <w:lang w:eastAsia="es-ES"/>
        </w:rPr>
        <w:t>o</w:t>
      </w:r>
      <w:r w:rsidRPr="005475F3">
        <w:rPr>
          <w:rFonts w:ascii="Arial" w:eastAsia="Times New Roman" w:hAnsi="Arial" w:cs="Arial"/>
          <w:sz w:val="24"/>
          <w:szCs w:val="24"/>
          <w:lang w:eastAsia="es-ES"/>
        </w:rPr>
        <w:t xml:space="preserve"> Ponente, para el análisis de su admisión o desechamiento. </w:t>
      </w:r>
    </w:p>
    <w:p w14:paraId="4D6CD6B7" w14:textId="77777777" w:rsidR="0093057A" w:rsidRPr="005475F3" w:rsidRDefault="0093057A" w:rsidP="0093057A">
      <w:pPr>
        <w:spacing w:after="0" w:line="360" w:lineRule="auto"/>
        <w:jc w:val="both"/>
        <w:rPr>
          <w:rFonts w:ascii="Arial" w:eastAsia="Times New Roman" w:hAnsi="Arial" w:cs="Arial"/>
          <w:b/>
          <w:sz w:val="24"/>
          <w:szCs w:val="24"/>
          <w:lang w:eastAsia="es-ES"/>
        </w:rPr>
      </w:pPr>
    </w:p>
    <w:p w14:paraId="6375FBA0" w14:textId="65CBC4C9" w:rsidR="0093057A" w:rsidRPr="005475F3" w:rsidRDefault="0093057A" w:rsidP="00CB0B39">
      <w:pPr>
        <w:spacing w:after="0" w:line="360" w:lineRule="auto"/>
        <w:ind w:firstLine="708"/>
        <w:jc w:val="both"/>
        <w:rPr>
          <w:rFonts w:ascii="Arial" w:eastAsia="Times New Roman" w:hAnsi="Arial" w:cs="Arial"/>
          <w:b/>
          <w:bCs/>
          <w:sz w:val="24"/>
          <w:szCs w:val="24"/>
          <w:lang w:eastAsia="es-ES"/>
        </w:rPr>
      </w:pPr>
      <w:r w:rsidRPr="005475F3">
        <w:rPr>
          <w:rFonts w:ascii="Arial" w:eastAsia="Times New Roman" w:hAnsi="Arial" w:cs="Arial"/>
          <w:b/>
          <w:sz w:val="24"/>
          <w:szCs w:val="24"/>
          <w:lang w:eastAsia="es-ES"/>
        </w:rPr>
        <w:t>QUINTO.</w:t>
      </w:r>
      <w:r w:rsidRPr="005475F3">
        <w:rPr>
          <w:rFonts w:ascii="Arial" w:eastAsia="Times New Roman" w:hAnsi="Arial" w:cs="Arial"/>
          <w:sz w:val="24"/>
          <w:szCs w:val="24"/>
          <w:lang w:eastAsia="es-ES"/>
        </w:rPr>
        <w:t xml:space="preserve"> </w:t>
      </w:r>
      <w:r w:rsidR="00363337" w:rsidRPr="005475F3">
        <w:rPr>
          <w:rFonts w:ascii="Arial" w:eastAsia="Times New Roman" w:hAnsi="Arial" w:cs="Arial"/>
          <w:b/>
          <w:bCs/>
          <w:sz w:val="24"/>
          <w:szCs w:val="24"/>
          <w:lang w:eastAsia="es-ES"/>
        </w:rPr>
        <w:t>A</w:t>
      </w:r>
      <w:r w:rsidRPr="005475F3">
        <w:rPr>
          <w:rFonts w:ascii="Arial" w:eastAsia="Times New Roman" w:hAnsi="Arial" w:cs="Arial"/>
          <w:b/>
          <w:bCs/>
          <w:sz w:val="24"/>
          <w:szCs w:val="24"/>
          <w:lang w:eastAsia="es-ES"/>
        </w:rPr>
        <w:t xml:space="preserve">dmisión y trámite. </w:t>
      </w:r>
      <w:r w:rsidRPr="005475F3">
        <w:rPr>
          <w:rFonts w:ascii="Arial" w:eastAsia="Times New Roman" w:hAnsi="Arial" w:cs="Arial"/>
          <w:sz w:val="24"/>
          <w:szCs w:val="24"/>
          <w:lang w:eastAsia="es-ES"/>
        </w:rPr>
        <w:t xml:space="preserve">El </w:t>
      </w:r>
      <w:r w:rsidR="00137098" w:rsidRPr="005475F3">
        <w:rPr>
          <w:rFonts w:ascii="Arial" w:eastAsia="Times New Roman" w:hAnsi="Arial" w:cs="Arial"/>
          <w:sz w:val="24"/>
          <w:szCs w:val="24"/>
          <w:lang w:eastAsia="es-ES"/>
        </w:rPr>
        <w:t>seis de enero de</w:t>
      </w:r>
      <w:r w:rsidR="008E4105" w:rsidRPr="005475F3">
        <w:rPr>
          <w:rFonts w:ascii="Arial" w:eastAsia="Times New Roman" w:hAnsi="Arial" w:cs="Arial"/>
          <w:sz w:val="24"/>
          <w:szCs w:val="24"/>
          <w:lang w:eastAsia="es-ES"/>
        </w:rPr>
        <w:t xml:space="preserve"> dos mil veinti</w:t>
      </w:r>
      <w:r w:rsidR="00137098" w:rsidRPr="005475F3">
        <w:rPr>
          <w:rFonts w:ascii="Arial" w:eastAsia="Times New Roman" w:hAnsi="Arial" w:cs="Arial"/>
          <w:sz w:val="24"/>
          <w:szCs w:val="24"/>
          <w:lang w:eastAsia="es-ES"/>
        </w:rPr>
        <w:t>séis</w:t>
      </w:r>
      <w:r w:rsidRPr="005475F3">
        <w:rPr>
          <w:rFonts w:ascii="Arial" w:eastAsia="Times New Roman" w:hAnsi="Arial" w:cs="Arial"/>
          <w:sz w:val="24"/>
          <w:szCs w:val="24"/>
          <w:lang w:eastAsia="es-ES"/>
        </w:rPr>
        <w:t xml:space="preserve">, </w:t>
      </w:r>
      <w:r w:rsidR="00CB0B39" w:rsidRPr="005475F3">
        <w:rPr>
          <w:rFonts w:ascii="Arial" w:eastAsia="Times New Roman" w:hAnsi="Arial" w:cs="Arial"/>
          <w:sz w:val="24"/>
          <w:szCs w:val="24"/>
          <w:lang w:eastAsia="es-ES"/>
        </w:rPr>
        <w:t>se</w:t>
      </w:r>
      <w:r w:rsidRPr="005475F3">
        <w:rPr>
          <w:rFonts w:ascii="Arial" w:eastAsia="Times New Roman" w:hAnsi="Arial" w:cs="Arial"/>
          <w:sz w:val="24"/>
          <w:szCs w:val="24"/>
          <w:lang w:eastAsia="es-ES"/>
        </w:rPr>
        <w:t xml:space="preserve"> admitió el presente medio de impugnación por actualizarse la hipótesis </w:t>
      </w:r>
      <w:r w:rsidR="008E4105" w:rsidRPr="005475F3">
        <w:rPr>
          <w:rFonts w:ascii="Arial" w:eastAsia="Times New Roman" w:hAnsi="Arial" w:cs="Arial"/>
          <w:sz w:val="24"/>
          <w:szCs w:val="24"/>
          <w:lang w:eastAsia="es-ES"/>
        </w:rPr>
        <w:t>contemplada en</w:t>
      </w:r>
      <w:r w:rsidRPr="005475F3">
        <w:rPr>
          <w:rFonts w:ascii="Arial" w:eastAsia="Times New Roman" w:hAnsi="Arial" w:cs="Arial"/>
          <w:sz w:val="24"/>
          <w:szCs w:val="24"/>
          <w:lang w:eastAsia="es-ES"/>
        </w:rPr>
        <w:t xml:space="preserve"> la fracci</w:t>
      </w:r>
      <w:r w:rsidR="008E4105" w:rsidRPr="005475F3">
        <w:rPr>
          <w:rFonts w:ascii="Arial" w:eastAsia="Times New Roman" w:hAnsi="Arial" w:cs="Arial"/>
          <w:sz w:val="24"/>
          <w:szCs w:val="24"/>
          <w:lang w:eastAsia="es-ES"/>
        </w:rPr>
        <w:t>ó</w:t>
      </w:r>
      <w:r w:rsidRPr="005475F3">
        <w:rPr>
          <w:rFonts w:ascii="Arial" w:eastAsia="Times New Roman" w:hAnsi="Arial" w:cs="Arial"/>
          <w:sz w:val="24"/>
          <w:szCs w:val="24"/>
          <w:lang w:eastAsia="es-ES"/>
        </w:rPr>
        <w:t xml:space="preserve">n </w:t>
      </w:r>
      <w:r w:rsidR="002C0E23" w:rsidRPr="005475F3">
        <w:rPr>
          <w:rFonts w:ascii="Arial" w:eastAsia="Times New Roman" w:hAnsi="Arial" w:cs="Arial"/>
          <w:sz w:val="24"/>
          <w:szCs w:val="24"/>
          <w:lang w:eastAsia="es-ES"/>
        </w:rPr>
        <w:t>I</w:t>
      </w:r>
      <w:r w:rsidR="00CB0B39" w:rsidRPr="005475F3">
        <w:rPr>
          <w:rFonts w:ascii="Arial" w:eastAsia="Times New Roman" w:hAnsi="Arial" w:cs="Arial"/>
          <w:sz w:val="24"/>
          <w:szCs w:val="24"/>
          <w:lang w:eastAsia="es-ES"/>
        </w:rPr>
        <w:t xml:space="preserve"> </w:t>
      </w:r>
      <w:r w:rsidRPr="005475F3">
        <w:rPr>
          <w:rFonts w:ascii="Arial" w:eastAsia="Times New Roman" w:hAnsi="Arial" w:cs="Arial"/>
          <w:sz w:val="24"/>
          <w:szCs w:val="24"/>
          <w:lang w:eastAsia="es-ES"/>
        </w:rPr>
        <w:t xml:space="preserve">del artículo 167 de la Ley de Transparencia y Acceso a la Información Pública del Estado, </w:t>
      </w:r>
      <w:r w:rsidR="00CB0B39" w:rsidRPr="005475F3">
        <w:rPr>
          <w:rFonts w:ascii="Arial" w:eastAsia="Times New Roman" w:hAnsi="Arial" w:cs="Arial"/>
          <w:sz w:val="24"/>
          <w:szCs w:val="24"/>
          <w:lang w:eastAsia="es-ES"/>
        </w:rPr>
        <w:t>asimismo se</w:t>
      </w:r>
      <w:r w:rsidRPr="005475F3">
        <w:rPr>
          <w:rFonts w:ascii="Arial" w:eastAsia="Times New Roman" w:hAnsi="Arial" w:cs="Arial"/>
          <w:sz w:val="24"/>
          <w:szCs w:val="24"/>
          <w:lang w:eastAsia="es-ES"/>
        </w:rPr>
        <w:t xml:space="preserve"> puso</w:t>
      </w:r>
      <w:r w:rsidR="00CB0B39" w:rsidRPr="005475F3">
        <w:rPr>
          <w:rFonts w:ascii="Arial" w:eastAsia="Times New Roman" w:hAnsi="Arial" w:cs="Arial"/>
          <w:sz w:val="24"/>
          <w:szCs w:val="24"/>
          <w:lang w:eastAsia="es-ES"/>
        </w:rPr>
        <w:t xml:space="preserve"> el expediente</w:t>
      </w:r>
      <w:r w:rsidRPr="005475F3">
        <w:rPr>
          <w:rFonts w:ascii="Arial" w:eastAsia="Times New Roman" w:hAnsi="Arial" w:cs="Arial"/>
          <w:sz w:val="24"/>
          <w:szCs w:val="24"/>
          <w:lang w:eastAsia="es-ES"/>
        </w:rPr>
        <w:t xml:space="preserve"> a disposición de las partes para que en el plazo que reconoce la ley manifestaran lo que a su derecho conviniera y ofrecieran las pruebas que consideraran </w:t>
      </w:r>
      <w:r w:rsidRPr="005475F3">
        <w:rPr>
          <w:rFonts w:ascii="Arial" w:eastAsia="Times New Roman" w:hAnsi="Arial" w:cs="Arial"/>
          <w:sz w:val="24"/>
          <w:szCs w:val="24"/>
          <w:lang w:eastAsia="es-ES"/>
        </w:rPr>
        <w:lastRenderedPageBreak/>
        <w:t xml:space="preserve">pertinentes, esto según lo dispuesto en la fracción II y III del artículo 174 de la Ley de Transparencia Local. </w:t>
      </w:r>
    </w:p>
    <w:p w14:paraId="40431E77" w14:textId="77777777" w:rsidR="0093057A" w:rsidRPr="005475F3" w:rsidRDefault="0093057A" w:rsidP="0093057A">
      <w:pPr>
        <w:spacing w:after="0" w:line="360" w:lineRule="auto"/>
        <w:ind w:firstLine="708"/>
        <w:jc w:val="both"/>
        <w:rPr>
          <w:rFonts w:ascii="Arial" w:eastAsia="Times New Roman" w:hAnsi="Arial" w:cs="Arial"/>
          <w:sz w:val="24"/>
          <w:szCs w:val="24"/>
          <w:lang w:eastAsia="es-ES"/>
        </w:rPr>
      </w:pPr>
    </w:p>
    <w:p w14:paraId="69F47FF0" w14:textId="30C8F149" w:rsidR="0093057A" w:rsidRPr="005475F3" w:rsidRDefault="008E4105" w:rsidP="0093057A">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SEXTO</w:t>
      </w:r>
      <w:r w:rsidR="0093057A" w:rsidRPr="005475F3">
        <w:rPr>
          <w:rFonts w:ascii="Arial" w:eastAsia="Times New Roman" w:hAnsi="Arial" w:cs="Arial"/>
          <w:b/>
          <w:sz w:val="24"/>
          <w:szCs w:val="24"/>
          <w:lang w:eastAsia="es-ES"/>
        </w:rPr>
        <w:t xml:space="preserve">. </w:t>
      </w:r>
      <w:r w:rsidR="0093057A" w:rsidRPr="005475F3">
        <w:rPr>
          <w:rFonts w:ascii="Arial" w:eastAsia="Times New Roman" w:hAnsi="Arial" w:cs="Arial"/>
          <w:b/>
          <w:bCs/>
          <w:sz w:val="24"/>
          <w:szCs w:val="24"/>
          <w:lang w:eastAsia="es-ES"/>
        </w:rPr>
        <w:t>Manifestaci</w:t>
      </w:r>
      <w:r w:rsidR="00FE3C7E" w:rsidRPr="005475F3">
        <w:rPr>
          <w:rFonts w:ascii="Arial" w:eastAsia="Times New Roman" w:hAnsi="Arial" w:cs="Arial"/>
          <w:b/>
          <w:bCs/>
          <w:sz w:val="24"/>
          <w:szCs w:val="24"/>
          <w:lang w:eastAsia="es-ES"/>
        </w:rPr>
        <w:t>ón</w:t>
      </w:r>
      <w:r w:rsidR="0093057A" w:rsidRPr="005475F3">
        <w:rPr>
          <w:rFonts w:ascii="Arial" w:eastAsia="Times New Roman" w:hAnsi="Arial" w:cs="Arial"/>
          <w:b/>
          <w:bCs/>
          <w:sz w:val="24"/>
          <w:szCs w:val="24"/>
          <w:lang w:eastAsia="es-ES"/>
        </w:rPr>
        <w:t xml:space="preserve"> de las partes</w:t>
      </w:r>
      <w:r w:rsidR="008E3926" w:rsidRPr="005475F3">
        <w:rPr>
          <w:rFonts w:ascii="Arial" w:eastAsia="Times New Roman" w:hAnsi="Arial" w:cs="Arial"/>
          <w:b/>
          <w:bCs/>
          <w:sz w:val="24"/>
          <w:szCs w:val="24"/>
          <w:lang w:eastAsia="es-ES"/>
        </w:rPr>
        <w:t xml:space="preserve"> y </w:t>
      </w:r>
      <w:r w:rsidR="00EE70D5" w:rsidRPr="005475F3">
        <w:rPr>
          <w:rFonts w:ascii="Arial" w:eastAsia="Times New Roman" w:hAnsi="Arial" w:cs="Arial"/>
          <w:b/>
          <w:bCs/>
          <w:sz w:val="24"/>
          <w:szCs w:val="24"/>
          <w:lang w:eastAsia="es-ES"/>
        </w:rPr>
        <w:t>r</w:t>
      </w:r>
      <w:r w:rsidR="008E3926" w:rsidRPr="005475F3">
        <w:rPr>
          <w:rFonts w:ascii="Arial" w:eastAsia="Times New Roman" w:hAnsi="Arial" w:cs="Arial"/>
          <w:b/>
          <w:bCs/>
          <w:sz w:val="24"/>
          <w:szCs w:val="24"/>
          <w:lang w:eastAsia="es-ES"/>
        </w:rPr>
        <w:t>equerimiento al sujeto Obligado</w:t>
      </w:r>
      <w:r w:rsidR="0093057A" w:rsidRPr="005475F3">
        <w:rPr>
          <w:rFonts w:ascii="Arial" w:eastAsia="Times New Roman" w:hAnsi="Arial" w:cs="Arial"/>
          <w:b/>
          <w:bCs/>
          <w:sz w:val="24"/>
          <w:szCs w:val="24"/>
          <w:lang w:eastAsia="es-ES"/>
        </w:rPr>
        <w:t xml:space="preserve">. </w:t>
      </w:r>
      <w:r w:rsidR="00D3311D" w:rsidRPr="005475F3">
        <w:rPr>
          <w:rFonts w:ascii="Arial" w:eastAsia="Times New Roman" w:hAnsi="Arial" w:cs="Arial"/>
          <w:sz w:val="24"/>
          <w:szCs w:val="24"/>
          <w:lang w:eastAsia="es-ES"/>
        </w:rPr>
        <w:t>Mediante proveído de</w:t>
      </w:r>
      <w:r w:rsidR="0093057A" w:rsidRPr="005475F3">
        <w:rPr>
          <w:rFonts w:ascii="Arial" w:eastAsia="Times New Roman" w:hAnsi="Arial" w:cs="Arial"/>
          <w:sz w:val="24"/>
          <w:szCs w:val="24"/>
          <w:lang w:eastAsia="es-ES"/>
        </w:rPr>
        <w:t xml:space="preserve"> </w:t>
      </w:r>
      <w:r w:rsidR="00137098" w:rsidRPr="005475F3">
        <w:rPr>
          <w:rFonts w:ascii="Arial" w:eastAsia="Times New Roman" w:hAnsi="Arial" w:cs="Arial"/>
          <w:sz w:val="24"/>
          <w:szCs w:val="24"/>
          <w:lang w:eastAsia="es-ES"/>
        </w:rPr>
        <w:t>diecinueve de enero de dos mil veintiséis</w:t>
      </w:r>
      <w:r w:rsidR="0093057A" w:rsidRPr="005475F3">
        <w:rPr>
          <w:rFonts w:ascii="Arial" w:eastAsia="Times New Roman" w:hAnsi="Arial" w:cs="Arial"/>
          <w:sz w:val="24"/>
          <w:szCs w:val="24"/>
          <w:lang w:eastAsia="es-ES"/>
        </w:rPr>
        <w:t xml:space="preserve">, </w:t>
      </w:r>
      <w:r w:rsidR="00D3311D" w:rsidRPr="005475F3">
        <w:rPr>
          <w:rFonts w:ascii="Arial" w:eastAsia="Times New Roman" w:hAnsi="Arial" w:cs="Arial"/>
          <w:sz w:val="24"/>
          <w:szCs w:val="24"/>
          <w:lang w:eastAsia="es-ES"/>
        </w:rPr>
        <w:t xml:space="preserve">se </w:t>
      </w:r>
      <w:r w:rsidR="0093057A" w:rsidRPr="005475F3">
        <w:rPr>
          <w:rFonts w:ascii="Arial" w:eastAsia="Times New Roman" w:hAnsi="Arial" w:cs="Arial"/>
          <w:sz w:val="24"/>
          <w:szCs w:val="24"/>
          <w:lang w:eastAsia="es-ES"/>
        </w:rPr>
        <w:t>tuvo por recibido el oficio</w:t>
      </w:r>
      <w:r w:rsidR="00F062BD" w:rsidRPr="005475F3">
        <w:rPr>
          <w:rFonts w:ascii="Arial" w:eastAsia="Times New Roman" w:hAnsi="Arial" w:cs="Arial"/>
          <w:sz w:val="24"/>
          <w:szCs w:val="24"/>
          <w:lang w:eastAsia="es-ES"/>
        </w:rPr>
        <w:t xml:space="preserve"> </w:t>
      </w:r>
      <w:r w:rsidR="0093057A" w:rsidRPr="005475F3">
        <w:rPr>
          <w:rFonts w:ascii="Arial" w:eastAsia="Times New Roman" w:hAnsi="Arial" w:cs="Arial"/>
          <w:sz w:val="24"/>
          <w:szCs w:val="24"/>
          <w:lang w:eastAsia="es-ES"/>
        </w:rPr>
        <w:t xml:space="preserve">número </w:t>
      </w:r>
      <w:r w:rsidR="00137098" w:rsidRPr="005475F3">
        <w:rPr>
          <w:rFonts w:ascii="Arial" w:eastAsia="Times New Roman" w:hAnsi="Arial" w:cs="Arial"/>
          <w:sz w:val="24"/>
          <w:szCs w:val="24"/>
          <w:lang w:eastAsia="es-ES"/>
        </w:rPr>
        <w:t>FGE-UT-07-2026</w:t>
      </w:r>
      <w:r w:rsidR="00995AA0" w:rsidRPr="005475F3">
        <w:rPr>
          <w:rFonts w:ascii="Arial" w:eastAsia="Times New Roman" w:hAnsi="Arial" w:cs="Arial"/>
          <w:sz w:val="24"/>
          <w:szCs w:val="24"/>
          <w:lang w:eastAsia="es-ES"/>
        </w:rPr>
        <w:t xml:space="preserve">, </w:t>
      </w:r>
      <w:r w:rsidR="00177C7B" w:rsidRPr="005475F3">
        <w:rPr>
          <w:rFonts w:ascii="Arial" w:eastAsia="Times New Roman" w:hAnsi="Arial" w:cs="Arial"/>
          <w:sz w:val="24"/>
          <w:szCs w:val="24"/>
          <w:lang w:eastAsia="es-ES"/>
        </w:rPr>
        <w:t xml:space="preserve">de </w:t>
      </w:r>
      <w:r w:rsidR="00137098" w:rsidRPr="005475F3">
        <w:rPr>
          <w:rFonts w:ascii="Arial" w:eastAsia="Times New Roman" w:hAnsi="Arial" w:cs="Arial"/>
          <w:sz w:val="24"/>
          <w:szCs w:val="24"/>
          <w:lang w:eastAsia="es-ES"/>
        </w:rPr>
        <w:t>catorce de enero</w:t>
      </w:r>
      <w:r w:rsidR="00680439" w:rsidRPr="005475F3">
        <w:rPr>
          <w:rFonts w:ascii="Arial" w:eastAsia="Times New Roman" w:hAnsi="Arial" w:cs="Arial"/>
          <w:sz w:val="24"/>
          <w:szCs w:val="24"/>
          <w:lang w:eastAsia="es-ES"/>
        </w:rPr>
        <w:t xml:space="preserve"> </w:t>
      </w:r>
      <w:r w:rsidR="002969BA" w:rsidRPr="005475F3">
        <w:rPr>
          <w:rFonts w:ascii="Arial" w:eastAsia="Times New Roman" w:hAnsi="Arial" w:cs="Arial"/>
          <w:sz w:val="24"/>
          <w:szCs w:val="24"/>
          <w:lang w:eastAsia="es-ES"/>
        </w:rPr>
        <w:t xml:space="preserve">de la presente anualidad, </w:t>
      </w:r>
      <w:r w:rsidR="0093057A" w:rsidRPr="005475F3">
        <w:rPr>
          <w:rFonts w:ascii="Arial" w:eastAsia="Times New Roman" w:hAnsi="Arial" w:cs="Arial"/>
          <w:sz w:val="24"/>
          <w:szCs w:val="24"/>
          <w:lang w:eastAsia="es-ES"/>
        </w:rPr>
        <w:t xml:space="preserve">por el cual </w:t>
      </w:r>
      <w:r w:rsidR="00D3311D" w:rsidRPr="005475F3">
        <w:rPr>
          <w:rFonts w:ascii="Arial" w:eastAsia="Times New Roman" w:hAnsi="Arial" w:cs="Arial"/>
          <w:sz w:val="24"/>
          <w:szCs w:val="24"/>
          <w:lang w:eastAsia="es-ES"/>
        </w:rPr>
        <w:t>l</w:t>
      </w:r>
      <w:r w:rsidR="00137098" w:rsidRPr="005475F3">
        <w:rPr>
          <w:rFonts w:ascii="Arial" w:eastAsia="Times New Roman" w:hAnsi="Arial" w:cs="Arial"/>
          <w:sz w:val="24"/>
          <w:szCs w:val="24"/>
          <w:lang w:eastAsia="es-ES"/>
        </w:rPr>
        <w:t>a</w:t>
      </w:r>
      <w:r w:rsidR="00D3311D" w:rsidRPr="005475F3">
        <w:rPr>
          <w:rFonts w:ascii="Arial" w:eastAsia="Times New Roman" w:hAnsi="Arial" w:cs="Arial"/>
          <w:sz w:val="24"/>
          <w:szCs w:val="24"/>
          <w:lang w:eastAsia="es-ES"/>
        </w:rPr>
        <w:t xml:space="preserve"> Titular de la Unidad de Transparencia de la </w:t>
      </w:r>
      <w:r w:rsidR="00137098" w:rsidRPr="005475F3">
        <w:rPr>
          <w:rFonts w:ascii="Arial" w:eastAsia="Times New Roman" w:hAnsi="Arial" w:cs="Arial"/>
          <w:sz w:val="24"/>
          <w:szCs w:val="24"/>
          <w:lang w:eastAsia="es-ES"/>
        </w:rPr>
        <w:t>Fiscalía General</w:t>
      </w:r>
      <w:r w:rsidR="00643C55" w:rsidRPr="005475F3">
        <w:rPr>
          <w:rFonts w:ascii="Arial" w:eastAsia="Times New Roman" w:hAnsi="Arial" w:cs="Arial"/>
          <w:sz w:val="24"/>
          <w:szCs w:val="24"/>
          <w:lang w:eastAsia="es-ES"/>
        </w:rPr>
        <w:t xml:space="preserve"> del Estado de San Luis Potosí, </w:t>
      </w:r>
      <w:r w:rsidR="0093057A" w:rsidRPr="005475F3">
        <w:rPr>
          <w:rFonts w:ascii="Arial" w:eastAsia="Times New Roman" w:hAnsi="Arial" w:cs="Arial"/>
          <w:sz w:val="24"/>
          <w:szCs w:val="24"/>
          <w:lang w:eastAsia="es-ES"/>
        </w:rPr>
        <w:t xml:space="preserve">compareció al presente procedimiento para manifestar lo que a su derecho estimo conveniente, en el que esencialmente reiteró el contenido de su respuesta primigenia. </w:t>
      </w:r>
      <w:r w:rsidR="005234AE" w:rsidRPr="005475F3">
        <w:rPr>
          <w:rFonts w:ascii="Arial" w:eastAsia="Times New Roman" w:hAnsi="Arial" w:cs="Arial"/>
          <w:sz w:val="24"/>
          <w:szCs w:val="24"/>
          <w:lang w:eastAsia="es-ES"/>
        </w:rPr>
        <w:t xml:space="preserve"> </w:t>
      </w:r>
    </w:p>
    <w:p w14:paraId="464F4427" w14:textId="5868E95C" w:rsidR="00904021" w:rsidRPr="005475F3" w:rsidRDefault="00904021" w:rsidP="0093057A">
      <w:pPr>
        <w:spacing w:after="0" w:line="360" w:lineRule="auto"/>
        <w:ind w:firstLine="708"/>
        <w:jc w:val="both"/>
        <w:rPr>
          <w:rFonts w:ascii="Arial" w:eastAsia="Times New Roman" w:hAnsi="Arial" w:cs="Arial"/>
          <w:sz w:val="24"/>
          <w:szCs w:val="24"/>
          <w:lang w:eastAsia="es-ES"/>
        </w:rPr>
      </w:pPr>
    </w:p>
    <w:p w14:paraId="7147B198" w14:textId="77777777" w:rsidR="00904021" w:rsidRPr="005475F3" w:rsidRDefault="00904021" w:rsidP="00904021">
      <w:pPr>
        <w:spacing w:after="0" w:line="360" w:lineRule="auto"/>
        <w:jc w:val="both"/>
        <w:rPr>
          <w:rFonts w:ascii="Arial" w:eastAsia="Times New Roman" w:hAnsi="Arial" w:cs="Arial"/>
          <w:sz w:val="24"/>
          <w:szCs w:val="24"/>
          <w:lang w:val="es-ES" w:eastAsia="es-ES"/>
        </w:rPr>
      </w:pPr>
      <w:r w:rsidRPr="005475F3">
        <w:rPr>
          <w:rFonts w:ascii="Arial" w:eastAsia="Times New Roman" w:hAnsi="Arial" w:cs="Arial"/>
          <w:sz w:val="24"/>
          <w:szCs w:val="24"/>
          <w:lang w:eastAsia="es-ES"/>
        </w:rPr>
        <w:tab/>
      </w:r>
      <w:r w:rsidRPr="005475F3">
        <w:rPr>
          <w:rFonts w:ascii="Arial" w:eastAsia="Times New Roman" w:hAnsi="Arial" w:cs="Arial"/>
          <w:sz w:val="24"/>
          <w:szCs w:val="24"/>
          <w:lang w:val="es-ES" w:eastAsia="es-ES"/>
        </w:rPr>
        <w:t xml:space="preserve">Por lo que toca a la parte recurrente, se dejó asentado que fue omisa en expresar alegato alguno y ofrecer pruebas en el plazo establecido para tal efecto. </w:t>
      </w:r>
    </w:p>
    <w:p w14:paraId="4BCD444A" w14:textId="77777777" w:rsidR="00904021" w:rsidRPr="005475F3" w:rsidRDefault="00904021" w:rsidP="0093057A">
      <w:pPr>
        <w:spacing w:after="0" w:line="360" w:lineRule="auto"/>
        <w:ind w:firstLine="708"/>
        <w:jc w:val="both"/>
        <w:rPr>
          <w:rFonts w:ascii="Arial" w:eastAsia="Times New Roman" w:hAnsi="Arial" w:cs="Arial"/>
          <w:sz w:val="24"/>
          <w:szCs w:val="24"/>
          <w:lang w:val="es-ES" w:eastAsia="es-ES"/>
        </w:rPr>
      </w:pPr>
    </w:p>
    <w:p w14:paraId="170F0257" w14:textId="50CD8E11" w:rsidR="0093057A" w:rsidRPr="005475F3" w:rsidRDefault="0093057A" w:rsidP="0093057A">
      <w:pPr>
        <w:spacing w:after="0" w:line="360" w:lineRule="auto"/>
        <w:ind w:firstLine="708"/>
        <w:jc w:val="both"/>
        <w:rPr>
          <w:rFonts w:ascii="Arial" w:hAnsi="Arial" w:cs="Arial"/>
          <w:b/>
          <w:sz w:val="24"/>
          <w:szCs w:val="24"/>
        </w:rPr>
      </w:pPr>
      <w:r w:rsidRPr="005475F3">
        <w:rPr>
          <w:rFonts w:ascii="Arial" w:eastAsia="Times New Roman" w:hAnsi="Arial" w:cs="Arial"/>
          <w:bCs/>
          <w:sz w:val="24"/>
          <w:szCs w:val="24"/>
          <w:lang w:eastAsia="es-ES"/>
        </w:rPr>
        <w:t xml:space="preserve">Asimismo, en el acuerdo de referencia, </w:t>
      </w:r>
      <w:r w:rsidRPr="005475F3">
        <w:rPr>
          <w:rFonts w:ascii="Arial" w:hAnsi="Arial" w:cs="Arial"/>
          <w:sz w:val="24"/>
          <w:szCs w:val="24"/>
        </w:rPr>
        <w:t>se decretó el Cierre de Instrucción del expediente formado con motivo del presente recurso de revisión, a fin de que la ponente presentara el proyecto de resolución correspondiente.</w:t>
      </w:r>
      <w:r w:rsidRPr="005475F3">
        <w:rPr>
          <w:rFonts w:ascii="Arial" w:hAnsi="Arial" w:cs="Arial"/>
          <w:b/>
          <w:sz w:val="24"/>
          <w:szCs w:val="24"/>
        </w:rPr>
        <w:t xml:space="preserve"> </w:t>
      </w:r>
    </w:p>
    <w:p w14:paraId="78D01291" w14:textId="3D660D08" w:rsidR="00904021" w:rsidRPr="005475F3" w:rsidRDefault="00904021" w:rsidP="0093057A">
      <w:pPr>
        <w:spacing w:after="0" w:line="360" w:lineRule="auto"/>
        <w:ind w:firstLine="708"/>
        <w:jc w:val="both"/>
        <w:rPr>
          <w:rFonts w:ascii="Arial" w:hAnsi="Arial" w:cs="Arial"/>
          <w:b/>
          <w:sz w:val="24"/>
          <w:szCs w:val="24"/>
        </w:rPr>
      </w:pPr>
    </w:p>
    <w:p w14:paraId="11E529EF" w14:textId="0D293BFF" w:rsidR="00904021" w:rsidRPr="005475F3" w:rsidRDefault="00904021" w:rsidP="00904021">
      <w:pPr>
        <w:spacing w:after="0" w:line="360" w:lineRule="auto"/>
        <w:ind w:firstLine="708"/>
        <w:jc w:val="both"/>
        <w:rPr>
          <w:rFonts w:ascii="Arial" w:hAnsi="Arial" w:cs="Arial"/>
          <w:sz w:val="24"/>
          <w:szCs w:val="24"/>
        </w:rPr>
      </w:pPr>
      <w:r w:rsidRPr="005475F3">
        <w:rPr>
          <w:rFonts w:ascii="Arial" w:hAnsi="Arial" w:cs="Arial"/>
          <w:sz w:val="24"/>
          <w:szCs w:val="24"/>
        </w:rPr>
        <w:t xml:space="preserve">En razón de que fue debidamente sustanciado el expediente y no existe diligencia pendiente de desahogo, se emite la Resolución </w:t>
      </w:r>
      <w:r w:rsidR="00C94280" w:rsidRPr="005475F3">
        <w:rPr>
          <w:rFonts w:ascii="Arial" w:hAnsi="Arial" w:cs="Arial"/>
          <w:sz w:val="24"/>
          <w:szCs w:val="24"/>
        </w:rPr>
        <w:t xml:space="preserve">conforme los siguientes: </w:t>
      </w:r>
    </w:p>
    <w:p w14:paraId="3D69BEB0" w14:textId="77777777" w:rsidR="00904021" w:rsidRPr="005475F3" w:rsidRDefault="00904021" w:rsidP="006D3B1C">
      <w:pPr>
        <w:spacing w:after="0" w:line="360" w:lineRule="auto"/>
        <w:jc w:val="center"/>
        <w:outlineLvl w:val="0"/>
        <w:rPr>
          <w:rFonts w:ascii="Arial" w:eastAsia="Times New Roman" w:hAnsi="Arial" w:cs="Arial"/>
          <w:b/>
          <w:sz w:val="24"/>
          <w:szCs w:val="24"/>
          <w:lang w:val="pt-BR" w:eastAsia="es-ES"/>
        </w:rPr>
      </w:pPr>
    </w:p>
    <w:p w14:paraId="468F1B19" w14:textId="6FA9891D"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r w:rsidRPr="005475F3">
        <w:rPr>
          <w:rFonts w:ascii="Arial" w:eastAsia="Times New Roman" w:hAnsi="Arial" w:cs="Arial"/>
          <w:b/>
          <w:sz w:val="24"/>
          <w:szCs w:val="24"/>
          <w:lang w:val="pt-BR" w:eastAsia="es-ES"/>
        </w:rPr>
        <w:t>C O N S I D E R A N D O</w:t>
      </w:r>
      <w:r w:rsidR="00C94280" w:rsidRPr="005475F3">
        <w:rPr>
          <w:rFonts w:ascii="Arial" w:eastAsia="Times New Roman" w:hAnsi="Arial" w:cs="Arial"/>
          <w:b/>
          <w:sz w:val="24"/>
          <w:szCs w:val="24"/>
          <w:lang w:val="pt-BR" w:eastAsia="es-ES"/>
        </w:rPr>
        <w:t xml:space="preserve"> S</w:t>
      </w:r>
    </w:p>
    <w:p w14:paraId="7B0F7089" w14:textId="77777777"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p>
    <w:p w14:paraId="1A5D2B89"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PRIMERO.</w:t>
      </w:r>
      <w:r w:rsidRPr="005475F3">
        <w:rPr>
          <w:rFonts w:ascii="Arial" w:eastAsia="Arial Unicode MS" w:hAnsi="Arial" w:cs="Arial"/>
          <w:b/>
          <w:sz w:val="24"/>
          <w:szCs w:val="24"/>
          <w:lang w:eastAsia="es-ES"/>
        </w:rPr>
        <w:t> </w:t>
      </w:r>
      <w:r w:rsidRPr="005475F3">
        <w:rPr>
          <w:rFonts w:ascii="Arial" w:eastAsia="Arial Unicode MS" w:hAnsi="Arial" w:cs="Arial"/>
          <w:b/>
          <w:bCs/>
          <w:sz w:val="24"/>
          <w:szCs w:val="24"/>
          <w:lang w:eastAsia="es-ES"/>
        </w:rPr>
        <w:t>Competencia.</w:t>
      </w:r>
      <w:r w:rsidRPr="005475F3">
        <w:rPr>
          <w:rFonts w:ascii="Arial" w:eastAsia="Arial Unicode MS" w:hAnsi="Arial" w:cs="Arial"/>
          <w:b/>
          <w:sz w:val="24"/>
          <w:szCs w:val="24"/>
          <w:lang w:eastAsia="es-ES"/>
        </w:rPr>
        <w:t> </w:t>
      </w:r>
      <w:r w:rsidRPr="005475F3">
        <w:rPr>
          <w:rFonts w:ascii="Arial" w:eastAsia="Arial Unicode MS" w:hAnsi="Arial" w:cs="Arial"/>
          <w:sz w:val="24"/>
          <w:szCs w:val="24"/>
          <w:lang w:eastAsia="es-ES"/>
        </w:rPr>
        <w:t>El Pleno de esta Comisión Estatal de Garantía de Acceso a la Información Pública es competente para resolver el presente recurso de revisión de conformidad con los artículos 34 fracción I y II, 35 fracción I, 174 fracción VII y 175 de la Ley de Transparencia y Acceso a la Información Pública del Estado de San Luis Potosí; así como de los artículos 2°, 5º, 8 fracción I y II, 9°, 11 y 12, fracciones I, XI y XXV del Reglamento Interior de la Comisión Estatal de Garantía de Acceso a la Información Pública. </w:t>
      </w:r>
    </w:p>
    <w:p w14:paraId="035BF2AD"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p>
    <w:p w14:paraId="79798A65"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sz w:val="24"/>
          <w:szCs w:val="24"/>
          <w:lang w:eastAsia="es-ES"/>
        </w:rPr>
        <w:t xml:space="preserve">SEGUNDO. Legitimidad. </w:t>
      </w:r>
      <w:r w:rsidRPr="005475F3">
        <w:rPr>
          <w:rFonts w:ascii="Arial" w:eastAsia="Arial Unicode MS" w:hAnsi="Arial" w:cs="Arial"/>
          <w:bCs/>
          <w:sz w:val="24"/>
          <w:szCs w:val="24"/>
          <w:lang w:eastAsia="es-ES"/>
        </w:rPr>
        <w:t xml:space="preserve">El Recurso de Revisión fue interpuesto por la parte legitimada, ya que la impugnación que se examina fue realizada a través del Sistema de Medios de Impugnación de la Plataforma Nacional de </w:t>
      </w:r>
      <w:r w:rsidRPr="005475F3">
        <w:rPr>
          <w:rFonts w:ascii="Arial" w:eastAsia="Arial Unicode MS" w:hAnsi="Arial" w:cs="Arial"/>
          <w:bCs/>
          <w:sz w:val="24"/>
          <w:szCs w:val="24"/>
          <w:lang w:eastAsia="es-ES"/>
        </w:rPr>
        <w:lastRenderedPageBreak/>
        <w:t>Transparencia, conforme lo previsto en los artículos 39, 40, 46, 48 y 49 de los Lineamientos de la Funcionalidad, Operación y Mejoras de la Plataforma Nacional de Transparencia</w:t>
      </w:r>
      <w:r w:rsidRPr="005475F3">
        <w:rPr>
          <w:rFonts w:ascii="Arial" w:eastAsia="Arial Unicode MS" w:hAnsi="Arial" w:cs="Arial"/>
          <w:bCs/>
          <w:sz w:val="24"/>
          <w:szCs w:val="24"/>
          <w:vertAlign w:val="superscript"/>
          <w:lang w:eastAsia="es-ES"/>
        </w:rPr>
        <w:footnoteReference w:id="1"/>
      </w:r>
      <w:r w:rsidRPr="005475F3">
        <w:rPr>
          <w:rFonts w:ascii="Arial" w:eastAsia="Arial Unicode MS" w:hAnsi="Arial" w:cs="Arial"/>
          <w:bCs/>
          <w:sz w:val="24"/>
          <w:szCs w:val="24"/>
          <w:lang w:eastAsia="es-ES"/>
        </w:rPr>
        <w:t>.</w:t>
      </w:r>
    </w:p>
    <w:p w14:paraId="46BF43B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3294D90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Con base en lo anterior, es dable colegir que la persona recurrente cuenta con legitimación, puesto que, para formular su solicitud de información, fue necesario generar un usuario y contraseña como datos de acceso e identificación que únicamente conoce el solicitante y que deben introducirse para llevar a cabo el seguimiento de su solicitud de información y que otorga la posibilidad de presentar recurso de revisión en contra de la respuesta proporcionada por el Sujeto Obligado.</w:t>
      </w:r>
    </w:p>
    <w:p w14:paraId="1355F74C"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63FCE2B8"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 xml:space="preserve">En el caso concreto, la fiabilidad de la creación de un usuario y contraseña en el sistema de solicitudes otorga certeza a la persona que la utiliza de que sólo ella la conoce, por lo que puede constituirle en una fuente válida y cierta, que se equipara al principio de instancia de parte agraviada porque garantiza la identidad de quien promueve el presente recurso de revisión. </w:t>
      </w:r>
    </w:p>
    <w:p w14:paraId="77928AF3"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1AC3A37D" w14:textId="77777777" w:rsidR="00FA5019" w:rsidRPr="005475F3" w:rsidRDefault="00FA5019" w:rsidP="00FA5019">
      <w:pPr>
        <w:spacing w:after="0" w:line="360" w:lineRule="auto"/>
        <w:ind w:firstLine="708"/>
        <w:jc w:val="both"/>
        <w:rPr>
          <w:rFonts w:ascii="Arial" w:eastAsia="Arial Unicode MS" w:hAnsi="Arial" w:cs="Arial"/>
          <w:iCs/>
          <w:sz w:val="24"/>
          <w:szCs w:val="24"/>
          <w:lang w:eastAsia="es-ES"/>
        </w:rPr>
      </w:pPr>
      <w:bookmarkStart w:id="1" w:name="_Hlk111068002"/>
      <w:r w:rsidRPr="005475F3">
        <w:rPr>
          <w:rFonts w:ascii="Arial" w:eastAsia="Arial Unicode MS" w:hAnsi="Arial" w:cs="Arial"/>
          <w:b/>
          <w:sz w:val="24"/>
          <w:szCs w:val="24"/>
          <w:lang w:eastAsia="es-ES"/>
        </w:rPr>
        <w:t xml:space="preserve">TERCERO. Improcedencia. </w:t>
      </w:r>
      <w:r w:rsidRPr="005475F3">
        <w:rPr>
          <w:rFonts w:ascii="Arial" w:eastAsia="Arial Unicode MS" w:hAnsi="Arial" w:cs="Arial"/>
          <w:sz w:val="24"/>
          <w:szCs w:val="24"/>
          <w:lang w:eastAsia="es-ES"/>
        </w:rPr>
        <w:t>Por cuestión de técnica jurídica y previo al análisis de fondo del presente recurso de revisión, esta Comisión realizará un estudio de oficio respecto de las causales de improcedencia, aún y cuando el sujeto obligado no las haya hecho valer, toda vez que debe tomarse en consideración que dichas causales están relacionadas con aspectos necesarios para la válida constitución de un proceso y, al tratarse de una cuestión de orden público, su estudio debe ser preferente; sirve de apoyo a lo anterior, la jurisprudencia que por analogía resulta aplicable y que a la letra señala:</w:t>
      </w:r>
    </w:p>
    <w:p w14:paraId="5E63A669"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sz w:val="24"/>
          <w:szCs w:val="24"/>
          <w:lang w:eastAsia="es-ES"/>
        </w:rPr>
        <w:tab/>
      </w:r>
    </w:p>
    <w:p w14:paraId="2FF3E63C" w14:textId="77777777" w:rsidR="00FA5019" w:rsidRPr="005475F3" w:rsidRDefault="00FA5019" w:rsidP="00FA5019">
      <w:pPr>
        <w:spacing w:after="0" w:line="240" w:lineRule="auto"/>
        <w:ind w:left="1134" w:right="1183"/>
        <w:jc w:val="both"/>
        <w:rPr>
          <w:rFonts w:ascii="Arial" w:eastAsia="Arial Unicode MS" w:hAnsi="Arial" w:cs="Arial"/>
          <w:iCs/>
          <w:lang w:val="es-ES_tradnl" w:eastAsia="es-ES"/>
        </w:rPr>
      </w:pPr>
      <w:r w:rsidRPr="005475F3">
        <w:rPr>
          <w:rFonts w:ascii="Arial" w:eastAsia="Arial Unicode MS" w:hAnsi="Arial" w:cs="Arial"/>
          <w:iCs/>
          <w:lang w:eastAsia="es-ES"/>
        </w:rPr>
        <w:t>“</w:t>
      </w:r>
      <w:r w:rsidRPr="005475F3">
        <w:rPr>
          <w:rFonts w:ascii="Arial" w:eastAsia="Arial Unicode MS" w:hAnsi="Arial" w:cs="Arial"/>
          <w:b/>
          <w:iCs/>
          <w:lang w:eastAsia="es-ES"/>
        </w:rPr>
        <w:t>IMPROCEDENCIA.</w:t>
      </w:r>
      <w:r w:rsidRPr="005475F3">
        <w:rPr>
          <w:rFonts w:ascii="Arial" w:eastAsia="Arial Unicode MS" w:hAnsi="Arial" w:cs="Arial"/>
          <w:iCs/>
          <w:lang w:eastAsia="es-ES"/>
        </w:rPr>
        <w:t xml:space="preserve"> Sea que las partes la aleguen o no, debe examinarse previamente la procedencia del juicio de amparo, por ser esa cuestión de orden público en el juicio de garantías</w:t>
      </w:r>
      <w:r w:rsidRPr="005475F3">
        <w:rPr>
          <w:rFonts w:ascii="Arial" w:eastAsia="Arial Unicode MS" w:hAnsi="Arial" w:cs="Arial"/>
          <w:iCs/>
          <w:vertAlign w:val="superscript"/>
          <w:lang w:val="es-ES_tradnl" w:eastAsia="es-ES"/>
        </w:rPr>
        <w:footnoteReference w:id="2"/>
      </w:r>
      <w:r w:rsidRPr="005475F3">
        <w:rPr>
          <w:rFonts w:ascii="Arial" w:eastAsia="Arial Unicode MS" w:hAnsi="Arial" w:cs="Arial"/>
          <w:iCs/>
          <w:lang w:val="es-ES_tradnl" w:eastAsia="es-ES"/>
        </w:rPr>
        <w:t xml:space="preserve">”. </w:t>
      </w:r>
    </w:p>
    <w:p w14:paraId="3AD44857" w14:textId="77777777" w:rsidR="00FA5019" w:rsidRPr="005475F3" w:rsidRDefault="00FA5019" w:rsidP="00FA5019">
      <w:pPr>
        <w:spacing w:after="0" w:line="360" w:lineRule="auto"/>
        <w:ind w:firstLine="708"/>
        <w:jc w:val="both"/>
        <w:rPr>
          <w:rFonts w:ascii="Arial" w:eastAsia="Arial Unicode MS" w:hAnsi="Arial" w:cs="Arial"/>
          <w:b/>
          <w:sz w:val="24"/>
          <w:szCs w:val="24"/>
          <w:lang w:val="es-ES_tradnl" w:eastAsia="es-ES"/>
        </w:rPr>
      </w:pPr>
    </w:p>
    <w:p w14:paraId="7CE8027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lastRenderedPageBreak/>
        <w:t>En relación a las causales de improcedencia, el artículo 179 de la Ley de Transparencia y Acceso a la Información Pública del Estado de San Luis Potosí, establece lo siguiente:</w:t>
      </w:r>
    </w:p>
    <w:p w14:paraId="6BB2F59A"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4B8510A7" w14:textId="77777777" w:rsidR="00FA5019" w:rsidRPr="005475F3" w:rsidRDefault="00FA5019" w:rsidP="00FA5019">
      <w:pPr>
        <w:spacing w:after="0" w:line="240" w:lineRule="auto"/>
        <w:ind w:left="1134" w:right="1183"/>
        <w:jc w:val="both"/>
        <w:rPr>
          <w:rFonts w:ascii="Arial" w:eastAsia="Arial Unicode MS" w:hAnsi="Arial" w:cs="Arial"/>
          <w:lang w:eastAsia="es-ES"/>
        </w:rPr>
      </w:pPr>
      <w:r w:rsidRPr="005475F3">
        <w:rPr>
          <w:rFonts w:ascii="Arial" w:eastAsia="Arial Unicode MS" w:hAnsi="Arial" w:cs="Arial"/>
          <w:b/>
          <w:lang w:eastAsia="es-ES"/>
        </w:rPr>
        <w:t>ARTÍCULO 179.</w:t>
      </w:r>
      <w:r w:rsidRPr="005475F3">
        <w:rPr>
          <w:rFonts w:ascii="Arial" w:eastAsia="Arial Unicode MS" w:hAnsi="Arial" w:cs="Arial"/>
          <w:lang w:eastAsia="es-ES"/>
        </w:rPr>
        <w:t xml:space="preserve"> El recurso será desechado por improcedente cuando: </w:t>
      </w:r>
    </w:p>
    <w:p w14:paraId="4ADCAC5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Sea extemporáneo por haber transcurrido el plazo establecido en el artículo 166 de la presente Ley; </w:t>
      </w:r>
    </w:p>
    <w:p w14:paraId="0ECB4425"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el Poder Judicial algún recurso o medio de defensa interpuesto por el recurrente; </w:t>
      </w:r>
    </w:p>
    <w:p w14:paraId="2701F312"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la CEGAIP algún recurso de revisión por el mismo quejoso en los mismos términos; </w:t>
      </w:r>
    </w:p>
    <w:p w14:paraId="10D6B2CA"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actualice alguno de los supuestos previstos en el artículo 167 de la presente Ley; </w:t>
      </w:r>
    </w:p>
    <w:p w14:paraId="17959A2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se haya desahogado la prevención en los términos establecidos en el artículo 168 de la presente Ley; </w:t>
      </w:r>
    </w:p>
    <w:p w14:paraId="61483298"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impugne la veracidad de la información proporcionada; </w:t>
      </w:r>
    </w:p>
    <w:p w14:paraId="29C9DC4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trate de una consulta, o </w:t>
      </w:r>
    </w:p>
    <w:p w14:paraId="4014F26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El recurrente amplíe su solicitud en el recurso de revisión, únicamente respecto de los nuevos contenidos.</w:t>
      </w:r>
    </w:p>
    <w:p w14:paraId="7EA33180" w14:textId="77777777" w:rsidR="00FA5019" w:rsidRPr="005475F3" w:rsidRDefault="00FA5019" w:rsidP="00FA5019">
      <w:pPr>
        <w:spacing w:after="0" w:line="360" w:lineRule="auto"/>
        <w:ind w:left="1134"/>
        <w:jc w:val="both"/>
        <w:rPr>
          <w:rFonts w:ascii="Arial" w:eastAsia="Arial Unicode MS" w:hAnsi="Arial" w:cs="Arial"/>
          <w:b/>
          <w:sz w:val="24"/>
          <w:szCs w:val="24"/>
          <w:lang w:eastAsia="es-ES"/>
        </w:rPr>
      </w:pPr>
    </w:p>
    <w:p w14:paraId="55AEF98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Es así que, a continuación, se analizará cada una de las hipótesis que prevé el precepto referido: </w:t>
      </w:r>
    </w:p>
    <w:p w14:paraId="34A79DF7" w14:textId="77777777" w:rsidR="00FA5019" w:rsidRPr="005475F3" w:rsidRDefault="00FA5019" w:rsidP="00FA5019">
      <w:pPr>
        <w:spacing w:after="0" w:line="360" w:lineRule="auto"/>
        <w:ind w:firstLine="708"/>
        <w:jc w:val="both"/>
        <w:rPr>
          <w:rFonts w:ascii="Arial" w:eastAsia="Arial Unicode MS" w:hAnsi="Arial" w:cs="Arial"/>
          <w:b/>
          <w:bCs/>
          <w:sz w:val="24"/>
          <w:szCs w:val="24"/>
          <w:lang w:eastAsia="es-ES"/>
        </w:rPr>
      </w:pPr>
    </w:p>
    <w:p w14:paraId="1D63D21E"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 Oportunidad. </w:t>
      </w:r>
      <w:r w:rsidRPr="005475F3">
        <w:rPr>
          <w:rFonts w:ascii="Arial" w:eastAsia="Arial Unicode MS" w:hAnsi="Arial" w:cs="Arial"/>
          <w:sz w:val="24"/>
          <w:szCs w:val="24"/>
          <w:lang w:eastAsia="es-ES"/>
        </w:rPr>
        <w:t xml:space="preserve">Tal y como se desprende de las constancias que obran en el expediente en el que se actúa, el recurso de revisión fue presentado en tiempo y forma, por lo que se encuentra dentro del plazo establecido por el artículo 166 de la Ley de Transparencia y Acceso a la Información Pública del Estado de San Luis Potosí, para la interposición del recurso de revisión, el cual resulta ser de 15 días hábiles. </w:t>
      </w:r>
    </w:p>
    <w:p w14:paraId="19808405"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7255735A"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II. Litispendencia. </w:t>
      </w:r>
      <w:r w:rsidRPr="005475F3">
        <w:rPr>
          <w:rFonts w:ascii="Arial" w:eastAsia="Arial Unicode MS" w:hAnsi="Arial" w:cs="Arial"/>
          <w:sz w:val="24"/>
          <w:szCs w:val="24"/>
          <w:lang w:eastAsia="es-ES"/>
        </w:rPr>
        <w:t>Esta Comisión no tiene conocimiento de la existencia de algún recurso o medio de defensa en trámite ante los tribunales del Poder Judicial Federal por parte de la persona recurrente, razón por la cual la hipótesis prevista en la fracción II del precepto legal en cuestión no cobra vigencia.</w:t>
      </w:r>
    </w:p>
    <w:p w14:paraId="53374518"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0A629E3C" w14:textId="4FE07577" w:rsidR="00FA5019" w:rsidRPr="005475F3" w:rsidRDefault="00FA5019" w:rsidP="00FA5019">
      <w:pPr>
        <w:spacing w:line="360" w:lineRule="auto"/>
        <w:ind w:firstLine="708"/>
        <w:jc w:val="both"/>
        <w:rPr>
          <w:rFonts w:ascii="Arial" w:eastAsia="Arial Unicode MS" w:hAnsi="Arial" w:cs="Arial"/>
          <w:sz w:val="24"/>
          <w:szCs w:val="24"/>
        </w:rPr>
      </w:pPr>
      <w:r w:rsidRPr="005475F3">
        <w:rPr>
          <w:rFonts w:ascii="Arial" w:eastAsia="Arial Unicode MS" w:hAnsi="Arial" w:cs="Arial"/>
          <w:b/>
          <w:bCs/>
          <w:sz w:val="24"/>
          <w:szCs w:val="24"/>
        </w:rPr>
        <w:t xml:space="preserve">III. Cosa Juzgada. </w:t>
      </w:r>
      <w:r w:rsidRPr="005475F3">
        <w:rPr>
          <w:rFonts w:ascii="Arial" w:eastAsia="Arial Unicode MS" w:hAnsi="Arial" w:cs="Arial"/>
          <w:sz w:val="24"/>
          <w:szCs w:val="24"/>
        </w:rPr>
        <w:t xml:space="preserve">Al respecto, se realizó una búsqueda dentro de las bases de datos internas con las que cuenta esta Comisión, advirtiendo que no existe antecedente en el que se haya resuelto en definitiva algún recurso de revisión que versara sobre la misma solicitud de acceso, por lo que no se </w:t>
      </w:r>
      <w:r w:rsidRPr="005475F3">
        <w:rPr>
          <w:rFonts w:ascii="Arial" w:eastAsia="Arial Unicode MS" w:hAnsi="Arial" w:cs="Arial"/>
          <w:sz w:val="24"/>
          <w:szCs w:val="24"/>
        </w:rPr>
        <w:lastRenderedPageBreak/>
        <w:t>actualiza la causal de improcedencia establecida en la fracción III del precepto legal que se analiza.</w:t>
      </w:r>
    </w:p>
    <w:p w14:paraId="71073A2F" w14:textId="77777777" w:rsidR="00552FC8" w:rsidRPr="005475F3" w:rsidRDefault="00552FC8" w:rsidP="00552FC8">
      <w:pPr>
        <w:spacing w:after="0" w:line="360" w:lineRule="auto"/>
        <w:ind w:firstLine="709"/>
        <w:jc w:val="both"/>
        <w:rPr>
          <w:rFonts w:ascii="Arial" w:eastAsia="Arial Unicode MS" w:hAnsi="Arial" w:cs="Arial"/>
          <w:sz w:val="24"/>
          <w:szCs w:val="24"/>
        </w:rPr>
      </w:pPr>
    </w:p>
    <w:p w14:paraId="045D2896"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IV. Procedencia. </w:t>
      </w:r>
      <w:r w:rsidRPr="005475F3">
        <w:rPr>
          <w:rFonts w:ascii="Arial" w:eastAsia="Arial Unicode MS" w:hAnsi="Arial" w:cs="Arial"/>
          <w:sz w:val="24"/>
          <w:szCs w:val="24"/>
          <w:lang w:eastAsia="es-ES"/>
        </w:rPr>
        <w:t xml:space="preserve">Asimismo, se advierte que el presente recurso de revisión actualiza el supuesto de procedencia previsto en la fracción VI del artículo 167 de la Ley de Transparencia y Acceso a la Información Pública del Estado, ya que, la persona recurrente aduce la falta de respuesta por parte del sujeto obligado, en los términos que establece el artículo 154 de la Ley de Transparencia Local. </w:t>
      </w:r>
    </w:p>
    <w:p w14:paraId="04EAAC3B"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9DE0D94"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De manera posterior, con la modificación del acto impugnado por la autoridad, se tiene que la emisión de una respuesta a la solicitud de información de la particular, actualiza la fracción I del artículo 167 de la Ley de Transparencia y Acceso a la Información Pública del Estado, esto es, la </w:t>
      </w:r>
      <w:r w:rsidRPr="005475F3">
        <w:rPr>
          <w:rFonts w:ascii="Arial" w:eastAsia="Arial Unicode MS" w:hAnsi="Arial" w:cs="Arial"/>
          <w:bCs/>
          <w:sz w:val="24"/>
          <w:szCs w:val="24"/>
          <w:lang w:eastAsia="es-ES"/>
        </w:rPr>
        <w:t xml:space="preserve">clasificación de la información con carácter reservado. </w:t>
      </w:r>
    </w:p>
    <w:p w14:paraId="16BBBECF" w14:textId="77777777" w:rsidR="00FA5019" w:rsidRPr="005475F3" w:rsidRDefault="00FA5019" w:rsidP="00552FC8">
      <w:pPr>
        <w:spacing w:after="0" w:line="360" w:lineRule="auto"/>
        <w:jc w:val="both"/>
        <w:rPr>
          <w:rFonts w:ascii="Arial" w:eastAsia="Arial Unicode MS" w:hAnsi="Arial" w:cs="Arial"/>
          <w:b/>
          <w:sz w:val="24"/>
          <w:szCs w:val="24"/>
          <w:lang w:eastAsia="es-ES"/>
        </w:rPr>
      </w:pPr>
    </w:p>
    <w:p w14:paraId="3B93CF16"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V. Prevención. </w:t>
      </w:r>
      <w:r w:rsidRPr="005475F3">
        <w:rPr>
          <w:rFonts w:ascii="Arial" w:eastAsia="Arial Unicode MS" w:hAnsi="Arial" w:cs="Arial"/>
          <w:sz w:val="24"/>
          <w:szCs w:val="24"/>
          <w:lang w:eastAsia="es-ES"/>
        </w:rPr>
        <w:t xml:space="preserve">De un análisis de las constancias que obran en el expediente en el que se actúa, no consta que se haya efectuado requerimiento alguno a la parte recurrente. </w:t>
      </w:r>
    </w:p>
    <w:p w14:paraId="307C483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2AEA91C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VI. Veracidad. </w:t>
      </w:r>
      <w:r w:rsidRPr="005475F3">
        <w:rPr>
          <w:rFonts w:ascii="Arial" w:eastAsia="Arial Unicode MS" w:hAnsi="Arial" w:cs="Arial"/>
          <w:sz w:val="24"/>
          <w:szCs w:val="24"/>
          <w:lang w:eastAsia="es-ES"/>
        </w:rPr>
        <w:t xml:space="preserve">De los motivos de agravio esgrimidos, no se evidencia que la intención de la persona recurrente tenga como finalidad controvertir la legalidad de la repuesta otorgada. </w:t>
      </w:r>
    </w:p>
    <w:p w14:paraId="03E6B964"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4562D2BF"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 xml:space="preserve">VII. Consulta. </w:t>
      </w:r>
      <w:r w:rsidRPr="005475F3">
        <w:rPr>
          <w:rFonts w:ascii="Arial" w:eastAsia="Arial Unicode MS" w:hAnsi="Arial" w:cs="Arial"/>
          <w:sz w:val="24"/>
          <w:szCs w:val="24"/>
          <w:lang w:eastAsia="es-ES"/>
        </w:rPr>
        <w:t xml:space="preserve">Del contenido de la solicitud de información, se tiene que lo requerido atiende al acceso de documentos previamente elaborados por el Sujeto Obligado y no así, a la generación de un documento para satisfacer la petición del particular. </w:t>
      </w:r>
    </w:p>
    <w:p w14:paraId="7B3BC3AC"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ECE98F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VIII. Ampliación. </w:t>
      </w:r>
      <w:r w:rsidRPr="005475F3">
        <w:rPr>
          <w:rFonts w:ascii="Arial" w:eastAsia="Arial Unicode MS" w:hAnsi="Arial" w:cs="Arial"/>
          <w:sz w:val="24"/>
          <w:szCs w:val="24"/>
          <w:lang w:eastAsia="es-ES"/>
        </w:rPr>
        <w:t xml:space="preserve">Asimismo, del contraste de la solicitud de acceso a la información con el recurso de revisión que fue interpuesto en contra de la respuesta proporcionada por el sujeto obligado, esta Comisión no advierte que la persona recurrente haya ampliado su solicitud de acceso. Por tal motivo no se </w:t>
      </w:r>
      <w:r w:rsidRPr="005475F3">
        <w:rPr>
          <w:rFonts w:ascii="Arial" w:eastAsia="Arial Unicode MS" w:hAnsi="Arial" w:cs="Arial"/>
          <w:sz w:val="24"/>
          <w:szCs w:val="24"/>
          <w:lang w:eastAsia="es-ES"/>
        </w:rPr>
        <w:lastRenderedPageBreak/>
        <w:t xml:space="preserve">actualiza la hipótesis de improcedencia establecida en la fracción VIII del artículo en análisis. </w:t>
      </w:r>
    </w:p>
    <w:p w14:paraId="16CF22C2"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23753CF4" w14:textId="77777777" w:rsidR="00FA5019" w:rsidRPr="005475F3" w:rsidRDefault="00FA5019" w:rsidP="00FA5019">
      <w:pPr>
        <w:spacing w:after="0" w:line="360" w:lineRule="auto"/>
        <w:ind w:firstLine="709"/>
        <w:jc w:val="both"/>
        <w:rPr>
          <w:rFonts w:ascii="Arial" w:eastAsia="Arial Unicode MS" w:hAnsi="Arial" w:cs="Arial"/>
          <w:sz w:val="24"/>
          <w:szCs w:val="24"/>
          <w:lang w:eastAsia="es-ES"/>
        </w:rPr>
      </w:pPr>
      <w:bookmarkStart w:id="2" w:name="_Toc209010496"/>
      <w:r w:rsidRPr="005475F3">
        <w:rPr>
          <w:rFonts w:ascii="Arial" w:eastAsia="Arial Unicode MS" w:hAnsi="Arial" w:cs="Arial"/>
          <w:b/>
          <w:sz w:val="24"/>
          <w:szCs w:val="24"/>
          <w:lang w:eastAsia="es-ES"/>
        </w:rPr>
        <w:t>CUARTO. Sobreseimiento.</w:t>
      </w:r>
      <w:bookmarkEnd w:id="2"/>
      <w:r w:rsidRPr="005475F3">
        <w:rPr>
          <w:rFonts w:ascii="Arial" w:eastAsia="Arial Unicode MS" w:hAnsi="Arial" w:cs="Arial"/>
          <w:b/>
          <w:sz w:val="24"/>
          <w:szCs w:val="24"/>
          <w:lang w:eastAsia="es-ES"/>
        </w:rPr>
        <w:t xml:space="preserve"> </w:t>
      </w:r>
      <w:r w:rsidRPr="005475F3">
        <w:rPr>
          <w:rFonts w:ascii="Arial" w:eastAsia="Arial Unicode MS" w:hAnsi="Arial" w:cs="Arial"/>
          <w:bCs/>
          <w:sz w:val="24"/>
          <w:szCs w:val="24"/>
          <w:lang w:eastAsia="es-ES"/>
        </w:rPr>
        <w:t>La figura jurídica del sobreseimiento</w:t>
      </w:r>
      <w:r w:rsidRPr="005475F3">
        <w:rPr>
          <w:rStyle w:val="Refdenotaalpie"/>
          <w:rFonts w:ascii="Arial" w:eastAsia="Arial Unicode MS" w:hAnsi="Arial" w:cs="Arial"/>
          <w:bCs/>
          <w:sz w:val="24"/>
          <w:szCs w:val="24"/>
          <w:lang w:eastAsia="es-ES"/>
        </w:rPr>
        <w:footnoteReference w:id="3"/>
      </w:r>
      <w:r w:rsidRPr="005475F3">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Información Pública del Estado, por lo que al ser una cuestión de </w:t>
      </w:r>
      <w:r w:rsidRPr="005475F3">
        <w:rPr>
          <w:rFonts w:ascii="Arial" w:eastAsia="Arial Unicode MS" w:hAnsi="Arial" w:cs="Arial"/>
          <w:sz w:val="24"/>
          <w:szCs w:val="24"/>
          <w:lang w:eastAsia="es-ES"/>
        </w:rPr>
        <w:t xml:space="preserve">previo y especial pronunciamiento, esta Comisión analiza si se actualiza alguna </w:t>
      </w:r>
      <w:r w:rsidRPr="005475F3">
        <w:rPr>
          <w:rFonts w:ascii="Arial" w:eastAsia="Arial Unicode MS" w:hAnsi="Arial" w:cs="Arial"/>
          <w:bCs/>
          <w:sz w:val="24"/>
          <w:szCs w:val="24"/>
          <w:lang w:eastAsia="es-ES"/>
        </w:rPr>
        <w:t xml:space="preserve">causal </w:t>
      </w:r>
      <w:r w:rsidRPr="005475F3">
        <w:rPr>
          <w:rFonts w:ascii="Arial" w:eastAsia="Arial Unicode MS" w:hAnsi="Arial" w:cs="Arial"/>
          <w:sz w:val="24"/>
          <w:szCs w:val="24"/>
          <w:lang w:eastAsia="es-ES"/>
        </w:rPr>
        <w:t xml:space="preserve">de </w:t>
      </w:r>
      <w:r w:rsidRPr="005475F3">
        <w:rPr>
          <w:rFonts w:ascii="Arial" w:eastAsia="Arial Unicode MS" w:hAnsi="Arial" w:cs="Arial"/>
          <w:bCs/>
          <w:sz w:val="24"/>
          <w:szCs w:val="24"/>
          <w:lang w:eastAsia="es-ES"/>
        </w:rPr>
        <w:t>sobreseimiento</w:t>
      </w:r>
      <w:r w:rsidRPr="005475F3">
        <w:rPr>
          <w:rFonts w:ascii="Arial" w:eastAsia="Arial Unicode MS" w:hAnsi="Arial" w:cs="Arial"/>
          <w:sz w:val="24"/>
          <w:szCs w:val="24"/>
          <w:lang w:eastAsia="es-ES"/>
        </w:rPr>
        <w:t xml:space="preserve">. </w:t>
      </w:r>
    </w:p>
    <w:p w14:paraId="63B01343"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74DFDB23" w14:textId="77777777" w:rsidR="00FA5019" w:rsidRPr="005475F3" w:rsidRDefault="00FA5019" w:rsidP="00FA5019">
      <w:pPr>
        <w:spacing w:after="0" w:line="240" w:lineRule="auto"/>
        <w:ind w:left="1134" w:right="1183"/>
        <w:jc w:val="both"/>
        <w:rPr>
          <w:rFonts w:ascii="Arial" w:eastAsia="Arial Unicode MS" w:hAnsi="Arial" w:cs="Arial"/>
          <w:bCs/>
          <w:lang w:eastAsia="es-ES"/>
        </w:rPr>
      </w:pPr>
      <w:r w:rsidRPr="005475F3">
        <w:rPr>
          <w:rFonts w:ascii="Arial" w:eastAsia="Arial Unicode MS" w:hAnsi="Arial" w:cs="Arial"/>
          <w:b/>
          <w:bCs/>
          <w:lang w:eastAsia="es-ES"/>
        </w:rPr>
        <w:t>ARTÍCULO 180.</w:t>
      </w:r>
      <w:r w:rsidRPr="005475F3">
        <w:rPr>
          <w:rFonts w:ascii="Arial" w:eastAsia="Arial Unicode MS" w:hAnsi="Arial" w:cs="Arial"/>
          <w:bCs/>
          <w:lang w:eastAsia="es-ES"/>
        </w:rPr>
        <w:t xml:space="preserve"> El recurso será sobreseído, en todo o en parte, cuando, una vez admitido, se actualicen alguno de los siguientes supuestos: </w:t>
      </w:r>
    </w:p>
    <w:p w14:paraId="4AE6B9D6"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se desista; </w:t>
      </w:r>
    </w:p>
    <w:p w14:paraId="107424C8"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fallezca; </w:t>
      </w:r>
    </w:p>
    <w:p w14:paraId="52B3BE8F"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sujeto obligado responsable del acto lo modifique o revoque de tal manera que el recurso de revisión quede sin materia, o </w:t>
      </w:r>
    </w:p>
    <w:p w14:paraId="54A24CBD"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Admitido el recurso de revisión, aparezca alguna causal de improcedencia en los términos del presente Capítulo.</w:t>
      </w:r>
    </w:p>
    <w:p w14:paraId="7166D1DD"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108DF802"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lang w:val="es-ES_tradnl"/>
        </w:rPr>
        <w:t>B</w:t>
      </w:r>
      <w:r w:rsidRPr="005475F3">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31702DC8"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7992F51"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bCs/>
          <w:sz w:val="24"/>
          <w:szCs w:val="24"/>
          <w:lang w:eastAsia="es-ES"/>
        </w:rPr>
        <w:t xml:space="preserve">QUINTO. Valoración de las pruebas. </w:t>
      </w:r>
      <w:r w:rsidRPr="005475F3">
        <w:rPr>
          <w:rFonts w:ascii="Arial" w:eastAsia="Arial Unicode MS" w:hAnsi="Arial" w:cs="Arial"/>
          <w:bCs/>
          <w:sz w:val="24"/>
          <w:szCs w:val="24"/>
          <w:lang w:eastAsia="es-ES"/>
        </w:rPr>
        <w:t>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0AB91237"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p>
    <w:p w14:paraId="78FC8F02" w14:textId="77777777" w:rsidR="00FA5019" w:rsidRPr="005475F3" w:rsidRDefault="00FA5019" w:rsidP="00FA5019">
      <w:pPr>
        <w:spacing w:after="0" w:line="360" w:lineRule="auto"/>
        <w:ind w:firstLine="709"/>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lastRenderedPageBreak/>
        <w:t>En razón de lo anterior, se tiene que de las documentales que obran en el presente sumario, se desahogan por su propia y especial naturaleza y a las cuales se les concede valor probatorio de conformidad con lo establecido en los</w:t>
      </w:r>
    </w:p>
    <w:p w14:paraId="0C07476D" w14:textId="77777777" w:rsidR="00FA5019" w:rsidRPr="005475F3" w:rsidRDefault="00FA5019" w:rsidP="00FA5019">
      <w:pPr>
        <w:spacing w:after="0" w:line="360" w:lineRule="auto"/>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p w14:paraId="0E4BD247" w14:textId="77777777" w:rsidR="00FA5019" w:rsidRPr="005475F3" w:rsidRDefault="00FA5019" w:rsidP="00FA5019">
      <w:pPr>
        <w:spacing w:after="0" w:line="360" w:lineRule="auto"/>
        <w:jc w:val="both"/>
        <w:rPr>
          <w:rFonts w:ascii="Arial" w:eastAsia="Arial Unicode MS" w:hAnsi="Arial" w:cs="Arial"/>
          <w:bCs/>
          <w:sz w:val="24"/>
          <w:szCs w:val="24"/>
          <w:lang w:eastAsia="es-ES"/>
        </w:rPr>
      </w:pPr>
    </w:p>
    <w:p w14:paraId="08C0C1CF" w14:textId="77777777" w:rsidR="00D935FA" w:rsidRPr="005475F3" w:rsidRDefault="00FA5019" w:rsidP="00D935FA">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SÉXTO</w:t>
      </w:r>
      <w:r w:rsidR="006D3B1C" w:rsidRPr="005475F3">
        <w:rPr>
          <w:rFonts w:ascii="Arial" w:eastAsia="Arial Unicode MS" w:hAnsi="Arial" w:cs="Arial"/>
          <w:b/>
          <w:bCs/>
          <w:sz w:val="24"/>
          <w:szCs w:val="24"/>
          <w:lang w:eastAsia="es-ES"/>
        </w:rPr>
        <w:t xml:space="preserve">. </w:t>
      </w:r>
      <w:r w:rsidR="00D935FA" w:rsidRPr="005475F3">
        <w:rPr>
          <w:rFonts w:ascii="Arial" w:eastAsia="Arial Unicode MS" w:hAnsi="Arial" w:cs="Arial"/>
          <w:b/>
          <w:sz w:val="24"/>
          <w:szCs w:val="24"/>
          <w:lang w:eastAsia="es-ES"/>
        </w:rPr>
        <w:t xml:space="preserve">Línea argumentativa, de la Suplencia de la Queja. </w:t>
      </w:r>
      <w:r w:rsidR="00D935FA" w:rsidRPr="005475F3">
        <w:rPr>
          <w:rFonts w:ascii="Arial" w:eastAsia="Arial Unicode MS" w:hAnsi="Arial" w:cs="Arial"/>
          <w:sz w:val="24"/>
          <w:szCs w:val="24"/>
          <w:lang w:eastAsia="es-ES"/>
        </w:rPr>
        <w:t xml:space="preserve">De conformidad con lo establecido en el párrafo segundo del artículo 170 de la Ley de Transparencia y Acceso a la Información Pública del Estado, se precisa que en el presente procedimiento deberá aplicarse la suplencia de la queja a favor del recurrente, sin cambiar los hechos expuestos, asegurándose de que las partes puedan presentar de manera oral o escrita, los argumentos que funden y motiven sus pretensiones. </w:t>
      </w:r>
    </w:p>
    <w:p w14:paraId="65D7D034" w14:textId="77777777" w:rsidR="00D935FA" w:rsidRPr="005475F3" w:rsidRDefault="00D935FA" w:rsidP="00D935FA">
      <w:pPr>
        <w:spacing w:after="0" w:line="360" w:lineRule="auto"/>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ab/>
      </w:r>
    </w:p>
    <w:p w14:paraId="235B48F6" w14:textId="77777777" w:rsidR="00D935FA" w:rsidRPr="005475F3" w:rsidRDefault="00D935FA" w:rsidP="00D935FA">
      <w:pPr>
        <w:spacing w:after="0" w:line="360" w:lineRule="auto"/>
        <w:jc w:val="both"/>
        <w:rPr>
          <w:rFonts w:ascii="Arial" w:eastAsia="Arial Unicode MS" w:hAnsi="Arial" w:cs="Arial"/>
          <w:bCs/>
          <w:i/>
          <w:sz w:val="24"/>
          <w:szCs w:val="24"/>
          <w:lang w:eastAsia="es-ES"/>
        </w:rPr>
      </w:pPr>
      <w:r w:rsidRPr="005475F3">
        <w:rPr>
          <w:rFonts w:ascii="Arial" w:eastAsia="Arial Unicode MS" w:hAnsi="Arial" w:cs="Arial"/>
          <w:sz w:val="24"/>
          <w:szCs w:val="24"/>
          <w:lang w:eastAsia="es-ES"/>
        </w:rPr>
        <w:tab/>
        <w:t>En razón de lo anterior, es menester resaltar que a</w:t>
      </w:r>
      <w:r w:rsidRPr="005475F3">
        <w:rPr>
          <w:rFonts w:ascii="Arial" w:eastAsia="Arial Unicode MS" w:hAnsi="Arial" w:cs="Arial"/>
          <w:bCs/>
          <w:sz w:val="24"/>
          <w:szCs w:val="24"/>
          <w:lang w:eastAsia="es-ES"/>
        </w:rPr>
        <w:t xml:space="preserve"> partir de las reformas constitucionales de 10 diez de junio de 2011 dos mil once, el párrafo segundo del artículo 1o. de la Constitución Política de los Estados Unidos Mexicanos establece: </w:t>
      </w:r>
      <w:r w:rsidRPr="005475F3">
        <w:rPr>
          <w:rFonts w:ascii="Arial" w:eastAsia="Arial Unicode MS" w:hAnsi="Arial" w:cs="Arial"/>
          <w:bCs/>
          <w:i/>
          <w:sz w:val="24"/>
          <w:szCs w:val="24"/>
          <w:lang w:eastAsia="es-ES"/>
        </w:rPr>
        <w:t xml:space="preserve">“…Las normas relativas a los derechos humanos se interpretarán de conformidad con esta Constitución y con los tratados internacionales de la materia </w:t>
      </w:r>
      <w:r w:rsidRPr="005475F3">
        <w:rPr>
          <w:rFonts w:ascii="Arial" w:eastAsia="Arial Unicode MS" w:hAnsi="Arial" w:cs="Arial"/>
          <w:bCs/>
          <w:i/>
          <w:sz w:val="24"/>
          <w:szCs w:val="24"/>
          <w:u w:val="single"/>
          <w:lang w:eastAsia="es-ES"/>
        </w:rPr>
        <w:t>favoreciendo en todo tiempo a las personas la protección más amplia...</w:t>
      </w:r>
      <w:r w:rsidRPr="005475F3">
        <w:rPr>
          <w:rFonts w:ascii="Arial" w:eastAsia="Arial Unicode MS" w:hAnsi="Arial" w:cs="Arial"/>
          <w:bCs/>
          <w:i/>
          <w:sz w:val="24"/>
          <w:szCs w:val="24"/>
          <w:lang w:eastAsia="es-ES"/>
        </w:rPr>
        <w:t>”.</w:t>
      </w:r>
    </w:p>
    <w:p w14:paraId="000AD8B1" w14:textId="77777777" w:rsidR="00D935FA" w:rsidRPr="005475F3" w:rsidRDefault="00D935FA" w:rsidP="00D935FA">
      <w:pPr>
        <w:spacing w:after="0" w:line="360" w:lineRule="auto"/>
        <w:jc w:val="both"/>
        <w:rPr>
          <w:rFonts w:ascii="Arial" w:eastAsia="Arial Unicode MS" w:hAnsi="Arial" w:cs="Arial"/>
          <w:bCs/>
          <w:sz w:val="24"/>
          <w:szCs w:val="24"/>
          <w:lang w:eastAsia="es-ES"/>
        </w:rPr>
      </w:pPr>
    </w:p>
    <w:p w14:paraId="3B27B12D" w14:textId="77777777" w:rsidR="00D935FA" w:rsidRPr="005475F3" w:rsidRDefault="00D935FA" w:rsidP="00D935FA">
      <w:pPr>
        <w:spacing w:after="0" w:line="360" w:lineRule="auto"/>
        <w:ind w:firstLine="708"/>
        <w:jc w:val="both"/>
        <w:rPr>
          <w:rFonts w:ascii="Arial" w:eastAsia="Arial Unicode MS" w:hAnsi="Arial" w:cs="Arial"/>
          <w:bCs/>
          <w:i/>
          <w:sz w:val="24"/>
          <w:szCs w:val="24"/>
          <w:lang w:eastAsia="es-ES"/>
        </w:rPr>
      </w:pPr>
      <w:r w:rsidRPr="005475F3">
        <w:rPr>
          <w:rFonts w:ascii="Arial" w:eastAsia="Arial Unicode MS" w:hAnsi="Arial" w:cs="Arial"/>
          <w:bCs/>
          <w:sz w:val="24"/>
          <w:szCs w:val="24"/>
          <w:lang w:eastAsia="es-ES"/>
        </w:rPr>
        <w:t xml:space="preserve">Así, existe la obligación constitucional de velar por la interpretación más extensiva sobre en el numeral 17, tercer párrafo de la Ley Suprema, que señala: </w:t>
      </w:r>
      <w:r w:rsidRPr="005475F3">
        <w:rPr>
          <w:rFonts w:ascii="Arial" w:eastAsia="Arial Unicode MS" w:hAnsi="Arial" w:cs="Arial"/>
          <w:bCs/>
          <w:i/>
          <w:sz w:val="24"/>
          <w:szCs w:val="24"/>
          <w:lang w:eastAsia="es-ES"/>
        </w:rPr>
        <w:t xml:space="preserve">“…Siempre que no se afecte la igualdad entre las partes, el debido proceso u otros derechos en los juicios o procedimientos seguidos en forma de juicio, las </w:t>
      </w:r>
      <w:r w:rsidRPr="005475F3">
        <w:rPr>
          <w:rFonts w:ascii="Arial" w:eastAsia="Arial Unicode MS" w:hAnsi="Arial" w:cs="Arial"/>
          <w:bCs/>
          <w:i/>
          <w:sz w:val="24"/>
          <w:szCs w:val="24"/>
          <w:u w:val="single"/>
          <w:lang w:eastAsia="es-ES"/>
        </w:rPr>
        <w:t>autoridades deberán privilegiar la solución del conflicto sobre los formalismos procedimentales…”.</w:t>
      </w:r>
    </w:p>
    <w:p w14:paraId="7CC4F1FF" w14:textId="77777777" w:rsidR="00D935FA" w:rsidRPr="005475F3" w:rsidRDefault="00D935FA" w:rsidP="00D935FA">
      <w:pPr>
        <w:spacing w:after="0" w:line="360" w:lineRule="auto"/>
        <w:jc w:val="both"/>
        <w:rPr>
          <w:rFonts w:ascii="Arial" w:eastAsia="Arial Unicode MS" w:hAnsi="Arial" w:cs="Arial"/>
          <w:bCs/>
          <w:sz w:val="24"/>
          <w:szCs w:val="24"/>
          <w:lang w:eastAsia="es-ES"/>
        </w:rPr>
      </w:pPr>
    </w:p>
    <w:p w14:paraId="2A84CBA2" w14:textId="02C71BDF" w:rsidR="00D935FA" w:rsidRPr="005475F3" w:rsidRDefault="00D935FA" w:rsidP="00D935FA">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Este principio también está recogido en el artículo 29 de la Convención Americana sobre Derechos Humanos que establece:</w:t>
      </w:r>
    </w:p>
    <w:p w14:paraId="2B84E10D" w14:textId="77777777" w:rsidR="00552FC8" w:rsidRPr="005475F3" w:rsidRDefault="00552FC8" w:rsidP="00D935FA">
      <w:pPr>
        <w:spacing w:after="0" w:line="360" w:lineRule="auto"/>
        <w:ind w:firstLine="708"/>
        <w:jc w:val="both"/>
        <w:rPr>
          <w:rFonts w:ascii="Arial" w:eastAsia="Arial Unicode MS" w:hAnsi="Arial" w:cs="Arial"/>
          <w:bCs/>
          <w:sz w:val="24"/>
          <w:szCs w:val="24"/>
          <w:lang w:eastAsia="es-ES"/>
        </w:rPr>
      </w:pPr>
    </w:p>
    <w:p w14:paraId="4384D367" w14:textId="77777777" w:rsidR="00D935FA" w:rsidRPr="005475F3" w:rsidRDefault="00D935FA" w:rsidP="00D935FA">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“…Ninguna disposición de la presente Convención puede ser interpretada en el sentido de:</w:t>
      </w:r>
    </w:p>
    <w:p w14:paraId="59AEF02E" w14:textId="77777777" w:rsidR="00D935FA" w:rsidRPr="005475F3" w:rsidRDefault="00D935FA" w:rsidP="00D935FA">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u w:val="single"/>
          <w:lang w:eastAsia="es-ES"/>
        </w:rPr>
        <w:lastRenderedPageBreak/>
        <w:t xml:space="preserve">a) permitir a alguno de los Estados Partes, grupo o persona, suprimir el goce y ejercicio de los derechos y libertades </w:t>
      </w:r>
      <w:r w:rsidRPr="005475F3">
        <w:rPr>
          <w:rFonts w:ascii="Arial" w:eastAsia="Arial Unicode MS" w:hAnsi="Arial" w:cs="Arial"/>
          <w:bCs/>
          <w:sz w:val="24"/>
          <w:szCs w:val="24"/>
          <w:lang w:eastAsia="es-ES"/>
        </w:rPr>
        <w:t>reconocidos en la Convención o limitarlos en mayor medida que la prevista en ella;</w:t>
      </w:r>
    </w:p>
    <w:p w14:paraId="274105C8" w14:textId="77777777" w:rsidR="00D935FA" w:rsidRPr="005475F3" w:rsidRDefault="00D935FA" w:rsidP="00D935FA">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 xml:space="preserve">b) </w:t>
      </w:r>
      <w:r w:rsidRPr="005475F3">
        <w:rPr>
          <w:rFonts w:ascii="Arial" w:eastAsia="Arial Unicode MS" w:hAnsi="Arial" w:cs="Arial"/>
          <w:bCs/>
          <w:sz w:val="24"/>
          <w:szCs w:val="24"/>
          <w:u w:val="single"/>
          <w:lang w:eastAsia="es-ES"/>
        </w:rPr>
        <w:t>limitar el goce y ejercicio de cualquier derecho o libertad que pueda estar reconocido de acuerdo con las leyes de cualquiera de los Estados Partes</w:t>
      </w:r>
      <w:r w:rsidRPr="005475F3">
        <w:rPr>
          <w:rFonts w:ascii="Arial" w:eastAsia="Arial Unicode MS" w:hAnsi="Arial" w:cs="Arial"/>
          <w:bCs/>
          <w:sz w:val="24"/>
          <w:szCs w:val="24"/>
          <w:lang w:eastAsia="es-ES"/>
        </w:rPr>
        <w:t xml:space="preserve"> o de acuerdo con otra convención en que sea parte uno de dichos Estados;</w:t>
      </w:r>
    </w:p>
    <w:p w14:paraId="048780CF" w14:textId="77777777" w:rsidR="00D935FA" w:rsidRPr="005475F3" w:rsidRDefault="00D935FA" w:rsidP="00D935FA">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 xml:space="preserve">c) </w:t>
      </w:r>
      <w:r w:rsidRPr="005475F3">
        <w:rPr>
          <w:rFonts w:ascii="Arial" w:eastAsia="Arial Unicode MS" w:hAnsi="Arial" w:cs="Arial"/>
          <w:bCs/>
          <w:sz w:val="24"/>
          <w:szCs w:val="24"/>
          <w:u w:val="single"/>
          <w:lang w:eastAsia="es-ES"/>
        </w:rPr>
        <w:t xml:space="preserve">excluir otros derechos y garantías que son inherentes al ser humano </w:t>
      </w:r>
      <w:r w:rsidRPr="005475F3">
        <w:rPr>
          <w:rFonts w:ascii="Arial" w:eastAsia="Arial Unicode MS" w:hAnsi="Arial" w:cs="Arial"/>
          <w:bCs/>
          <w:sz w:val="24"/>
          <w:szCs w:val="24"/>
          <w:lang w:eastAsia="es-ES"/>
        </w:rPr>
        <w:t>o que se derivan de la forma democrática representativa de gobierno, y</w:t>
      </w:r>
    </w:p>
    <w:p w14:paraId="5D652CAF" w14:textId="77777777" w:rsidR="00D935FA" w:rsidRPr="005475F3" w:rsidRDefault="00D935FA" w:rsidP="00D935FA">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d) Excluir o limitar el efecto que puedan producir la Declaración Americana de Derechos y Deberes del Hombre y otros actos internacionales de la misma naturaleza…</w:t>
      </w:r>
    </w:p>
    <w:p w14:paraId="0D702B37" w14:textId="77777777" w:rsidR="00D935FA" w:rsidRPr="005475F3" w:rsidRDefault="00D935FA" w:rsidP="00D935FA">
      <w:pPr>
        <w:spacing w:after="0" w:line="360" w:lineRule="auto"/>
        <w:jc w:val="both"/>
        <w:rPr>
          <w:rFonts w:ascii="Arial" w:eastAsia="Arial Unicode MS" w:hAnsi="Arial" w:cs="Arial"/>
          <w:bCs/>
          <w:sz w:val="24"/>
          <w:szCs w:val="24"/>
          <w:lang w:eastAsia="es-ES"/>
        </w:rPr>
      </w:pPr>
    </w:p>
    <w:p w14:paraId="23369734" w14:textId="77777777" w:rsidR="00D935FA" w:rsidRPr="005475F3" w:rsidRDefault="00D935FA" w:rsidP="00D935FA">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En razón de lo anterior, es dable señalar que en el caso que nos ocupa, la suplencia de la queja en materia de acceso a la información pública es una herramienta procedimental tendiente a garantizar y proteger el derecho humano de acceso a la información pública, siempre a favor de la recurrente, resultando que las instituciones encargadas de proteger el referido derecho, deberán de corregir cualquier error o deficiencia en que hubiese incurrido la promovente al concurrir al presente procedimiento, sin exigir mayores requisitos en los que se requiera que el solicitante-inconforme exponga de manera fundada o motivada, ni formular argumentos lógico jurídicos  para realizar sus peticiones a los sujetos obligados, por lo que en la presente causa, debe atenderse esta figura procedimental, bajo el principio pro persona. </w:t>
      </w:r>
    </w:p>
    <w:p w14:paraId="00535E8A" w14:textId="77777777" w:rsidR="00D935FA" w:rsidRPr="005475F3" w:rsidRDefault="00D935FA" w:rsidP="00D935FA">
      <w:pPr>
        <w:spacing w:after="0" w:line="360" w:lineRule="auto"/>
        <w:ind w:firstLine="708"/>
        <w:jc w:val="both"/>
        <w:rPr>
          <w:rFonts w:ascii="Arial" w:eastAsia="Arial Unicode MS" w:hAnsi="Arial" w:cs="Arial"/>
          <w:sz w:val="24"/>
          <w:szCs w:val="24"/>
          <w:lang w:eastAsia="es-ES"/>
        </w:rPr>
      </w:pPr>
    </w:p>
    <w:p w14:paraId="195E93E6" w14:textId="77777777" w:rsidR="00D935FA" w:rsidRPr="005475F3" w:rsidRDefault="00D935FA" w:rsidP="00D935FA">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En adhesión a lo anterior, en el entendido de que en todo tiempo se deberá favorecer a las personas con la protección más alta, las autoridades deberán ponderar y privilegiar el derecho de acceso a la información sobre los formalismos procedimentales, con la finalidad de que ninguna persona o autoridad suprima el goce y ejercicio de los derechos y libertades reconocidos en la Carta Magna o los Tratados Internacionales de los que el Estado Mexicano sea parte. </w:t>
      </w:r>
    </w:p>
    <w:p w14:paraId="5C5CA822" w14:textId="77777777" w:rsidR="00D935FA" w:rsidRPr="005475F3" w:rsidRDefault="00D935FA" w:rsidP="00D935FA">
      <w:pPr>
        <w:spacing w:after="0" w:line="360" w:lineRule="auto"/>
        <w:ind w:firstLine="708"/>
        <w:jc w:val="both"/>
        <w:rPr>
          <w:rFonts w:ascii="Arial" w:eastAsia="Arial" w:hAnsi="Arial" w:cs="Arial"/>
          <w:bCs/>
          <w:sz w:val="24"/>
          <w:szCs w:val="24"/>
        </w:rPr>
      </w:pPr>
    </w:p>
    <w:p w14:paraId="69AB16CB" w14:textId="77777777" w:rsidR="00D935FA" w:rsidRPr="005475F3" w:rsidRDefault="00D935FA" w:rsidP="00D935FA">
      <w:pPr>
        <w:spacing w:after="0" w:line="360" w:lineRule="auto"/>
        <w:ind w:firstLine="708"/>
        <w:jc w:val="both"/>
        <w:rPr>
          <w:rFonts w:ascii="Arial" w:eastAsia="Arial" w:hAnsi="Arial" w:cs="Arial"/>
          <w:bCs/>
          <w:sz w:val="24"/>
          <w:szCs w:val="24"/>
        </w:rPr>
      </w:pPr>
      <w:r w:rsidRPr="005475F3">
        <w:rPr>
          <w:rFonts w:ascii="Arial" w:eastAsia="Arial" w:hAnsi="Arial" w:cs="Arial"/>
          <w:bCs/>
          <w:sz w:val="24"/>
          <w:szCs w:val="24"/>
        </w:rPr>
        <w:t xml:space="preserve">De ahí que, en el caso concreto, quién resuelve estima procedente aplicar la suplencia de la queja en el expediente en el que se actúa, ya que las circunstancias jurídicas de la recurrente no pueden ser condicionadas al conjunto de tecnicismos previstos en la citada normatividad.  </w:t>
      </w:r>
    </w:p>
    <w:p w14:paraId="49317995" w14:textId="77777777" w:rsidR="00D935FA" w:rsidRPr="005475F3" w:rsidRDefault="00D935FA" w:rsidP="00E134F5">
      <w:pPr>
        <w:autoSpaceDE w:val="0"/>
        <w:autoSpaceDN w:val="0"/>
        <w:adjustRightInd w:val="0"/>
        <w:spacing w:after="0" w:line="360" w:lineRule="auto"/>
        <w:ind w:firstLine="708"/>
        <w:jc w:val="both"/>
        <w:rPr>
          <w:rFonts w:ascii="Arial" w:hAnsi="Arial" w:cs="Arial"/>
          <w:b/>
          <w:sz w:val="24"/>
          <w:szCs w:val="24"/>
        </w:rPr>
      </w:pPr>
    </w:p>
    <w:p w14:paraId="41C1A2AF" w14:textId="415D0E1A" w:rsidR="006D3B1C" w:rsidRPr="005475F3" w:rsidRDefault="00D935FA" w:rsidP="00E134F5">
      <w:pPr>
        <w:autoSpaceDE w:val="0"/>
        <w:autoSpaceDN w:val="0"/>
        <w:adjustRightInd w:val="0"/>
        <w:spacing w:after="0" w:line="360" w:lineRule="auto"/>
        <w:ind w:firstLine="708"/>
        <w:jc w:val="both"/>
        <w:rPr>
          <w:rFonts w:ascii="Arial" w:hAnsi="Arial" w:cs="Arial"/>
          <w:sz w:val="24"/>
          <w:szCs w:val="24"/>
        </w:rPr>
      </w:pPr>
      <w:r w:rsidRPr="005475F3">
        <w:rPr>
          <w:rFonts w:ascii="Arial" w:hAnsi="Arial" w:cs="Arial"/>
          <w:b/>
          <w:sz w:val="24"/>
          <w:szCs w:val="24"/>
        </w:rPr>
        <w:t xml:space="preserve">6.1. </w:t>
      </w:r>
      <w:r w:rsidR="006D3B1C" w:rsidRPr="005475F3">
        <w:rPr>
          <w:rFonts w:ascii="Arial" w:hAnsi="Arial" w:cs="Arial"/>
          <w:b/>
          <w:sz w:val="24"/>
          <w:szCs w:val="24"/>
        </w:rPr>
        <w:t xml:space="preserve">Caso concreto. </w:t>
      </w:r>
      <w:r w:rsidR="006D3B1C" w:rsidRPr="005475F3">
        <w:rPr>
          <w:rFonts w:ascii="Arial" w:hAnsi="Arial" w:cs="Arial"/>
          <w:sz w:val="24"/>
          <w:szCs w:val="24"/>
        </w:rPr>
        <w:t>De las constancias que obran en autos, se advierte que la persona recurrente requirió que se le proporcionara información relativa a</w:t>
      </w:r>
      <w:r w:rsidR="00FA5019" w:rsidRPr="005475F3">
        <w:rPr>
          <w:rFonts w:ascii="Arial" w:hAnsi="Arial" w:cs="Arial"/>
          <w:sz w:val="24"/>
          <w:szCs w:val="24"/>
        </w:rPr>
        <w:t xml:space="preserve"> </w:t>
      </w:r>
      <w:r w:rsidR="006D3B1C" w:rsidRPr="005475F3">
        <w:rPr>
          <w:rFonts w:ascii="Arial" w:hAnsi="Arial" w:cs="Arial"/>
          <w:sz w:val="24"/>
          <w:szCs w:val="24"/>
        </w:rPr>
        <w:t>l</w:t>
      </w:r>
      <w:r w:rsidR="00FA5019" w:rsidRPr="005475F3">
        <w:rPr>
          <w:rFonts w:ascii="Arial" w:hAnsi="Arial" w:cs="Arial"/>
          <w:sz w:val="24"/>
          <w:szCs w:val="24"/>
        </w:rPr>
        <w:t>a</w:t>
      </w:r>
      <w:r w:rsidR="006D3B1C" w:rsidRPr="005475F3">
        <w:rPr>
          <w:rFonts w:ascii="Arial" w:hAnsi="Arial" w:cs="Arial"/>
          <w:sz w:val="24"/>
          <w:szCs w:val="24"/>
        </w:rPr>
        <w:t xml:space="preserve"> </w:t>
      </w:r>
      <w:r w:rsidR="00FA5019" w:rsidRPr="005475F3">
        <w:rPr>
          <w:rFonts w:ascii="Arial" w:hAnsi="Arial" w:cs="Arial"/>
          <w:sz w:val="24"/>
          <w:szCs w:val="24"/>
        </w:rPr>
        <w:t>carpeta de investigación abierta con motivo de los hechos constitutivos del delito de homicidio de la C. Aida Karina Juárez Jacobo</w:t>
      </w:r>
      <w:r w:rsidR="00E134F5" w:rsidRPr="005475F3">
        <w:rPr>
          <w:rFonts w:ascii="Arial" w:hAnsi="Arial" w:cs="Arial"/>
          <w:sz w:val="24"/>
          <w:szCs w:val="24"/>
        </w:rPr>
        <w:t>, de la manera siguiente:</w:t>
      </w:r>
    </w:p>
    <w:p w14:paraId="227424BF" w14:textId="52F89354" w:rsidR="00E134F5" w:rsidRPr="005475F3" w:rsidRDefault="00E134F5" w:rsidP="00E134F5">
      <w:pPr>
        <w:autoSpaceDE w:val="0"/>
        <w:autoSpaceDN w:val="0"/>
        <w:adjustRightInd w:val="0"/>
        <w:spacing w:after="0" w:line="360" w:lineRule="auto"/>
        <w:ind w:firstLine="708"/>
        <w:jc w:val="both"/>
        <w:rPr>
          <w:rFonts w:ascii="Arial" w:hAnsi="Arial" w:cs="Arial"/>
          <w:sz w:val="24"/>
          <w:szCs w:val="24"/>
        </w:rPr>
      </w:pPr>
    </w:p>
    <w:p w14:paraId="7FA79930" w14:textId="77777777" w:rsidR="00FA5019" w:rsidRPr="005475F3" w:rsidRDefault="00D82007" w:rsidP="00202ADF">
      <w:pPr>
        <w:autoSpaceDE w:val="0"/>
        <w:autoSpaceDN w:val="0"/>
        <w:adjustRightInd w:val="0"/>
        <w:spacing w:after="0" w:line="240" w:lineRule="auto"/>
        <w:ind w:left="1134" w:right="1183"/>
        <w:jc w:val="both"/>
        <w:rPr>
          <w:rFonts w:ascii="Arial" w:hAnsi="Arial" w:cs="Arial"/>
        </w:rPr>
      </w:pPr>
      <w:r w:rsidRPr="005475F3">
        <w:rPr>
          <w:rStyle w:val="text-justify"/>
          <w:rFonts w:ascii="Arial" w:hAnsi="Arial" w:cs="Arial"/>
        </w:rPr>
        <w:t>“</w:t>
      </w:r>
      <w:r w:rsidR="00FA5019" w:rsidRPr="005475F3">
        <w:rPr>
          <w:rFonts w:ascii="Arial" w:hAnsi="Arial" w:cs="Arial"/>
        </w:rPr>
        <w:t xml:space="preserve">1.-Quiero saber el estatus de la averiguación previa o carpeta de investigación, que inició la Fiscalía de Justicia del Estado tras el asesinato de la madre buscadora Aida Karina Juárez Jacobo, quien fue reportada desaparecida en Zacatecas desde el 26 de agosto y apareció muerta en Villa de Ramos, San Luis Potosí el 28 de agosto de 2025 . La Fiscalía de ese estado dijo que estaba en coordinación con las autoridades de Zacatecas, para avanzar en la investigación.. </w:t>
      </w:r>
    </w:p>
    <w:p w14:paraId="4EE24C8A" w14:textId="77777777" w:rsidR="00FA5019" w:rsidRPr="005475F3" w:rsidRDefault="00FA5019" w:rsidP="00202ADF">
      <w:pPr>
        <w:autoSpaceDE w:val="0"/>
        <w:autoSpaceDN w:val="0"/>
        <w:adjustRightInd w:val="0"/>
        <w:spacing w:after="0" w:line="240" w:lineRule="auto"/>
        <w:ind w:left="1134" w:right="1183"/>
        <w:jc w:val="both"/>
        <w:rPr>
          <w:rFonts w:ascii="Arial" w:hAnsi="Arial" w:cs="Arial"/>
        </w:rPr>
      </w:pPr>
      <w:r w:rsidRPr="005475F3">
        <w:rPr>
          <w:rFonts w:ascii="Arial" w:hAnsi="Arial" w:cs="Arial"/>
        </w:rPr>
        <w:t xml:space="preserve">2.-Quiero saber si la fiscalía de San Luis Potosí inició una carpeta de investigación por este caso y el estatus del mismo, así como el delito o delitos que se investigaron. </w:t>
      </w:r>
    </w:p>
    <w:p w14:paraId="4ACDA1BB" w14:textId="77777777" w:rsidR="00FA5019" w:rsidRPr="005475F3" w:rsidRDefault="00FA5019" w:rsidP="00202ADF">
      <w:pPr>
        <w:autoSpaceDE w:val="0"/>
        <w:autoSpaceDN w:val="0"/>
        <w:adjustRightInd w:val="0"/>
        <w:spacing w:after="0" w:line="240" w:lineRule="auto"/>
        <w:ind w:left="1134" w:right="1183"/>
        <w:jc w:val="both"/>
        <w:rPr>
          <w:rFonts w:ascii="Arial" w:hAnsi="Arial" w:cs="Arial"/>
        </w:rPr>
      </w:pPr>
      <w:r w:rsidRPr="005475F3">
        <w:rPr>
          <w:rFonts w:ascii="Arial" w:hAnsi="Arial" w:cs="Arial"/>
        </w:rPr>
        <w:t xml:space="preserve">3.-También quiero saber si el expediente de la investigación fue determinado, informando en qué fecha fue determinado y especificando qué tipo de determinación tuvo el expediente. </w:t>
      </w:r>
    </w:p>
    <w:p w14:paraId="52518BEC" w14:textId="77777777" w:rsidR="00FA5019" w:rsidRPr="005475F3" w:rsidRDefault="00FA5019" w:rsidP="00202ADF">
      <w:pPr>
        <w:autoSpaceDE w:val="0"/>
        <w:autoSpaceDN w:val="0"/>
        <w:adjustRightInd w:val="0"/>
        <w:spacing w:after="0" w:line="240" w:lineRule="auto"/>
        <w:ind w:left="1134" w:right="1183"/>
        <w:jc w:val="both"/>
        <w:rPr>
          <w:rFonts w:ascii="Arial" w:hAnsi="Arial" w:cs="Arial"/>
        </w:rPr>
      </w:pPr>
      <w:r w:rsidRPr="005475F3">
        <w:rPr>
          <w:rFonts w:ascii="Arial" w:hAnsi="Arial" w:cs="Arial"/>
        </w:rPr>
        <w:t xml:space="preserve">4.-También solicito saber cuántas personas han sido detenidas desde el asesinato y hasta la fecha, relacionadas a la investigación. </w:t>
      </w:r>
    </w:p>
    <w:p w14:paraId="2538CDB1" w14:textId="738CE180" w:rsidR="00E134F5" w:rsidRPr="005475F3" w:rsidRDefault="00FA5019" w:rsidP="00202ADF">
      <w:pPr>
        <w:autoSpaceDE w:val="0"/>
        <w:autoSpaceDN w:val="0"/>
        <w:adjustRightInd w:val="0"/>
        <w:spacing w:after="0" w:line="240" w:lineRule="auto"/>
        <w:ind w:left="1134" w:right="1183"/>
        <w:jc w:val="both"/>
        <w:rPr>
          <w:rFonts w:ascii="Arial" w:hAnsi="Arial" w:cs="Arial"/>
          <w:szCs w:val="24"/>
        </w:rPr>
      </w:pPr>
      <w:r w:rsidRPr="005475F3">
        <w:rPr>
          <w:rFonts w:ascii="Arial" w:hAnsi="Arial" w:cs="Arial"/>
        </w:rPr>
        <w:t>5.-También me gustaría que me informara si esa fiscalía logró alguna sentencia ante el poder judicial, informando en qué consistió la sentencia. Es importante destacar que este caso fue de gran interés público, como consta en diversas notas periodísticas debido a que la víctima era una madre buscadora[…]</w:t>
      </w:r>
      <w:r w:rsidR="00D82007" w:rsidRPr="005475F3">
        <w:rPr>
          <w:rStyle w:val="text-justify"/>
          <w:rFonts w:ascii="Arial" w:hAnsi="Arial" w:cs="Arial"/>
        </w:rPr>
        <w:t>”.</w:t>
      </w:r>
    </w:p>
    <w:p w14:paraId="3C8AEF10" w14:textId="77777777" w:rsidR="006D3B1C" w:rsidRPr="005475F3" w:rsidRDefault="006D3B1C" w:rsidP="006D3B1C">
      <w:pPr>
        <w:autoSpaceDE w:val="0"/>
        <w:autoSpaceDN w:val="0"/>
        <w:adjustRightInd w:val="0"/>
        <w:spacing w:after="0" w:line="360" w:lineRule="auto"/>
        <w:ind w:firstLine="709"/>
        <w:jc w:val="both"/>
        <w:rPr>
          <w:rFonts w:ascii="Arial" w:hAnsi="Arial" w:cs="Arial"/>
          <w:sz w:val="24"/>
          <w:szCs w:val="24"/>
        </w:rPr>
      </w:pPr>
    </w:p>
    <w:p w14:paraId="39020A56" w14:textId="66187497" w:rsidR="00202ADF" w:rsidRPr="005475F3" w:rsidRDefault="006D3B1C" w:rsidP="00202ADF">
      <w:pPr>
        <w:autoSpaceDE w:val="0"/>
        <w:autoSpaceDN w:val="0"/>
        <w:adjustRightInd w:val="0"/>
        <w:spacing w:after="0" w:line="360" w:lineRule="auto"/>
        <w:ind w:firstLine="709"/>
        <w:jc w:val="both"/>
        <w:rPr>
          <w:rFonts w:ascii="Arial" w:hAnsi="Arial" w:cs="Arial"/>
          <w:sz w:val="24"/>
          <w:szCs w:val="24"/>
        </w:rPr>
      </w:pPr>
      <w:r w:rsidRPr="005475F3">
        <w:rPr>
          <w:rFonts w:ascii="Arial" w:hAnsi="Arial" w:cs="Arial"/>
          <w:sz w:val="24"/>
          <w:szCs w:val="24"/>
        </w:rPr>
        <w:t>En atención a su solicitud, el Titular de la Unidad de Transparencia del Sujeto Obligado, notificó a través del Sistema de Solicitudes de Acceso a la Información Pública,</w:t>
      </w:r>
      <w:r w:rsidR="00202ADF" w:rsidRPr="005475F3">
        <w:rPr>
          <w:rFonts w:ascii="Arial" w:hAnsi="Arial" w:cs="Arial"/>
          <w:sz w:val="24"/>
          <w:szCs w:val="24"/>
        </w:rPr>
        <w:t xml:space="preserve"> el oficio número </w:t>
      </w:r>
      <w:r w:rsidR="00E362CD" w:rsidRPr="005475F3">
        <w:rPr>
          <w:rFonts w:ascii="Arial" w:hAnsi="Arial" w:cs="Arial"/>
          <w:sz w:val="24"/>
          <w:szCs w:val="24"/>
        </w:rPr>
        <w:t>FGE-UT-2608-2025</w:t>
      </w:r>
      <w:r w:rsidR="00202ADF" w:rsidRPr="005475F3">
        <w:rPr>
          <w:rFonts w:ascii="Arial" w:hAnsi="Arial" w:cs="Arial"/>
          <w:sz w:val="24"/>
          <w:szCs w:val="24"/>
        </w:rPr>
        <w:t xml:space="preserve">, emitido </w:t>
      </w:r>
      <w:r w:rsidR="00AE452E" w:rsidRPr="005475F3">
        <w:rPr>
          <w:rFonts w:ascii="Arial" w:hAnsi="Arial" w:cs="Arial"/>
          <w:sz w:val="24"/>
          <w:szCs w:val="24"/>
        </w:rPr>
        <w:t>el nueve de diciembre de</w:t>
      </w:r>
      <w:r w:rsidR="00202ADF" w:rsidRPr="005475F3">
        <w:rPr>
          <w:rFonts w:ascii="Arial" w:hAnsi="Arial" w:cs="Arial"/>
          <w:sz w:val="24"/>
          <w:szCs w:val="24"/>
        </w:rPr>
        <w:t xml:space="preserve"> dos mil v</w:t>
      </w:r>
      <w:r w:rsidR="00AE452E" w:rsidRPr="005475F3">
        <w:rPr>
          <w:rFonts w:ascii="Arial" w:hAnsi="Arial" w:cs="Arial"/>
          <w:sz w:val="24"/>
          <w:szCs w:val="24"/>
        </w:rPr>
        <w:t xml:space="preserve">einticinco, por medio del cual </w:t>
      </w:r>
      <w:r w:rsidR="00202ADF" w:rsidRPr="005475F3">
        <w:rPr>
          <w:rFonts w:ascii="Arial" w:hAnsi="Arial" w:cs="Arial"/>
          <w:sz w:val="24"/>
          <w:szCs w:val="24"/>
        </w:rPr>
        <w:t>l</w:t>
      </w:r>
      <w:r w:rsidR="00AE452E" w:rsidRPr="005475F3">
        <w:rPr>
          <w:rFonts w:ascii="Arial" w:hAnsi="Arial" w:cs="Arial"/>
          <w:sz w:val="24"/>
          <w:szCs w:val="24"/>
        </w:rPr>
        <w:t>a</w:t>
      </w:r>
      <w:r w:rsidR="00202ADF" w:rsidRPr="005475F3">
        <w:rPr>
          <w:rFonts w:ascii="Arial" w:hAnsi="Arial" w:cs="Arial"/>
          <w:sz w:val="24"/>
          <w:szCs w:val="24"/>
        </w:rPr>
        <w:t xml:space="preserve"> Titular de la Unidad de Transparencia de la </w:t>
      </w:r>
      <w:r w:rsidR="00AE452E" w:rsidRPr="005475F3">
        <w:rPr>
          <w:rFonts w:ascii="Arial" w:hAnsi="Arial" w:cs="Arial"/>
          <w:sz w:val="24"/>
          <w:szCs w:val="24"/>
        </w:rPr>
        <w:t>Fiscalía General</w:t>
      </w:r>
      <w:r w:rsidR="00202ADF" w:rsidRPr="005475F3">
        <w:rPr>
          <w:rFonts w:ascii="Arial" w:hAnsi="Arial" w:cs="Arial"/>
          <w:sz w:val="24"/>
          <w:szCs w:val="24"/>
        </w:rPr>
        <w:t xml:space="preserve"> del Estado de San Luis Potosí, hizo de conocimiento de la ahora parte recurrente, la </w:t>
      </w:r>
      <w:r w:rsidR="00AE452E" w:rsidRPr="005475F3">
        <w:rPr>
          <w:rFonts w:ascii="Arial" w:hAnsi="Arial" w:cs="Arial"/>
          <w:sz w:val="24"/>
          <w:szCs w:val="24"/>
        </w:rPr>
        <w:t>respuesta otorgada por parte de la Fiscalía Especializada en Feminicidios, por medio de la cual hizo de conocimiento de la ahora parte recurrente, que lo solicitado se encuentra clasificado con el carácter de información reservada, de conformidad con el acuerdo de reserva número FEF/11/2025</w:t>
      </w:r>
      <w:r w:rsidR="00202ADF" w:rsidRPr="005475F3">
        <w:rPr>
          <w:rFonts w:ascii="Arial" w:hAnsi="Arial" w:cs="Arial"/>
          <w:sz w:val="24"/>
          <w:szCs w:val="24"/>
        </w:rPr>
        <w:t xml:space="preserve">; asimismo, remitió la digitalización del </w:t>
      </w:r>
      <w:r w:rsidR="00664E03" w:rsidRPr="005475F3">
        <w:rPr>
          <w:rFonts w:ascii="Arial" w:hAnsi="Arial" w:cs="Arial"/>
          <w:sz w:val="24"/>
          <w:szCs w:val="24"/>
        </w:rPr>
        <w:t>Acuerdo de Reserva Parcial número AR/FEF/11/2025</w:t>
      </w:r>
      <w:r w:rsidR="00202ADF" w:rsidRPr="005475F3">
        <w:rPr>
          <w:rFonts w:ascii="Arial" w:hAnsi="Arial" w:cs="Arial"/>
          <w:sz w:val="24"/>
          <w:szCs w:val="24"/>
        </w:rPr>
        <w:t>,</w:t>
      </w:r>
      <w:r w:rsidR="00547D80" w:rsidRPr="005475F3">
        <w:rPr>
          <w:rFonts w:ascii="Arial" w:hAnsi="Arial" w:cs="Arial"/>
          <w:sz w:val="24"/>
          <w:szCs w:val="24"/>
        </w:rPr>
        <w:t xml:space="preserve"> emitido el veinticinco de noviembre de dos mil veinticinco, por la Fiscalía Especializada en Feminicidios; y aprobada por </w:t>
      </w:r>
      <w:r w:rsidR="00202ADF" w:rsidRPr="005475F3">
        <w:rPr>
          <w:rFonts w:ascii="Arial" w:hAnsi="Arial" w:cs="Arial"/>
          <w:sz w:val="24"/>
          <w:szCs w:val="24"/>
        </w:rPr>
        <w:t xml:space="preserve">el Comité de Transparencia de la </w:t>
      </w:r>
      <w:r w:rsidR="00547D80" w:rsidRPr="005475F3">
        <w:rPr>
          <w:rFonts w:ascii="Arial" w:hAnsi="Arial" w:cs="Arial"/>
          <w:sz w:val="24"/>
          <w:szCs w:val="24"/>
        </w:rPr>
        <w:t>Fiscalía General</w:t>
      </w:r>
      <w:r w:rsidR="00202ADF" w:rsidRPr="005475F3">
        <w:rPr>
          <w:rFonts w:ascii="Arial" w:hAnsi="Arial" w:cs="Arial"/>
          <w:sz w:val="24"/>
          <w:szCs w:val="24"/>
        </w:rPr>
        <w:t xml:space="preserve"> del Estado de San Luis Potosí, </w:t>
      </w:r>
      <w:r w:rsidR="00547D80" w:rsidRPr="005475F3">
        <w:rPr>
          <w:rFonts w:ascii="Arial" w:hAnsi="Arial" w:cs="Arial"/>
          <w:sz w:val="24"/>
          <w:szCs w:val="24"/>
        </w:rPr>
        <w:lastRenderedPageBreak/>
        <w:t xml:space="preserve">en su Décima segunda Sesión Ordinaria, </w:t>
      </w:r>
      <w:r w:rsidR="00202ADF" w:rsidRPr="005475F3">
        <w:rPr>
          <w:rFonts w:ascii="Arial" w:hAnsi="Arial" w:cs="Arial"/>
          <w:sz w:val="24"/>
          <w:szCs w:val="24"/>
        </w:rPr>
        <w:t xml:space="preserve">celebrada el </w:t>
      </w:r>
      <w:r w:rsidR="00547D80" w:rsidRPr="005475F3">
        <w:rPr>
          <w:rFonts w:ascii="Arial" w:hAnsi="Arial" w:cs="Arial"/>
          <w:sz w:val="24"/>
          <w:szCs w:val="24"/>
        </w:rPr>
        <w:t>cinco de diciembre de</w:t>
      </w:r>
      <w:r w:rsidR="00202ADF" w:rsidRPr="005475F3">
        <w:rPr>
          <w:rFonts w:ascii="Arial" w:hAnsi="Arial" w:cs="Arial"/>
          <w:sz w:val="24"/>
          <w:szCs w:val="24"/>
        </w:rPr>
        <w:t xml:space="preserve"> dos mil veinticinco.</w:t>
      </w:r>
    </w:p>
    <w:p w14:paraId="57584A5B" w14:textId="7CD13CFB" w:rsidR="006D3B1C" w:rsidRPr="005475F3" w:rsidRDefault="006D3B1C" w:rsidP="00202ADF">
      <w:pPr>
        <w:autoSpaceDE w:val="0"/>
        <w:autoSpaceDN w:val="0"/>
        <w:adjustRightInd w:val="0"/>
        <w:spacing w:after="0" w:line="360" w:lineRule="auto"/>
        <w:ind w:firstLine="709"/>
        <w:jc w:val="both"/>
        <w:rPr>
          <w:rFonts w:ascii="Arial" w:hAnsi="Arial" w:cs="Arial"/>
          <w:sz w:val="24"/>
          <w:szCs w:val="24"/>
        </w:rPr>
      </w:pPr>
    </w:p>
    <w:p w14:paraId="5FB20ABB" w14:textId="77777777" w:rsidR="00547D80" w:rsidRPr="005475F3" w:rsidRDefault="006D3B1C" w:rsidP="00202ADF">
      <w:pPr>
        <w:autoSpaceDE w:val="0"/>
        <w:autoSpaceDN w:val="0"/>
        <w:adjustRightInd w:val="0"/>
        <w:spacing w:after="0" w:line="360" w:lineRule="auto"/>
        <w:ind w:firstLine="709"/>
        <w:jc w:val="both"/>
        <w:rPr>
          <w:rFonts w:ascii="Arial" w:hAnsi="Arial" w:cs="Arial"/>
          <w:sz w:val="24"/>
          <w:szCs w:val="24"/>
        </w:rPr>
      </w:pPr>
      <w:r w:rsidRPr="005475F3">
        <w:rPr>
          <w:rFonts w:ascii="Arial" w:hAnsi="Arial" w:cs="Arial"/>
          <w:sz w:val="24"/>
          <w:szCs w:val="24"/>
        </w:rPr>
        <w:t xml:space="preserve">Inconforme con la respuesta proporcionada por el Sujeto Obligado, </w:t>
      </w:r>
      <w:r w:rsidR="007E5D2A" w:rsidRPr="005475F3">
        <w:rPr>
          <w:rFonts w:ascii="Arial" w:hAnsi="Arial" w:cs="Arial"/>
          <w:sz w:val="24"/>
          <w:szCs w:val="24"/>
        </w:rPr>
        <w:t>la</w:t>
      </w:r>
      <w:r w:rsidRPr="005475F3">
        <w:rPr>
          <w:rFonts w:ascii="Arial" w:hAnsi="Arial" w:cs="Arial"/>
          <w:sz w:val="24"/>
          <w:szCs w:val="24"/>
        </w:rPr>
        <w:t xml:space="preserve"> </w:t>
      </w:r>
      <w:r w:rsidR="00547D80" w:rsidRPr="005475F3">
        <w:rPr>
          <w:rFonts w:ascii="Arial" w:hAnsi="Arial" w:cs="Arial"/>
          <w:sz w:val="24"/>
          <w:szCs w:val="24"/>
        </w:rPr>
        <w:t xml:space="preserve">ahora parte </w:t>
      </w:r>
      <w:r w:rsidRPr="005475F3">
        <w:rPr>
          <w:rFonts w:ascii="Arial" w:hAnsi="Arial" w:cs="Arial"/>
          <w:sz w:val="24"/>
          <w:szCs w:val="24"/>
        </w:rPr>
        <w:t xml:space="preserve">recurrente presentó su Recurso de Revisión, a través del Sistema de Gestión de Medios de Impugnación, de la Plataforma Nacional de Transparencia, por el cual señaló: </w:t>
      </w:r>
    </w:p>
    <w:p w14:paraId="06E83ACE" w14:textId="77777777" w:rsidR="00547D80" w:rsidRPr="005475F3" w:rsidRDefault="00547D80" w:rsidP="00202ADF">
      <w:pPr>
        <w:autoSpaceDE w:val="0"/>
        <w:autoSpaceDN w:val="0"/>
        <w:adjustRightInd w:val="0"/>
        <w:spacing w:after="0" w:line="360" w:lineRule="auto"/>
        <w:ind w:firstLine="709"/>
        <w:jc w:val="both"/>
        <w:rPr>
          <w:rFonts w:ascii="Arial" w:hAnsi="Arial" w:cs="Arial"/>
          <w:sz w:val="24"/>
          <w:szCs w:val="24"/>
        </w:rPr>
      </w:pPr>
    </w:p>
    <w:p w14:paraId="4E2FE785" w14:textId="77777777" w:rsidR="00547D80" w:rsidRPr="005475F3" w:rsidRDefault="006D3B1C" w:rsidP="007A18D6">
      <w:pPr>
        <w:spacing w:after="0"/>
        <w:ind w:left="1134" w:right="1185"/>
        <w:jc w:val="both"/>
        <w:rPr>
          <w:rFonts w:ascii="Arial" w:eastAsia="Times New Roman" w:hAnsi="Arial" w:cs="Arial"/>
          <w:lang w:eastAsia="es-ES"/>
        </w:rPr>
      </w:pPr>
      <w:r w:rsidRPr="005475F3">
        <w:rPr>
          <w:rFonts w:ascii="Arial" w:hAnsi="Arial" w:cs="Arial"/>
          <w:i/>
        </w:rPr>
        <w:t>“</w:t>
      </w:r>
      <w:r w:rsidR="00547D80" w:rsidRPr="005475F3">
        <w:rPr>
          <w:rFonts w:ascii="Arial" w:eastAsia="Times New Roman" w:hAnsi="Arial" w:cs="Arial"/>
          <w:lang w:eastAsia="es-ES"/>
        </w:rPr>
        <w:t xml:space="preserve">ACTO RECLAMADO: Estoy inconforme con la respuesta emitida por la Fiscalía General del Estado quien manifiesta que la información solicitada es RESERVADA. Sin embargo, considero que dicha reserva es improcedente por los siguientes motivos: </w:t>
      </w:r>
    </w:p>
    <w:p w14:paraId="398D48AF" w14:textId="77777777" w:rsidR="00547D80" w:rsidRPr="005475F3" w:rsidRDefault="00547D80" w:rsidP="007A18D6">
      <w:pPr>
        <w:spacing w:after="0"/>
        <w:ind w:left="1134" w:right="1185"/>
        <w:jc w:val="both"/>
        <w:rPr>
          <w:rFonts w:ascii="Arial" w:eastAsia="Times New Roman" w:hAnsi="Arial" w:cs="Arial"/>
          <w:lang w:eastAsia="es-ES"/>
        </w:rPr>
      </w:pPr>
      <w:r w:rsidRPr="005475F3">
        <w:rPr>
          <w:rFonts w:ascii="Arial" w:eastAsia="Times New Roman" w:hAnsi="Arial" w:cs="Arial"/>
          <w:lang w:eastAsia="es-ES"/>
        </w:rPr>
        <w:t xml:space="preserve">1.-La existencia de la investigación y su apertura es un hecho que no está a debate, ya que fue información difundida públicamente por la propia Fiscalía. </w:t>
      </w:r>
    </w:p>
    <w:p w14:paraId="3F1E5BEE" w14:textId="77777777" w:rsidR="00547D80" w:rsidRPr="005475F3" w:rsidRDefault="00547D80" w:rsidP="007A18D6">
      <w:pPr>
        <w:spacing w:after="0"/>
        <w:ind w:left="1134" w:right="1185"/>
        <w:jc w:val="both"/>
        <w:rPr>
          <w:rFonts w:ascii="Arial" w:eastAsia="Times New Roman" w:hAnsi="Arial" w:cs="Arial"/>
          <w:lang w:eastAsia="es-ES"/>
        </w:rPr>
      </w:pPr>
      <w:r w:rsidRPr="005475F3">
        <w:rPr>
          <w:rFonts w:ascii="Arial" w:eastAsia="Times New Roman" w:hAnsi="Arial" w:cs="Arial"/>
          <w:lang w:eastAsia="es-ES"/>
        </w:rPr>
        <w:t xml:space="preserve">2.-La información solicitada no es sustantiva ni operativa, sino de carácter administrativo y numérico: es decir, se solicita saber si la carpeta continúa en trámite, si fue determinada (judicializada o archivada), si se lograron sentencias, el delito que se investiga y la cantidad (NO IDENTIDADES) de personas detenidas relacionadas con la investigación. </w:t>
      </w:r>
    </w:p>
    <w:p w14:paraId="2604D311" w14:textId="77777777" w:rsidR="00547D80" w:rsidRPr="005475F3" w:rsidRDefault="00547D80" w:rsidP="007A18D6">
      <w:pPr>
        <w:spacing w:after="0"/>
        <w:ind w:left="1134" w:right="1185"/>
        <w:jc w:val="both"/>
        <w:rPr>
          <w:rFonts w:ascii="Arial" w:eastAsia="Times New Roman" w:hAnsi="Arial" w:cs="Arial"/>
          <w:lang w:eastAsia="es-ES"/>
        </w:rPr>
      </w:pPr>
      <w:r w:rsidRPr="005475F3">
        <w:rPr>
          <w:rFonts w:ascii="Arial" w:eastAsia="Times New Roman" w:hAnsi="Arial" w:cs="Arial"/>
          <w:lang w:eastAsia="es-ES"/>
        </w:rPr>
        <w:t xml:space="preserve">3.-Además es importante destacar que este caso reviste un alto alto interés público por tratarse de violencia contra personas buscadoras en un contexto de graves violaciones a derechos humanos, por lo que debe favorecerse el principio de máxima publicidad. </w:t>
      </w:r>
    </w:p>
    <w:p w14:paraId="7CFB924D" w14:textId="77777777" w:rsidR="00547D80" w:rsidRPr="005475F3" w:rsidRDefault="00547D80" w:rsidP="007A18D6">
      <w:pPr>
        <w:spacing w:after="0"/>
        <w:ind w:left="1134" w:right="1185"/>
        <w:jc w:val="both"/>
        <w:rPr>
          <w:rFonts w:ascii="Arial" w:eastAsia="Times New Roman" w:hAnsi="Arial" w:cs="Arial"/>
          <w:lang w:eastAsia="es-ES"/>
        </w:rPr>
      </w:pPr>
      <w:r w:rsidRPr="005475F3">
        <w:rPr>
          <w:rFonts w:ascii="Arial" w:eastAsia="Times New Roman" w:hAnsi="Arial" w:cs="Arial"/>
          <w:lang w:eastAsia="es-ES"/>
        </w:rPr>
        <w:t xml:space="preserve">4.-La divulgación del estatus procesal, delito y cantidad de detenidos no afecta el desarrollo de la investigación ni implica revelación de datos personales o sensibles, por lo que su clasificación total resulta excesiva y desproporcionada. Al contrario, el dar a conocer dicha información contribuye a la transparencia en la procuración e impartición de justicia por parte de las autoridades. Cabe traer a colación los criterios emitidos por el extinto INAI, como lo que resolvió en los recursos de revisión RRA 2572/17, 5773/18, 4843/19, entre otros, donde determinó que la autoridad no puede reservar lo que ella misma hizo público. Además, en el recurso de revisión 0922/20, el INAI también llegó a la conclusión de que se debe dar información cuando se trate de datos numéricos o generales (número de indagatoria, estatus de la misma, fechas), donde se advierta que no se revelarían detalles ni se afectarían las investigaciones de prevención o persecución de los delitos, como en este caso. </w:t>
      </w:r>
    </w:p>
    <w:p w14:paraId="16390238" w14:textId="10C55286" w:rsidR="00547D80" w:rsidRPr="005475F3" w:rsidRDefault="00547D80" w:rsidP="007A18D6">
      <w:pPr>
        <w:spacing w:after="0"/>
        <w:ind w:left="1134" w:right="1185"/>
        <w:jc w:val="both"/>
        <w:rPr>
          <w:rFonts w:ascii="Arial" w:eastAsia="Times New Roman" w:hAnsi="Arial" w:cs="Arial"/>
          <w:lang w:eastAsia="es-ES"/>
        </w:rPr>
      </w:pPr>
      <w:r w:rsidRPr="005475F3">
        <w:rPr>
          <w:rFonts w:ascii="Arial" w:eastAsia="Times New Roman" w:hAnsi="Arial" w:cs="Arial"/>
          <w:lang w:eastAsia="es-ES"/>
        </w:rPr>
        <w:t xml:space="preserve">PUNTOS PETITORIOS: Que se revoque la clasificación de reserva aplicada a la información solicitada, por carecer de motivación y proporcionalidad. Y que se ordene a la Fiscalía entregar la información solicitada. Que se aplique el principio de </w:t>
      </w:r>
      <w:r w:rsidRPr="005475F3">
        <w:rPr>
          <w:rFonts w:ascii="Arial" w:eastAsia="Times New Roman" w:hAnsi="Arial" w:cs="Arial"/>
          <w:lang w:eastAsia="es-ES"/>
        </w:rPr>
        <w:lastRenderedPageBreak/>
        <w:t>máxima publicidad previsto en la legislación de transparencia, considerando el interés público del caso.</w:t>
      </w:r>
    </w:p>
    <w:p w14:paraId="74BA325A" w14:textId="320DD65B" w:rsidR="006D3B1C" w:rsidRPr="005475F3" w:rsidRDefault="006D3B1C" w:rsidP="006D3B1C">
      <w:pPr>
        <w:autoSpaceDE w:val="0"/>
        <w:autoSpaceDN w:val="0"/>
        <w:adjustRightInd w:val="0"/>
        <w:spacing w:after="0" w:line="360" w:lineRule="auto"/>
        <w:ind w:left="1134" w:right="1183"/>
        <w:jc w:val="both"/>
        <w:rPr>
          <w:rFonts w:ascii="Arial" w:hAnsi="Arial" w:cs="Arial"/>
          <w:szCs w:val="24"/>
        </w:rPr>
      </w:pPr>
    </w:p>
    <w:p w14:paraId="25F46275" w14:textId="2C0EC15B" w:rsidR="00C741DB" w:rsidRPr="005475F3" w:rsidRDefault="008716A7" w:rsidP="008716A7">
      <w:pPr>
        <w:autoSpaceDE w:val="0"/>
        <w:autoSpaceDN w:val="0"/>
        <w:adjustRightInd w:val="0"/>
        <w:spacing w:after="0" w:line="360" w:lineRule="auto"/>
        <w:ind w:right="49" w:firstLine="709"/>
        <w:jc w:val="both"/>
        <w:rPr>
          <w:rFonts w:ascii="Arial" w:hAnsi="Arial" w:cs="Arial"/>
          <w:sz w:val="24"/>
          <w:szCs w:val="24"/>
        </w:rPr>
      </w:pPr>
      <w:r w:rsidRPr="005475F3">
        <w:rPr>
          <w:rFonts w:ascii="Arial" w:hAnsi="Arial" w:cs="Arial"/>
          <w:sz w:val="24"/>
          <w:szCs w:val="24"/>
        </w:rPr>
        <w:t xml:space="preserve">Al respecto es de precisarse que, la Ley de Transparencia y Acceso a la Información Pública del Estado de San Luis Potosí, para efecto de realizar la clasificación de información con el carácter de reservada, prevé la necesidad de satisfacer </w:t>
      </w:r>
      <w:r w:rsidRPr="005475F3">
        <w:rPr>
          <w:rFonts w:ascii="Arial" w:hAnsi="Arial" w:cs="Arial"/>
          <w:b/>
          <w:bCs/>
          <w:i/>
          <w:iCs/>
          <w:sz w:val="24"/>
          <w:szCs w:val="24"/>
          <w:u w:val="single"/>
        </w:rPr>
        <w:t>elementos formales</w:t>
      </w:r>
      <w:r w:rsidR="00C94280" w:rsidRPr="005475F3">
        <w:rPr>
          <w:rFonts w:ascii="Arial" w:hAnsi="Arial" w:cs="Arial"/>
          <w:b/>
          <w:bCs/>
          <w:i/>
          <w:iCs/>
          <w:sz w:val="24"/>
          <w:szCs w:val="24"/>
          <w:u w:val="single"/>
        </w:rPr>
        <w:t xml:space="preserve"> de la clasificación de la información</w:t>
      </w:r>
      <w:r w:rsidRPr="005475F3">
        <w:rPr>
          <w:rFonts w:ascii="Arial" w:hAnsi="Arial" w:cs="Arial"/>
          <w:sz w:val="24"/>
          <w:szCs w:val="24"/>
        </w:rPr>
        <w:t xml:space="preserve">, </w:t>
      </w:r>
      <w:r w:rsidR="00C741DB" w:rsidRPr="005475F3">
        <w:rPr>
          <w:rFonts w:ascii="Arial" w:hAnsi="Arial" w:cs="Arial"/>
          <w:sz w:val="24"/>
          <w:szCs w:val="24"/>
        </w:rPr>
        <w:t xml:space="preserve">esto es, la satisfacción de requisitos externos del acto, como lo son: 1. Formas de expresión; 2. Fases procesales; 3. Sujetos; y, 4. Motivación y fundamentación (solo respecto a su existencia). </w:t>
      </w:r>
    </w:p>
    <w:p w14:paraId="0C237D82" w14:textId="77777777" w:rsidR="00C741DB" w:rsidRPr="005475F3" w:rsidRDefault="00C741DB" w:rsidP="008716A7">
      <w:pPr>
        <w:autoSpaceDE w:val="0"/>
        <w:autoSpaceDN w:val="0"/>
        <w:adjustRightInd w:val="0"/>
        <w:spacing w:after="0" w:line="360" w:lineRule="auto"/>
        <w:ind w:right="49" w:firstLine="709"/>
        <w:jc w:val="both"/>
        <w:rPr>
          <w:rFonts w:ascii="Arial" w:hAnsi="Arial" w:cs="Arial"/>
          <w:sz w:val="24"/>
          <w:szCs w:val="24"/>
        </w:rPr>
      </w:pPr>
    </w:p>
    <w:p w14:paraId="5319D522" w14:textId="77777777" w:rsidR="00D935FA" w:rsidRPr="005475F3" w:rsidRDefault="00C741DB" w:rsidP="008716A7">
      <w:pPr>
        <w:autoSpaceDE w:val="0"/>
        <w:autoSpaceDN w:val="0"/>
        <w:adjustRightInd w:val="0"/>
        <w:spacing w:after="0" w:line="360" w:lineRule="auto"/>
        <w:ind w:right="49" w:firstLine="709"/>
        <w:jc w:val="both"/>
        <w:rPr>
          <w:rFonts w:ascii="Arial" w:hAnsi="Arial" w:cs="Arial"/>
          <w:sz w:val="24"/>
          <w:szCs w:val="24"/>
        </w:rPr>
      </w:pPr>
      <w:r w:rsidRPr="005475F3">
        <w:rPr>
          <w:rFonts w:ascii="Arial" w:hAnsi="Arial" w:cs="Arial"/>
          <w:sz w:val="24"/>
          <w:szCs w:val="24"/>
        </w:rPr>
        <w:t>A</w:t>
      </w:r>
      <w:r w:rsidR="008716A7" w:rsidRPr="005475F3">
        <w:rPr>
          <w:rFonts w:ascii="Arial" w:hAnsi="Arial" w:cs="Arial"/>
          <w:sz w:val="24"/>
          <w:szCs w:val="24"/>
        </w:rPr>
        <w:t>s</w:t>
      </w:r>
      <w:r w:rsidRPr="005475F3">
        <w:rPr>
          <w:rFonts w:ascii="Arial" w:hAnsi="Arial" w:cs="Arial"/>
          <w:sz w:val="24"/>
          <w:szCs w:val="24"/>
        </w:rPr>
        <w:t>imis</w:t>
      </w:r>
      <w:r w:rsidR="008716A7" w:rsidRPr="005475F3">
        <w:rPr>
          <w:rFonts w:ascii="Arial" w:hAnsi="Arial" w:cs="Arial"/>
          <w:sz w:val="24"/>
          <w:szCs w:val="24"/>
        </w:rPr>
        <w:t>mo</w:t>
      </w:r>
      <w:r w:rsidRPr="005475F3">
        <w:rPr>
          <w:rFonts w:ascii="Arial" w:hAnsi="Arial" w:cs="Arial"/>
          <w:sz w:val="24"/>
          <w:szCs w:val="24"/>
        </w:rPr>
        <w:t>,</w:t>
      </w:r>
      <w:r w:rsidR="008716A7" w:rsidRPr="005475F3">
        <w:rPr>
          <w:rFonts w:ascii="Arial" w:hAnsi="Arial" w:cs="Arial"/>
          <w:sz w:val="24"/>
          <w:szCs w:val="24"/>
        </w:rPr>
        <w:t xml:space="preserve"> acreditar la procedencia a través del estudio de la naturaleza de la información </w:t>
      </w:r>
      <w:r w:rsidR="008716A7" w:rsidRPr="005475F3">
        <w:rPr>
          <w:rFonts w:ascii="Arial" w:hAnsi="Arial" w:cs="Arial"/>
          <w:b/>
          <w:bCs/>
          <w:i/>
          <w:iCs/>
          <w:sz w:val="24"/>
          <w:szCs w:val="24"/>
          <w:u w:val="single"/>
        </w:rPr>
        <w:t xml:space="preserve">(elementos </w:t>
      </w:r>
      <w:r w:rsidR="004D0694" w:rsidRPr="005475F3">
        <w:rPr>
          <w:rFonts w:ascii="Arial" w:hAnsi="Arial" w:cs="Arial"/>
          <w:b/>
          <w:bCs/>
          <w:i/>
          <w:iCs/>
          <w:sz w:val="24"/>
          <w:szCs w:val="24"/>
          <w:u w:val="single"/>
        </w:rPr>
        <w:t>materiales</w:t>
      </w:r>
      <w:r w:rsidR="00C94280" w:rsidRPr="005475F3">
        <w:rPr>
          <w:rFonts w:ascii="Arial" w:hAnsi="Arial" w:cs="Arial"/>
          <w:b/>
          <w:bCs/>
          <w:i/>
          <w:iCs/>
          <w:sz w:val="24"/>
          <w:szCs w:val="24"/>
          <w:u w:val="single"/>
        </w:rPr>
        <w:t xml:space="preserve"> de la clasificación de la información</w:t>
      </w:r>
      <w:r w:rsidR="008716A7" w:rsidRPr="005475F3">
        <w:rPr>
          <w:rFonts w:ascii="Arial" w:hAnsi="Arial" w:cs="Arial"/>
          <w:b/>
          <w:bCs/>
          <w:i/>
          <w:iCs/>
          <w:sz w:val="24"/>
          <w:szCs w:val="24"/>
          <w:u w:val="single"/>
        </w:rPr>
        <w:t>)</w:t>
      </w:r>
      <w:r w:rsidR="008716A7" w:rsidRPr="005475F3">
        <w:rPr>
          <w:rFonts w:ascii="Arial" w:hAnsi="Arial" w:cs="Arial"/>
          <w:sz w:val="24"/>
          <w:szCs w:val="24"/>
        </w:rPr>
        <w:t>;</w:t>
      </w:r>
      <w:r w:rsidRPr="005475F3">
        <w:rPr>
          <w:rFonts w:ascii="Arial" w:hAnsi="Arial" w:cs="Arial"/>
          <w:sz w:val="24"/>
          <w:szCs w:val="24"/>
        </w:rPr>
        <w:t xml:space="preserve"> es decir, conforme a</w:t>
      </w:r>
      <w:r w:rsidR="008716A7" w:rsidRPr="005475F3">
        <w:rPr>
          <w:rFonts w:ascii="Arial" w:hAnsi="Arial" w:cs="Arial"/>
          <w:sz w:val="24"/>
          <w:szCs w:val="24"/>
        </w:rPr>
        <w:t xml:space="preserve"> </w:t>
      </w:r>
      <w:r w:rsidRPr="005475F3">
        <w:rPr>
          <w:rFonts w:ascii="Arial" w:hAnsi="Arial" w:cs="Arial"/>
          <w:sz w:val="24"/>
          <w:szCs w:val="24"/>
        </w:rPr>
        <w:t>las circunstancias subjetivas y objetivas, determinar de manera adecuada: 1. la competencia; 2. Legitimación; 3. Voluntad; 4. Contenido; 5. Motivo; y, 6. Finalidad</w:t>
      </w:r>
      <w:r w:rsidRPr="005475F3">
        <w:rPr>
          <w:rStyle w:val="Refdenotaalpie"/>
          <w:rFonts w:ascii="Arial" w:hAnsi="Arial" w:cs="Arial"/>
          <w:sz w:val="24"/>
          <w:szCs w:val="24"/>
        </w:rPr>
        <w:footnoteReference w:id="4"/>
      </w:r>
      <w:r w:rsidR="00D935FA" w:rsidRPr="005475F3">
        <w:rPr>
          <w:rFonts w:ascii="Arial" w:hAnsi="Arial" w:cs="Arial"/>
          <w:sz w:val="24"/>
          <w:szCs w:val="24"/>
        </w:rPr>
        <w:t>.</w:t>
      </w:r>
    </w:p>
    <w:p w14:paraId="6130066E" w14:textId="77777777" w:rsidR="00D935FA" w:rsidRPr="005475F3" w:rsidRDefault="00D935FA" w:rsidP="008716A7">
      <w:pPr>
        <w:autoSpaceDE w:val="0"/>
        <w:autoSpaceDN w:val="0"/>
        <w:adjustRightInd w:val="0"/>
        <w:spacing w:after="0" w:line="360" w:lineRule="auto"/>
        <w:ind w:right="49" w:firstLine="709"/>
        <w:jc w:val="both"/>
        <w:rPr>
          <w:rFonts w:ascii="Arial" w:hAnsi="Arial" w:cs="Arial"/>
          <w:sz w:val="24"/>
          <w:szCs w:val="24"/>
        </w:rPr>
      </w:pPr>
    </w:p>
    <w:p w14:paraId="57E540E4" w14:textId="67DEE3F4" w:rsidR="008716A7" w:rsidRPr="005475F3" w:rsidRDefault="00D935FA" w:rsidP="008716A7">
      <w:pPr>
        <w:autoSpaceDE w:val="0"/>
        <w:autoSpaceDN w:val="0"/>
        <w:adjustRightInd w:val="0"/>
        <w:spacing w:after="0" w:line="360" w:lineRule="auto"/>
        <w:ind w:right="49" w:firstLine="709"/>
        <w:jc w:val="both"/>
        <w:rPr>
          <w:rFonts w:ascii="Arial" w:hAnsi="Arial" w:cs="Arial"/>
          <w:sz w:val="24"/>
          <w:szCs w:val="24"/>
        </w:rPr>
      </w:pPr>
      <w:r w:rsidRPr="005475F3">
        <w:rPr>
          <w:rFonts w:ascii="Arial" w:hAnsi="Arial" w:cs="Arial"/>
          <w:sz w:val="24"/>
          <w:szCs w:val="24"/>
        </w:rPr>
        <w:t xml:space="preserve">En ese sentido, las manifestaciones vertidas por la ahora parte recurrente, son tendientes a controvertir la naturaleza de la información solicitada; que el sujeto obligado ha determinado clasificar con el carácter de reservada; </w:t>
      </w:r>
      <w:r w:rsidR="008716A7" w:rsidRPr="005475F3">
        <w:rPr>
          <w:rFonts w:ascii="Arial" w:hAnsi="Arial" w:cs="Arial"/>
          <w:sz w:val="24"/>
          <w:szCs w:val="24"/>
        </w:rPr>
        <w:t xml:space="preserve">circunstancia por la cual, debe observarse como la </w:t>
      </w:r>
      <w:r w:rsidR="00D65CEF" w:rsidRPr="005475F3">
        <w:rPr>
          <w:rFonts w:ascii="Arial" w:hAnsi="Arial" w:cs="Arial"/>
          <w:sz w:val="24"/>
          <w:szCs w:val="24"/>
        </w:rPr>
        <w:t>inconformidad</w:t>
      </w:r>
      <w:r w:rsidR="008716A7" w:rsidRPr="005475F3">
        <w:rPr>
          <w:rFonts w:ascii="Arial" w:hAnsi="Arial" w:cs="Arial"/>
          <w:sz w:val="24"/>
          <w:szCs w:val="24"/>
        </w:rPr>
        <w:t xml:space="preserve"> </w:t>
      </w:r>
      <w:r w:rsidR="00C741DB" w:rsidRPr="005475F3">
        <w:rPr>
          <w:rFonts w:ascii="Arial" w:hAnsi="Arial" w:cs="Arial"/>
          <w:sz w:val="24"/>
          <w:szCs w:val="24"/>
        </w:rPr>
        <w:t xml:space="preserve">únicamente </w:t>
      </w:r>
      <w:r w:rsidR="008716A7" w:rsidRPr="005475F3">
        <w:rPr>
          <w:rFonts w:ascii="Arial" w:hAnsi="Arial" w:cs="Arial"/>
          <w:sz w:val="24"/>
          <w:szCs w:val="24"/>
        </w:rPr>
        <w:t>desde la satisfacción</w:t>
      </w:r>
      <w:r w:rsidR="00D65CEF" w:rsidRPr="005475F3">
        <w:rPr>
          <w:rFonts w:ascii="Arial" w:hAnsi="Arial" w:cs="Arial"/>
          <w:sz w:val="24"/>
          <w:szCs w:val="24"/>
        </w:rPr>
        <w:t xml:space="preserve"> de</w:t>
      </w:r>
      <w:r w:rsidR="00C741DB" w:rsidRPr="005475F3">
        <w:rPr>
          <w:rFonts w:ascii="Arial" w:hAnsi="Arial" w:cs="Arial"/>
          <w:sz w:val="24"/>
          <w:szCs w:val="24"/>
        </w:rPr>
        <w:t xml:space="preserve"> los</w:t>
      </w:r>
      <w:r w:rsidR="00D65CEF" w:rsidRPr="005475F3">
        <w:rPr>
          <w:rFonts w:ascii="Arial" w:hAnsi="Arial" w:cs="Arial"/>
          <w:sz w:val="24"/>
          <w:szCs w:val="24"/>
        </w:rPr>
        <w:t xml:space="preserve"> elementos</w:t>
      </w:r>
      <w:r w:rsidR="00C741DB" w:rsidRPr="005475F3">
        <w:rPr>
          <w:rFonts w:ascii="Arial" w:hAnsi="Arial" w:cs="Arial"/>
          <w:sz w:val="24"/>
          <w:szCs w:val="24"/>
        </w:rPr>
        <w:t xml:space="preserve"> materiales de la clasificación de la información</w:t>
      </w:r>
      <w:r w:rsidRPr="005475F3">
        <w:rPr>
          <w:rFonts w:ascii="Arial" w:hAnsi="Arial" w:cs="Arial"/>
          <w:sz w:val="24"/>
          <w:szCs w:val="24"/>
        </w:rPr>
        <w:t xml:space="preserve">, </w:t>
      </w:r>
      <w:r w:rsidR="004246C0" w:rsidRPr="005475F3">
        <w:rPr>
          <w:rFonts w:ascii="Arial" w:hAnsi="Arial" w:cs="Arial"/>
          <w:sz w:val="24"/>
          <w:szCs w:val="24"/>
        </w:rPr>
        <w:t xml:space="preserve">respecto de la posibilidad de su clasificación; </w:t>
      </w:r>
      <w:r w:rsidRPr="005475F3">
        <w:rPr>
          <w:rFonts w:ascii="Arial" w:hAnsi="Arial" w:cs="Arial"/>
          <w:sz w:val="24"/>
          <w:szCs w:val="24"/>
        </w:rPr>
        <w:t>no así del procedimiento seguido para tal efecto, ni de la exteriorización del mismo</w:t>
      </w:r>
      <w:r w:rsidR="008716A7" w:rsidRPr="005475F3">
        <w:rPr>
          <w:rFonts w:ascii="Arial" w:hAnsi="Arial" w:cs="Arial"/>
          <w:sz w:val="24"/>
          <w:szCs w:val="24"/>
        </w:rPr>
        <w:t>.</w:t>
      </w:r>
    </w:p>
    <w:p w14:paraId="260EF4C8" w14:textId="77777777" w:rsidR="008716A7" w:rsidRPr="005475F3" w:rsidRDefault="008716A7" w:rsidP="006D3B1C">
      <w:pPr>
        <w:autoSpaceDE w:val="0"/>
        <w:autoSpaceDN w:val="0"/>
        <w:adjustRightInd w:val="0"/>
        <w:spacing w:after="0" w:line="360" w:lineRule="auto"/>
        <w:ind w:left="1134" w:right="1183"/>
        <w:jc w:val="both"/>
        <w:rPr>
          <w:rFonts w:ascii="Arial" w:hAnsi="Arial" w:cs="Arial"/>
          <w:szCs w:val="24"/>
        </w:rPr>
      </w:pPr>
    </w:p>
    <w:p w14:paraId="5846DAA0" w14:textId="08EC4BAC" w:rsidR="00CF1ACC" w:rsidRPr="005475F3" w:rsidRDefault="00552FC8" w:rsidP="00CF1ACC">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SÉPTIMO</w:t>
      </w:r>
      <w:r w:rsidR="00CF1ACC" w:rsidRPr="005475F3">
        <w:rPr>
          <w:rFonts w:ascii="Arial" w:eastAsia="Arial Unicode MS" w:hAnsi="Arial" w:cs="Arial"/>
          <w:b/>
          <w:bCs/>
          <w:sz w:val="24"/>
          <w:szCs w:val="24"/>
          <w:lang w:eastAsia="es-ES"/>
        </w:rPr>
        <w:t xml:space="preserve">. </w:t>
      </w:r>
      <w:r w:rsidR="00CF1ACC" w:rsidRPr="005475F3">
        <w:rPr>
          <w:rFonts w:ascii="Arial" w:eastAsia="Arial Unicode MS" w:hAnsi="Arial" w:cs="Arial"/>
          <w:b/>
          <w:sz w:val="24"/>
          <w:szCs w:val="24"/>
          <w:lang w:eastAsia="es-ES"/>
        </w:rPr>
        <w:t xml:space="preserve">Estudio de los agravios. </w:t>
      </w:r>
      <w:r w:rsidR="00CF1ACC" w:rsidRPr="005475F3">
        <w:rPr>
          <w:rFonts w:ascii="Arial" w:eastAsia="Arial Unicode MS" w:hAnsi="Arial" w:cs="Arial"/>
          <w:sz w:val="24"/>
          <w:szCs w:val="24"/>
          <w:lang w:eastAsia="es-ES"/>
        </w:rPr>
        <w:t>Esta Comisión procede, con fundamento en el artículo 174 fracción VII de la Ley de Transparencia y Acceso a la Información Pública del Estado, al estudio de l</w:t>
      </w:r>
      <w:r w:rsidR="001D7B5F" w:rsidRPr="005475F3">
        <w:rPr>
          <w:rFonts w:ascii="Arial" w:eastAsia="Arial Unicode MS" w:hAnsi="Arial" w:cs="Arial"/>
          <w:sz w:val="24"/>
          <w:szCs w:val="24"/>
          <w:lang w:eastAsia="es-ES"/>
        </w:rPr>
        <w:t>a inconformidad planteada por la</w:t>
      </w:r>
      <w:r w:rsidR="00CF1ACC" w:rsidRPr="005475F3">
        <w:rPr>
          <w:rFonts w:ascii="Arial" w:eastAsia="Arial Unicode MS" w:hAnsi="Arial" w:cs="Arial"/>
          <w:sz w:val="24"/>
          <w:szCs w:val="24"/>
          <w:lang w:eastAsia="es-ES"/>
        </w:rPr>
        <w:t xml:space="preserve"> hoy recurrente, sin que resulte procedente el análisis de elementos que no fueron causa de inconformidad, a través de la presentación del recurso de revisión, por éstos tratarse de actos consentidos</w:t>
      </w:r>
      <w:r w:rsidR="00CF1ACC" w:rsidRPr="005475F3">
        <w:rPr>
          <w:rStyle w:val="Refdenotaalpie"/>
          <w:rFonts w:ascii="Arial" w:eastAsia="Arial Unicode MS" w:hAnsi="Arial" w:cs="Arial"/>
          <w:sz w:val="24"/>
          <w:szCs w:val="24"/>
          <w:lang w:eastAsia="es-ES"/>
        </w:rPr>
        <w:footnoteReference w:id="5"/>
      </w:r>
      <w:r w:rsidR="00CF1ACC" w:rsidRPr="005475F3">
        <w:rPr>
          <w:rFonts w:ascii="Arial" w:eastAsia="Arial Unicode MS" w:hAnsi="Arial" w:cs="Arial"/>
          <w:sz w:val="24"/>
          <w:szCs w:val="24"/>
          <w:lang w:eastAsia="es-ES"/>
        </w:rPr>
        <w:t>; en los términos que se patentizan a continuación.</w:t>
      </w:r>
    </w:p>
    <w:p w14:paraId="67FF1AA4" w14:textId="77777777" w:rsidR="00D82007" w:rsidRPr="005475F3" w:rsidRDefault="00D82007" w:rsidP="00CF1ACC">
      <w:pPr>
        <w:spacing w:after="0" w:line="360" w:lineRule="auto"/>
        <w:ind w:firstLine="709"/>
        <w:jc w:val="both"/>
        <w:rPr>
          <w:rFonts w:ascii="Arial" w:hAnsi="Arial" w:cs="Arial"/>
          <w:sz w:val="24"/>
          <w:szCs w:val="24"/>
        </w:rPr>
      </w:pPr>
    </w:p>
    <w:p w14:paraId="1DAE09E0" w14:textId="17C0C614" w:rsidR="00D935FA" w:rsidRPr="005475F3" w:rsidRDefault="00D935FA" w:rsidP="00D935FA">
      <w:pPr>
        <w:spacing w:after="0" w:line="360" w:lineRule="auto"/>
        <w:ind w:firstLine="709"/>
        <w:jc w:val="both"/>
        <w:rPr>
          <w:rFonts w:ascii="Arial" w:hAnsi="Arial" w:cs="Arial"/>
          <w:sz w:val="24"/>
          <w:szCs w:val="24"/>
        </w:rPr>
      </w:pPr>
      <w:r w:rsidRPr="005475F3">
        <w:rPr>
          <w:rFonts w:ascii="Arial" w:hAnsi="Arial" w:cs="Arial"/>
          <w:sz w:val="24"/>
          <w:szCs w:val="24"/>
        </w:rPr>
        <w:t xml:space="preserve">Pues bien, del análisis de los agravios vertidos por la persona inconforme, se desprende que el motivo de queja atiende a los </w:t>
      </w:r>
      <w:r w:rsidRPr="005475F3">
        <w:rPr>
          <w:rFonts w:ascii="Arial" w:hAnsi="Arial" w:cs="Arial"/>
          <w:b/>
          <w:i/>
          <w:sz w:val="24"/>
          <w:szCs w:val="24"/>
        </w:rPr>
        <w:t>elementos materiales</w:t>
      </w:r>
      <w:r w:rsidRPr="005475F3">
        <w:rPr>
          <w:rFonts w:ascii="Arial" w:hAnsi="Arial" w:cs="Arial"/>
          <w:sz w:val="24"/>
          <w:szCs w:val="24"/>
        </w:rPr>
        <w:t xml:space="preserve"> (en cuanto al objeto y la finalidad), de la reserva de la información decretada por el Sujeto Obligado; circunstancia por la cual, la inconformidad planteada </w:t>
      </w:r>
      <w:r w:rsidR="00B61E78" w:rsidRPr="005475F3">
        <w:rPr>
          <w:rFonts w:ascii="Arial" w:hAnsi="Arial" w:cs="Arial"/>
          <w:sz w:val="24"/>
          <w:szCs w:val="24"/>
        </w:rPr>
        <w:t>resulta parcialmente fundada por las consideraciones siguientes:</w:t>
      </w:r>
    </w:p>
    <w:p w14:paraId="39D3DB14" w14:textId="27FE4CB1" w:rsidR="004246C0" w:rsidRPr="005475F3" w:rsidRDefault="00C94280" w:rsidP="004246C0">
      <w:pPr>
        <w:spacing w:after="0" w:line="360" w:lineRule="auto"/>
        <w:ind w:firstLine="709"/>
        <w:jc w:val="both"/>
        <w:rPr>
          <w:rFonts w:ascii="Arial" w:eastAsia="Arial" w:hAnsi="Arial" w:cs="Arial"/>
          <w:bCs/>
          <w:sz w:val="24"/>
        </w:rPr>
      </w:pPr>
      <w:r w:rsidRPr="005475F3">
        <w:rPr>
          <w:rFonts w:ascii="Arial" w:eastAsia="Arial" w:hAnsi="Arial" w:cs="Arial"/>
          <w:bCs/>
          <w:sz w:val="24"/>
        </w:rPr>
        <w:t xml:space="preserve"> </w:t>
      </w:r>
      <w:bookmarkEnd w:id="0"/>
      <w:bookmarkEnd w:id="1"/>
    </w:p>
    <w:p w14:paraId="0F886376" w14:textId="77777777" w:rsidR="004246C0" w:rsidRPr="005475F3" w:rsidRDefault="004246C0" w:rsidP="004246C0">
      <w:pPr>
        <w:pStyle w:val="Prrafodelista"/>
        <w:numPr>
          <w:ilvl w:val="0"/>
          <w:numId w:val="9"/>
        </w:numPr>
        <w:spacing w:after="0" w:line="360" w:lineRule="auto"/>
        <w:ind w:left="851" w:hanging="143"/>
        <w:jc w:val="both"/>
        <w:rPr>
          <w:rFonts w:ascii="Arial" w:eastAsia="Arial Unicode MS" w:hAnsi="Arial" w:cs="Arial"/>
          <w:b/>
          <w:bCs/>
          <w:sz w:val="24"/>
          <w:szCs w:val="24"/>
          <w:lang w:eastAsia="es-ES"/>
        </w:rPr>
      </w:pPr>
      <w:r w:rsidRPr="005475F3">
        <w:rPr>
          <w:rFonts w:ascii="Arial" w:eastAsia="Arial Unicode MS" w:hAnsi="Arial" w:cs="Arial"/>
          <w:b/>
          <w:bCs/>
          <w:sz w:val="24"/>
          <w:szCs w:val="24"/>
          <w:lang w:eastAsia="es-ES"/>
        </w:rPr>
        <w:t>Elementos materiales de la clasificación de la información.</w:t>
      </w:r>
    </w:p>
    <w:p w14:paraId="7E5C6D7F"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3AE193DA"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La Ley de Transparencia y Acceso a la Información Pública del Estado de San Luis Potosí, es el eje normativo rector de los procedimientos que garantizan el Derecho de los particulares a, entre otras cosas, acceder, solicitar, investigar y difundir, la documentación generada, adquirida, transformada o procesada, que se encuentra en posesión de los sujetos obligados, derivado del ejercicio de sus atribuciones o competencias, prevé que dicho derecho no es absoluto, es decir, se encuentra con limitantes adecuadamente definidas</w:t>
      </w:r>
      <w:r w:rsidRPr="005475F3">
        <w:rPr>
          <w:rStyle w:val="Refdenotaalpie"/>
          <w:rFonts w:ascii="Arial" w:eastAsia="Arial Unicode MS" w:hAnsi="Arial" w:cs="Arial"/>
          <w:sz w:val="24"/>
          <w:szCs w:val="24"/>
          <w:lang w:eastAsia="es-ES"/>
        </w:rPr>
        <w:footnoteReference w:id="6"/>
      </w:r>
      <w:r w:rsidRPr="005475F3">
        <w:rPr>
          <w:rFonts w:ascii="Arial" w:eastAsia="Arial Unicode MS" w:hAnsi="Arial" w:cs="Arial"/>
          <w:sz w:val="24"/>
          <w:szCs w:val="24"/>
          <w:lang w:eastAsia="es-ES"/>
        </w:rPr>
        <w:t>.</w:t>
      </w:r>
    </w:p>
    <w:p w14:paraId="7AF1EFA1"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2E82E0BC"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Limitantes que, por definición normativa, se consideran excepciones al derecho de acceso a la información; esto es, circunstancias determinadas por las cuales, el ejercicio del derecho de acceso a la información, poseído por los particulares, no podrá ser atendido, hasta su total satisfacción, aun cuando se posea la documentación solicitada</w:t>
      </w:r>
      <w:r w:rsidRPr="005475F3">
        <w:rPr>
          <w:rStyle w:val="Refdenotaalpie"/>
          <w:rFonts w:ascii="Arial" w:eastAsia="Arial Unicode MS" w:hAnsi="Arial" w:cs="Arial"/>
          <w:sz w:val="24"/>
          <w:szCs w:val="24"/>
          <w:lang w:eastAsia="es-ES"/>
        </w:rPr>
        <w:footnoteReference w:id="7"/>
      </w:r>
      <w:r w:rsidRPr="005475F3">
        <w:rPr>
          <w:rFonts w:ascii="Arial" w:eastAsia="Arial Unicode MS" w:hAnsi="Arial" w:cs="Arial"/>
          <w:sz w:val="24"/>
          <w:szCs w:val="24"/>
          <w:lang w:eastAsia="es-ES"/>
        </w:rPr>
        <w:t>.</w:t>
      </w:r>
    </w:p>
    <w:p w14:paraId="6DF45FD7"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530DA940"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Entonces, conforme a lo dispuesto en el artículo 113</w:t>
      </w:r>
      <w:r w:rsidRPr="005475F3">
        <w:rPr>
          <w:rStyle w:val="Refdenotaalpie"/>
          <w:rFonts w:ascii="Arial" w:eastAsia="Arial Unicode MS" w:hAnsi="Arial" w:cs="Arial"/>
          <w:sz w:val="24"/>
          <w:szCs w:val="24"/>
          <w:lang w:eastAsia="es-ES"/>
        </w:rPr>
        <w:footnoteReference w:id="8"/>
      </w:r>
      <w:r w:rsidRPr="005475F3">
        <w:rPr>
          <w:rFonts w:ascii="Arial" w:eastAsia="Arial Unicode MS" w:hAnsi="Arial" w:cs="Arial"/>
          <w:sz w:val="24"/>
          <w:szCs w:val="24"/>
          <w:lang w:eastAsia="es-ES"/>
        </w:rPr>
        <w:t xml:space="preserve"> de la Ley de Transparencia y Acceso a la Información Pública del Estado de San Luis Potosí, los sujetos obligados podrán determinar que respecto a la entrega de la información, se actualice una excepción al derecho de acceso a la información pública: información reservada o información confidencial. </w:t>
      </w:r>
    </w:p>
    <w:p w14:paraId="4E22D6B0"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299300FF"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Supuestos los anteriores que se diferencian en tanto que, la </w:t>
      </w:r>
      <w:r w:rsidRPr="005475F3">
        <w:rPr>
          <w:rFonts w:ascii="Arial" w:eastAsia="Arial Unicode MS" w:hAnsi="Arial" w:cs="Arial"/>
          <w:b/>
          <w:bCs/>
          <w:i/>
          <w:iCs/>
          <w:sz w:val="24"/>
          <w:szCs w:val="24"/>
          <w:u w:val="single"/>
          <w:lang w:eastAsia="es-ES"/>
        </w:rPr>
        <w:t>información confidencial</w:t>
      </w:r>
      <w:r w:rsidRPr="005475F3">
        <w:rPr>
          <w:rStyle w:val="Refdenotaalpie"/>
          <w:rFonts w:ascii="Arial" w:eastAsia="Arial Unicode MS" w:hAnsi="Arial" w:cs="Arial"/>
          <w:sz w:val="24"/>
          <w:szCs w:val="24"/>
          <w:lang w:eastAsia="es-ES"/>
        </w:rPr>
        <w:footnoteReference w:id="9"/>
      </w:r>
      <w:r w:rsidRPr="005475F3">
        <w:rPr>
          <w:rFonts w:ascii="Arial" w:eastAsia="Arial Unicode MS" w:hAnsi="Arial" w:cs="Arial"/>
          <w:sz w:val="24"/>
          <w:szCs w:val="24"/>
          <w:lang w:eastAsia="es-ES"/>
        </w:rPr>
        <w:t xml:space="preserve">, se compone de datos que son inherentes a una persona identificada o identificable; y, la protección de dichos datos, no se encuentra sujeta a un plazo de tiempo determinado; por su parte, la </w:t>
      </w:r>
      <w:r w:rsidRPr="005475F3">
        <w:rPr>
          <w:rFonts w:ascii="Arial" w:eastAsia="Arial Unicode MS" w:hAnsi="Arial" w:cs="Arial"/>
          <w:b/>
          <w:bCs/>
          <w:i/>
          <w:iCs/>
          <w:sz w:val="24"/>
          <w:szCs w:val="24"/>
          <w:u w:val="single"/>
          <w:lang w:eastAsia="es-ES"/>
        </w:rPr>
        <w:t>información reservada</w:t>
      </w:r>
      <w:r w:rsidRPr="005475F3">
        <w:rPr>
          <w:rStyle w:val="Refdenotaalpie"/>
          <w:rFonts w:ascii="Arial" w:eastAsia="Arial Unicode MS" w:hAnsi="Arial" w:cs="Arial"/>
          <w:sz w:val="24"/>
          <w:szCs w:val="24"/>
          <w:lang w:eastAsia="es-ES"/>
        </w:rPr>
        <w:footnoteReference w:id="10"/>
      </w:r>
      <w:r w:rsidRPr="005475F3">
        <w:rPr>
          <w:rFonts w:ascii="Arial" w:eastAsia="Arial Unicode MS" w:hAnsi="Arial" w:cs="Arial"/>
          <w:sz w:val="24"/>
          <w:szCs w:val="24"/>
          <w:lang w:eastAsia="es-ES"/>
        </w:rPr>
        <w:t>, es toda aquella que, una vez acreditados los elementos necesarios, los sujetos obligados determinan necesaria la restricción de su acceso al público, por un tiempo determinado; lo anterior en tanto que, con su publicación se pudiera causar una lesión al interés público.</w:t>
      </w:r>
    </w:p>
    <w:p w14:paraId="0799EF10"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3774E3AC"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Ahora bien, de conformidad con el artículo 114</w:t>
      </w:r>
      <w:r w:rsidRPr="005475F3">
        <w:rPr>
          <w:rStyle w:val="Refdenotaalpie"/>
          <w:rFonts w:ascii="Arial" w:eastAsia="Arial Unicode MS" w:hAnsi="Arial" w:cs="Arial"/>
          <w:sz w:val="24"/>
          <w:szCs w:val="24"/>
          <w:lang w:eastAsia="es-ES"/>
        </w:rPr>
        <w:footnoteReference w:id="11"/>
      </w:r>
      <w:r w:rsidRPr="005475F3">
        <w:rPr>
          <w:rFonts w:ascii="Arial" w:eastAsia="Arial Unicode MS" w:hAnsi="Arial" w:cs="Arial"/>
          <w:sz w:val="24"/>
          <w:szCs w:val="24"/>
          <w:lang w:eastAsia="es-ES"/>
        </w:rPr>
        <w:t xml:space="preserve"> de la Ley Local de Transparencia, el proceso de clasificación de la información será aquel a través del cual el sujeto obligado, mediante su Comité de Transparencia, determinará que la información en su posesión, actualiza alguno de los supuestos de reserva o confidencialidad, la cual deberá ser aplicada de manera restrictiva.</w:t>
      </w:r>
    </w:p>
    <w:p w14:paraId="1A4F136E"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66A9238C"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Por su parte, el artículo 159</w:t>
      </w:r>
      <w:r w:rsidRPr="005475F3">
        <w:rPr>
          <w:rStyle w:val="Refdenotaalpie"/>
          <w:rFonts w:ascii="Arial" w:eastAsia="Arial Unicode MS" w:hAnsi="Arial" w:cs="Arial"/>
          <w:sz w:val="24"/>
          <w:szCs w:val="24"/>
          <w:lang w:eastAsia="es-ES"/>
        </w:rPr>
        <w:footnoteReference w:id="12"/>
      </w:r>
      <w:r w:rsidRPr="005475F3">
        <w:rPr>
          <w:rFonts w:ascii="Arial" w:eastAsia="Arial Unicode MS" w:hAnsi="Arial" w:cs="Arial"/>
          <w:sz w:val="24"/>
          <w:szCs w:val="24"/>
          <w:lang w:eastAsia="es-ES"/>
        </w:rPr>
        <w:t xml:space="preserve"> de la Ley de la materia, prevé que a través de la Unidad Administrativa que posee la información, deberá remitir su solicitud de manera fundamentada y motivada, al Comité de Transparencia, para que este apruebe la clasificación de la información.</w:t>
      </w:r>
    </w:p>
    <w:p w14:paraId="01C5A1BB"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15DA3DAE"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lastRenderedPageBreak/>
        <w:t>En este sentido, en el caso de que se configure una negativa al derecho de acceso a la información, atento al contenido de los numeral 117</w:t>
      </w:r>
      <w:r w:rsidRPr="005475F3">
        <w:rPr>
          <w:rStyle w:val="Refdenotaalpie"/>
          <w:rFonts w:ascii="Arial" w:eastAsia="Arial Unicode MS" w:hAnsi="Arial" w:cs="Arial"/>
          <w:sz w:val="24"/>
          <w:szCs w:val="24"/>
          <w:lang w:eastAsia="es-ES"/>
        </w:rPr>
        <w:footnoteReference w:id="13"/>
      </w:r>
      <w:r w:rsidRPr="005475F3">
        <w:rPr>
          <w:rFonts w:ascii="Arial" w:eastAsia="Arial Unicode MS" w:hAnsi="Arial" w:cs="Arial"/>
          <w:sz w:val="24"/>
          <w:szCs w:val="24"/>
          <w:lang w:eastAsia="es-ES"/>
        </w:rPr>
        <w:t xml:space="preserve"> y 127</w:t>
      </w:r>
      <w:r w:rsidRPr="005475F3">
        <w:rPr>
          <w:rStyle w:val="Refdenotaalpie"/>
          <w:rFonts w:ascii="Arial" w:eastAsia="Arial Unicode MS" w:hAnsi="Arial" w:cs="Arial"/>
          <w:sz w:val="24"/>
          <w:szCs w:val="24"/>
          <w:lang w:eastAsia="es-ES"/>
        </w:rPr>
        <w:footnoteReference w:id="14"/>
      </w:r>
      <w:r w:rsidRPr="005475F3">
        <w:rPr>
          <w:rFonts w:ascii="Arial" w:eastAsia="Arial Unicode MS" w:hAnsi="Arial" w:cs="Arial"/>
          <w:sz w:val="24"/>
          <w:szCs w:val="24"/>
          <w:lang w:eastAsia="es-ES"/>
        </w:rPr>
        <w:t xml:space="preserve"> de la Ley de Transparencia y Acceso a la Información Pública del Estado, el Comité de Transparencia del sujeto obligado, una vez analizada las circunstancias específicas del caso en concreto, deberá emitir la resolución que conforme a derecho corresponda, señalando los motivos o circunstancias especiales que llevaron al Obligado a concluir que en el caso particular se ajusta al supuesto previsto por la norma legal invocada como fundamento. </w:t>
      </w:r>
    </w:p>
    <w:p w14:paraId="707CFF45"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065A00B7"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Asimismo, se precisa que, en todo momento, el sujeto obligado deberá aplicar una prueba de daño. El concepto “daño” lo podemos rastrear desde el derecho romano en donde </w:t>
      </w:r>
      <w:r w:rsidRPr="005475F3">
        <w:rPr>
          <w:rFonts w:ascii="Arial" w:eastAsia="Arial Unicode MS" w:hAnsi="Arial" w:cs="Arial"/>
          <w:i/>
          <w:sz w:val="24"/>
          <w:szCs w:val="24"/>
          <w:lang w:eastAsia="es-ES"/>
        </w:rPr>
        <w:t>Damnum</w:t>
      </w:r>
      <w:r w:rsidRPr="005475F3">
        <w:rPr>
          <w:rFonts w:ascii="Arial" w:eastAsia="Arial Unicode MS" w:hAnsi="Arial" w:cs="Arial"/>
          <w:sz w:val="24"/>
          <w:szCs w:val="24"/>
          <w:lang w:eastAsia="es-ES"/>
        </w:rPr>
        <w:t xml:space="preserve"> significaba </w:t>
      </w:r>
      <w:r w:rsidRPr="005475F3">
        <w:rPr>
          <w:rFonts w:ascii="Arial" w:eastAsia="Arial Unicode MS" w:hAnsi="Arial" w:cs="Arial"/>
          <w:i/>
          <w:sz w:val="24"/>
          <w:szCs w:val="24"/>
          <w:lang w:eastAsia="es-ES"/>
        </w:rPr>
        <w:t>“la pérdida que sufre un propietario por detrimento de una cosa que le pertenece”.</w:t>
      </w:r>
      <w:r w:rsidRPr="005475F3">
        <w:rPr>
          <w:rFonts w:ascii="Arial" w:eastAsia="Arial Unicode MS" w:hAnsi="Arial" w:cs="Arial"/>
          <w:i/>
          <w:sz w:val="24"/>
          <w:szCs w:val="24"/>
          <w:vertAlign w:val="superscript"/>
          <w:lang w:eastAsia="es-ES"/>
        </w:rPr>
        <w:footnoteReference w:id="15"/>
      </w:r>
    </w:p>
    <w:p w14:paraId="45DA2FB1"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5E647084" w14:textId="77777777" w:rsidR="004246C0" w:rsidRPr="005475F3" w:rsidRDefault="004246C0" w:rsidP="004246C0">
      <w:pPr>
        <w:spacing w:after="0" w:line="360" w:lineRule="auto"/>
        <w:ind w:firstLine="708"/>
        <w:jc w:val="both"/>
        <w:rPr>
          <w:rFonts w:ascii="Arial" w:eastAsia="Arial Unicode MS" w:hAnsi="Arial" w:cs="Arial"/>
          <w:i/>
          <w:sz w:val="24"/>
          <w:szCs w:val="24"/>
          <w:lang w:eastAsia="es-ES"/>
        </w:rPr>
      </w:pPr>
      <w:r w:rsidRPr="005475F3">
        <w:rPr>
          <w:rFonts w:ascii="Arial" w:eastAsia="Arial Unicode MS" w:hAnsi="Arial" w:cs="Arial"/>
          <w:sz w:val="24"/>
          <w:szCs w:val="24"/>
          <w:lang w:eastAsia="es-ES"/>
        </w:rPr>
        <w:t xml:space="preserve">Por su parte la Real Academia Española de la lengua establece este concepto como: </w:t>
      </w:r>
      <w:r w:rsidRPr="005475F3">
        <w:rPr>
          <w:rFonts w:ascii="Arial" w:eastAsia="Arial Unicode MS" w:hAnsi="Arial" w:cs="Arial"/>
          <w:i/>
          <w:sz w:val="24"/>
          <w:szCs w:val="24"/>
          <w:lang w:eastAsia="es-ES"/>
        </w:rPr>
        <w:t xml:space="preserve">“Causar detrimento, perjuicio, menoscabo, dolor o molestia”. </w:t>
      </w:r>
    </w:p>
    <w:p w14:paraId="4E3D6247"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23F00DF8"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Este concepto, ha permeado la cultura de transparencia y acceso a la información de diferentes maneras en las políticas de la materia en todos los países que poseen normativa reguladora del tema. Para estos efectos, el concepto de daño estará vinculado al menoscabo, detrimento, y perjuicio que se puede causar a la cosa pública por la revelación de una información que debe ser reservada, por tanto, se debe de entender que la revelación de la información no solo puede en algunas ocasiones causar daño al Estado, sino también la revelación de la información puede causar un daño a particulares. </w:t>
      </w:r>
    </w:p>
    <w:p w14:paraId="4B54A435"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092C592D"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El daño a causar, debe ser analizado desde las dos perspectivas de la clasificación de la información. Por un lado, la información reservada y por otro la información confidencial. </w:t>
      </w:r>
    </w:p>
    <w:p w14:paraId="0565D79C"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2F0D415B"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Es evidente, que respecto a esta segunda la prueba de daño claramente definida y circunscrita a la protección de un valor determinado que es la protección de los derechos de la personalidad, en concreto la vida privada a través de datos o datos sensibles que son de exclusivo manejo del individuo del que emanan.</w:t>
      </w:r>
      <w:r w:rsidRPr="005475F3">
        <w:rPr>
          <w:rFonts w:ascii="Arial" w:eastAsia="Arial Unicode MS" w:hAnsi="Arial" w:cs="Arial"/>
          <w:sz w:val="24"/>
          <w:szCs w:val="24"/>
          <w:vertAlign w:val="superscript"/>
          <w:lang w:eastAsia="es-ES"/>
        </w:rPr>
        <w:footnoteReference w:id="16"/>
      </w:r>
    </w:p>
    <w:p w14:paraId="2A91170D"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1B2E2325"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 ese sentido, la revelación de los datos personales cobra una capital importancia e identificación en el manejo de la información. El daño causado por el otorgamiento de ella es evidente y concreto. De cualquier manera, la legislación en materia de transparencia en el Estado mexicano establece una serie de instrucciones en materia de protección de datos en posesión de los sujetos obligados que les faculta y les obliga en materia de la información considerada como confidencial.</w:t>
      </w:r>
    </w:p>
    <w:p w14:paraId="5406F89D"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2A7C8564"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El segundo de los supuestos es el daño que se causa en el caso de la información reservada. A diferencia de lo ocurrido en el caso de la información confidencial, los bienes jurídicos protegidos, no son tan fácilmente identificables. Si bien es cierto, hablamos de un daño al Estado, este es difícil de construir aún y cuando se apele a los conceptos de seguridad que es donde radicaremos el análisis. El daño en materia de información reservada y en concreto la prueba de que se causará algún daño por la revelación de la información, ni siquiera es materia de la misma ley. Por lo que, Sergio López Ayllón y Alejandro Posadas mencionan que: “aunque la ley no establece explícitamente una prueba de daño, esta se deriva implícitamente del lenguaje del artículo 13”</w:t>
      </w:r>
      <w:r w:rsidRPr="005475F3">
        <w:rPr>
          <w:rFonts w:ascii="Arial" w:eastAsia="Arial Unicode MS" w:hAnsi="Arial" w:cs="Arial"/>
          <w:sz w:val="24"/>
          <w:szCs w:val="24"/>
          <w:vertAlign w:val="superscript"/>
          <w:lang w:eastAsia="es-ES"/>
        </w:rPr>
        <w:footnoteReference w:id="17"/>
      </w:r>
      <w:r w:rsidRPr="005475F3">
        <w:rPr>
          <w:rFonts w:ascii="Arial" w:eastAsia="Arial Unicode MS" w:hAnsi="Arial" w:cs="Arial"/>
          <w:sz w:val="24"/>
          <w:szCs w:val="24"/>
          <w:lang w:eastAsia="es-ES"/>
        </w:rPr>
        <w:t xml:space="preserve"> de la legislación y de su exposición de motivos en donde al referirse a la información reservada se hace mención al elemento de daño.</w:t>
      </w:r>
      <w:r w:rsidRPr="005475F3">
        <w:rPr>
          <w:rFonts w:ascii="Arial" w:eastAsia="Arial Unicode MS" w:hAnsi="Arial" w:cs="Arial"/>
          <w:sz w:val="24"/>
          <w:szCs w:val="24"/>
          <w:vertAlign w:val="superscript"/>
          <w:lang w:eastAsia="es-ES"/>
        </w:rPr>
        <w:footnoteReference w:id="18"/>
      </w:r>
    </w:p>
    <w:p w14:paraId="06160574"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15DBE87E"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Respecto a la prueba de daño</w:t>
      </w:r>
      <w:r w:rsidRPr="005475F3">
        <w:rPr>
          <w:rStyle w:val="Refdenotaalpie"/>
          <w:rFonts w:ascii="Arial" w:eastAsia="Arial Unicode MS" w:hAnsi="Arial" w:cs="Arial"/>
          <w:sz w:val="24"/>
          <w:szCs w:val="24"/>
          <w:lang w:eastAsia="es-ES"/>
        </w:rPr>
        <w:footnoteReference w:id="19"/>
      </w:r>
      <w:r w:rsidRPr="005475F3">
        <w:rPr>
          <w:rFonts w:ascii="Arial" w:eastAsia="Arial Unicode MS" w:hAnsi="Arial" w:cs="Arial"/>
          <w:sz w:val="24"/>
          <w:szCs w:val="24"/>
          <w:lang w:eastAsia="es-ES"/>
        </w:rPr>
        <w:t>, la Primera Sala de la Suprema Corte de Justicia de la Nación determinó que esta consiste en “</w:t>
      </w:r>
      <w:r w:rsidRPr="005475F3">
        <w:rPr>
          <w:rFonts w:ascii="Arial" w:eastAsia="Arial Unicode MS" w:hAnsi="Arial" w:cs="Arial"/>
          <w:i/>
          <w:sz w:val="24"/>
          <w:szCs w:val="24"/>
          <w:lang w:eastAsia="es-ES"/>
        </w:rPr>
        <w:t xml:space="preserve">la facultad de la autoridad </w:t>
      </w:r>
      <w:r w:rsidRPr="005475F3">
        <w:rPr>
          <w:rFonts w:ascii="Arial" w:eastAsia="Arial Unicode MS" w:hAnsi="Arial" w:cs="Arial"/>
          <w:i/>
          <w:sz w:val="24"/>
          <w:szCs w:val="24"/>
          <w:lang w:eastAsia="es-ES"/>
        </w:rPr>
        <w:lastRenderedPageBreak/>
        <w:t>que posee la información solicitada para ponderar y valorar mediante la debida fundamentación y motivación, el proporcionarla o no, en tanto que su divulgación ponga en riesgo o pueda causar un perjuicio real al objetivo o principio que se trata de salvaguardar , y de manera estricta debe demostrarse que el perjuicio u objetivo reservado, resulta mayormente afectado que los beneficios que podrían lograrse con la difusión de la información.”</w:t>
      </w:r>
    </w:p>
    <w:p w14:paraId="3072E9D7" w14:textId="77777777" w:rsidR="004246C0" w:rsidRPr="005475F3" w:rsidRDefault="004246C0" w:rsidP="004246C0">
      <w:pPr>
        <w:spacing w:after="0" w:line="360" w:lineRule="auto"/>
        <w:ind w:firstLine="708"/>
        <w:jc w:val="both"/>
        <w:rPr>
          <w:rFonts w:ascii="Arial" w:hAnsi="Arial" w:cs="Arial"/>
          <w:bCs/>
          <w:i/>
          <w:iCs/>
          <w:sz w:val="24"/>
          <w:szCs w:val="24"/>
        </w:rPr>
      </w:pPr>
    </w:p>
    <w:p w14:paraId="43819C32"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Por tanto, se tiene que la reserva de la información no es una tarea arbitraria del funcionario público, por el contrario, la misma normatividad de la materia impone una serie de obligaciones, una de ellas es el establecer en la clasificación la consideración de daño que ocasionaría la revelación de la información. </w:t>
      </w:r>
    </w:p>
    <w:p w14:paraId="5E5201C1"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0B1A2FEB"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 el Estudio Especial sobre el Derecho de Acceso a la Información de la Organización de los Estados Americanos establece en su párrafo 152 que la restricción que se realice al negarse por parte de la autoridad la información debe estar encaminada a evitar un daño</w:t>
      </w:r>
      <w:r w:rsidRPr="005475F3">
        <w:rPr>
          <w:rStyle w:val="Refdenotaalpie"/>
          <w:rFonts w:ascii="Arial" w:eastAsia="Arial Unicode MS" w:hAnsi="Arial" w:cs="Arial"/>
          <w:sz w:val="24"/>
          <w:szCs w:val="24"/>
          <w:lang w:eastAsia="es-ES"/>
        </w:rPr>
        <w:footnoteReference w:id="20"/>
      </w:r>
      <w:r w:rsidRPr="005475F3">
        <w:rPr>
          <w:rFonts w:ascii="Arial" w:eastAsia="Arial Unicode MS" w:hAnsi="Arial" w:cs="Arial"/>
          <w:sz w:val="24"/>
          <w:szCs w:val="24"/>
          <w:lang w:eastAsia="es-ES"/>
        </w:rPr>
        <w:t xml:space="preserve"> por tal motivo, es necesario que la autoridad demuestre que la divulgación de la información es susceptible de generar un daño que sea mayor al que se causará al interés general por no divulgar información. </w:t>
      </w:r>
    </w:p>
    <w:p w14:paraId="06AD05F1"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36C9B18A"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De igual forma, en las Recomendaciones sobre Acceso a la Información de la Organización de los Estados Americanos, en su inciso E, es señalado que </w:t>
      </w:r>
      <w:r w:rsidRPr="005475F3">
        <w:rPr>
          <w:rFonts w:ascii="Arial" w:eastAsia="Arial Unicode MS" w:hAnsi="Arial" w:cs="Arial"/>
          <w:i/>
          <w:sz w:val="24"/>
          <w:szCs w:val="24"/>
          <w:lang w:eastAsia="es-ES"/>
        </w:rPr>
        <w:t>“en los casos donde el interés público de divulgación es mayor, el Estado deberá hacer la entrega de la información a pesar de la excepción obtenida”</w:t>
      </w:r>
      <w:r w:rsidRPr="005475F3">
        <w:rPr>
          <w:rStyle w:val="Refdenotaalpie"/>
          <w:rFonts w:ascii="Arial" w:eastAsia="Arial Unicode MS" w:hAnsi="Arial" w:cs="Arial"/>
          <w:i/>
          <w:sz w:val="24"/>
          <w:szCs w:val="24"/>
          <w:lang w:eastAsia="es-ES"/>
        </w:rPr>
        <w:footnoteReference w:id="21"/>
      </w:r>
      <w:r w:rsidRPr="005475F3">
        <w:rPr>
          <w:rFonts w:ascii="Arial" w:eastAsia="Arial Unicode MS" w:hAnsi="Arial" w:cs="Arial"/>
          <w:i/>
          <w:sz w:val="24"/>
          <w:szCs w:val="24"/>
          <w:lang w:eastAsia="es-ES"/>
        </w:rPr>
        <w:t xml:space="preserve"> </w:t>
      </w:r>
      <w:r w:rsidRPr="005475F3">
        <w:rPr>
          <w:rFonts w:ascii="Arial" w:eastAsia="Arial Unicode MS" w:hAnsi="Arial" w:cs="Arial"/>
          <w:sz w:val="24"/>
          <w:szCs w:val="24"/>
          <w:lang w:eastAsia="es-ES"/>
        </w:rPr>
        <w:t xml:space="preserve">lo anterior es relevante, ya que se relaciona con la fracción segunda del numeral 118 en comento, porque es necesario que con la prueba de daño se pueda justificar que el riesgo que se difunda la información supera el daño al interés público de que no sea difundido. </w:t>
      </w:r>
    </w:p>
    <w:p w14:paraId="72ACBD71"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67EC8EBC" w14:textId="77777777" w:rsidR="004246C0" w:rsidRPr="005475F3" w:rsidRDefault="004246C0" w:rsidP="004246C0">
      <w:pPr>
        <w:spacing w:after="0" w:line="360" w:lineRule="auto"/>
        <w:ind w:firstLine="708"/>
        <w:jc w:val="both"/>
        <w:rPr>
          <w:rFonts w:ascii="Arial" w:eastAsia="Arial Unicode MS" w:hAnsi="Arial" w:cs="Arial"/>
          <w:i/>
          <w:sz w:val="24"/>
          <w:szCs w:val="24"/>
          <w:lang w:eastAsia="es-ES"/>
        </w:rPr>
      </w:pPr>
      <w:r w:rsidRPr="005475F3">
        <w:rPr>
          <w:rFonts w:ascii="Arial" w:eastAsia="Arial Unicode MS" w:hAnsi="Arial" w:cs="Arial"/>
          <w:sz w:val="24"/>
          <w:szCs w:val="24"/>
          <w:lang w:eastAsia="es-ES"/>
        </w:rPr>
        <w:t xml:space="preserve">Asimismo, se trae a contexto del </w:t>
      </w:r>
      <w:r w:rsidRPr="005475F3">
        <w:rPr>
          <w:rFonts w:ascii="Arial" w:eastAsia="Arial Unicode MS" w:hAnsi="Arial" w:cs="Arial"/>
          <w:i/>
          <w:sz w:val="24"/>
          <w:szCs w:val="24"/>
          <w:lang w:eastAsia="es-ES"/>
        </w:rPr>
        <w:t>Caso Claude Reyes y otros</w:t>
      </w:r>
      <w:r w:rsidRPr="005475F3">
        <w:rPr>
          <w:rFonts w:ascii="Arial" w:eastAsia="Arial Unicode MS" w:hAnsi="Arial" w:cs="Arial"/>
          <w:sz w:val="24"/>
          <w:szCs w:val="24"/>
          <w:lang w:eastAsia="es-ES"/>
        </w:rPr>
        <w:t>, ya que también es señalada la importancia de que la restricción debe ser proporcional al interés que la justifica y ajustarse estrechamente al objetivo legítimo buscado</w:t>
      </w:r>
      <w:r w:rsidRPr="005475F3">
        <w:rPr>
          <w:rStyle w:val="Refdenotaalpie"/>
          <w:rFonts w:ascii="Arial" w:eastAsia="Arial Unicode MS" w:hAnsi="Arial" w:cs="Arial"/>
          <w:sz w:val="24"/>
          <w:szCs w:val="24"/>
          <w:lang w:eastAsia="es-ES"/>
        </w:rPr>
        <w:footnoteReference w:id="22"/>
      </w:r>
      <w:r w:rsidRPr="005475F3">
        <w:rPr>
          <w:rFonts w:ascii="Arial" w:eastAsia="Arial Unicode MS" w:hAnsi="Arial" w:cs="Arial"/>
          <w:sz w:val="24"/>
          <w:szCs w:val="24"/>
          <w:lang w:eastAsia="es-ES"/>
        </w:rPr>
        <w:t>.</w:t>
      </w:r>
    </w:p>
    <w:p w14:paraId="792CB7B5"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43908CCB"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Así, en la aplicación de la prueba de daño, el artículo 118</w:t>
      </w:r>
      <w:r w:rsidRPr="005475F3">
        <w:rPr>
          <w:rStyle w:val="Refdenotaalpie"/>
          <w:rFonts w:ascii="Arial" w:eastAsia="Arial Unicode MS" w:hAnsi="Arial" w:cs="Arial"/>
          <w:sz w:val="24"/>
          <w:szCs w:val="24"/>
          <w:lang w:eastAsia="es-ES"/>
        </w:rPr>
        <w:footnoteReference w:id="23"/>
      </w:r>
      <w:r w:rsidRPr="005475F3">
        <w:rPr>
          <w:rFonts w:ascii="Arial" w:eastAsia="Arial Unicode MS" w:hAnsi="Arial" w:cs="Arial"/>
          <w:sz w:val="24"/>
          <w:szCs w:val="24"/>
          <w:lang w:eastAsia="es-ES"/>
        </w:rPr>
        <w:t xml:space="preserve"> de la Ley de Transparencia Local, se desprenden los tres requisitos que deben ser demostrados para que la información adquiera el carácter de reservada o pueda ser prorrogado su plazo para la reserva: </w:t>
      </w:r>
    </w:p>
    <w:p w14:paraId="1B763345"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2099AAA5" w14:textId="77777777" w:rsidR="004246C0" w:rsidRPr="005475F3" w:rsidRDefault="004246C0" w:rsidP="004246C0">
      <w:pPr>
        <w:pStyle w:val="Prrafodelista"/>
        <w:numPr>
          <w:ilvl w:val="0"/>
          <w:numId w:val="22"/>
        </w:numPr>
        <w:spacing w:after="0" w:line="360" w:lineRule="auto"/>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La divulgación de la información representa un riesgo real, demostrable e identificable de perjuicio significativo al interés público; </w:t>
      </w:r>
    </w:p>
    <w:p w14:paraId="423447D8" w14:textId="77777777" w:rsidR="004246C0" w:rsidRPr="005475F3" w:rsidRDefault="004246C0" w:rsidP="004246C0">
      <w:pPr>
        <w:pStyle w:val="Prrafodelista"/>
        <w:numPr>
          <w:ilvl w:val="0"/>
          <w:numId w:val="22"/>
        </w:numPr>
        <w:spacing w:after="0" w:line="360" w:lineRule="auto"/>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El riesgo de perjuicio que supondría la divulgación supera el interés público general de que se difunda, y </w:t>
      </w:r>
    </w:p>
    <w:p w14:paraId="6AB50361" w14:textId="77777777" w:rsidR="004246C0" w:rsidRPr="005475F3" w:rsidRDefault="004246C0" w:rsidP="004246C0">
      <w:pPr>
        <w:pStyle w:val="Prrafodelista"/>
        <w:numPr>
          <w:ilvl w:val="0"/>
          <w:numId w:val="22"/>
        </w:numPr>
        <w:spacing w:after="0" w:line="360" w:lineRule="auto"/>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La limitación se adecua al principio de proporcionalidad y representa el medio menos restrictivo disponible para evitar el perjuicio. </w:t>
      </w:r>
    </w:p>
    <w:p w14:paraId="3D4F9F3E"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329CE2CB"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En primer término, se mandate que el daño que se puede generar si no es reservada la información debe ser real, demostrable e identificable, por lo que no podrá ser utilizado como justificación un daño hipotético. En segundo término, mandata que el daño que se genere al interés público general de que se difunda la información. Por último, señala que la reserva de la información debe cumplir con el principio de proporcionalidad, por lo que esta medida deberá ser lo menos restrictiva. </w:t>
      </w:r>
    </w:p>
    <w:p w14:paraId="47B55459"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1271A291"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Al respecto, es de precisar que el posible daño no significa una herramienta de discrecionalidad para los sujetos obligados, por el contrario, debe suponer un ejercicio reglado que obligue a una adecuada fundamentación y motivación del acto nugatorio de la información.</w:t>
      </w:r>
    </w:p>
    <w:p w14:paraId="2C764C0D"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51504B1D" w14:textId="222633A4"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Por su parte, el numeral 119</w:t>
      </w:r>
      <w:r w:rsidRPr="005475F3">
        <w:rPr>
          <w:rStyle w:val="Refdenotaalpie"/>
          <w:rFonts w:ascii="Arial" w:eastAsia="Arial Unicode MS" w:hAnsi="Arial" w:cs="Arial"/>
          <w:sz w:val="24"/>
          <w:szCs w:val="24"/>
          <w:lang w:eastAsia="es-ES"/>
        </w:rPr>
        <w:footnoteReference w:id="24"/>
      </w:r>
      <w:r w:rsidRPr="005475F3">
        <w:rPr>
          <w:rFonts w:ascii="Arial" w:eastAsia="Arial Unicode MS" w:hAnsi="Arial" w:cs="Arial"/>
          <w:sz w:val="24"/>
          <w:szCs w:val="24"/>
          <w:lang w:eastAsia="es-ES"/>
        </w:rPr>
        <w:t xml:space="preserve"> del ordenamiento legal en comento, tiene dos finalidades concretas; la primera es que debido a que se está efectuando una restricción al derecho de acceso a la información, es necesario que tal restricción no sea aplicada de forma amplia, sino de manera limitada, por lo que se deberán encuadrar perfectamente la situación a los supuestos establecidos en los artículos 127 y 129</w:t>
      </w:r>
      <w:r w:rsidRPr="005475F3">
        <w:rPr>
          <w:rStyle w:val="Refdenotaalpie"/>
          <w:rFonts w:ascii="Arial" w:eastAsia="Arial Unicode MS" w:hAnsi="Arial" w:cs="Arial"/>
          <w:sz w:val="24"/>
          <w:szCs w:val="24"/>
          <w:lang w:eastAsia="es-ES"/>
        </w:rPr>
        <w:footnoteReference w:id="25"/>
      </w:r>
      <w:r w:rsidRPr="005475F3">
        <w:rPr>
          <w:rFonts w:ascii="Arial" w:eastAsia="Arial Unicode MS" w:hAnsi="Arial" w:cs="Arial"/>
          <w:sz w:val="24"/>
          <w:szCs w:val="24"/>
          <w:lang w:eastAsia="es-ES"/>
        </w:rPr>
        <w:t xml:space="preserve"> de la Ley de la materia; la segunda finalidad es el imponer la carga de probar la negativa de acceso a la información, por la actualización de los supuestos contemplados en la Ley a los sujetos obligados y no a los individuos que estén ejerciendo su derecho de acceso a la información. </w:t>
      </w:r>
    </w:p>
    <w:p w14:paraId="105E80D0"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148066E9" w14:textId="778BF216"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Atento a lo anterior, corresponde al sujeto obligado, al ser quien está restringiendo el derecho de acceso a la información, el deber de probar a través de su fundamentación y motivación (junto con el análisis del daño), que es necesario, en el caso en concreto, limitarle el derecho de acceso a la información. </w:t>
      </w:r>
    </w:p>
    <w:p w14:paraId="1CF8A6BA"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0A20FC40"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El numeral 120</w:t>
      </w:r>
      <w:r w:rsidRPr="005475F3">
        <w:rPr>
          <w:rStyle w:val="Refdenotaalpie"/>
          <w:rFonts w:ascii="Arial" w:eastAsia="Arial Unicode MS" w:hAnsi="Arial" w:cs="Arial"/>
          <w:sz w:val="24"/>
          <w:szCs w:val="24"/>
          <w:lang w:eastAsia="es-ES"/>
        </w:rPr>
        <w:footnoteReference w:id="26"/>
      </w:r>
      <w:r w:rsidRPr="005475F3">
        <w:rPr>
          <w:rFonts w:ascii="Arial" w:eastAsia="Arial Unicode MS" w:hAnsi="Arial" w:cs="Arial"/>
          <w:sz w:val="24"/>
          <w:szCs w:val="24"/>
          <w:lang w:eastAsia="es-ES"/>
        </w:rPr>
        <w:t xml:space="preserve"> de la Ley de Transparencia Local, prevé que la clasificación de la información no puede llevarse a cabo en el momento en que la autoridad lo desee, circunstancia por la cual el legislador consideró pertinente señalar en este artículo, cuál es el momento oportuno en que la información podrá clasificarse como confidencial o reservada. </w:t>
      </w:r>
    </w:p>
    <w:p w14:paraId="2E79CC16"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1197419C"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En el primer supuesto, es respecto de la solicitud de acceso a la información por parte de un particular. La solicitud es el elemento que inicia el análisis de la información y su posterior clasificación, puesto que ésta es la que indica cuál es la información que el sujeto obligado deberá analizar y sobre la cual deberá emitir una respuesta. </w:t>
      </w:r>
    </w:p>
    <w:p w14:paraId="72BCBA70"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4D494071"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lastRenderedPageBreak/>
        <w:t xml:space="preserve">El segundo supuesto, tiene el mismo objetivo, la resolución de la autoridad competente es aquella que activará el análisis de la información solicitada para su posterior clasificación. </w:t>
      </w:r>
    </w:p>
    <w:p w14:paraId="0E39FC4E"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6190FA3A" w14:textId="73A2FEC8"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El tercer y último supuesto, activa la clasificación de la información justamente en el momento en que la autoridad está realizando una versión pública para dar cumplimiento a sus obligaciones de transparencia. Este supuesto activa la clasificación, puesto que la autoridad ya tiene información concreta sobre la cual deberá hacerse el respectivo análisis al momento de </w:t>
      </w:r>
      <w:r w:rsidR="00FE63C3" w:rsidRPr="005475F3">
        <w:rPr>
          <w:rFonts w:ascii="Arial" w:eastAsia="Arial Unicode MS" w:hAnsi="Arial" w:cs="Arial"/>
          <w:sz w:val="24"/>
          <w:szCs w:val="24"/>
          <w:lang w:eastAsia="es-ES"/>
        </w:rPr>
        <w:t>cumplir con las Obligaciones de Transparencia contempladas en la Ley de Transparencia en el Estado</w:t>
      </w:r>
      <w:r w:rsidRPr="005475F3">
        <w:rPr>
          <w:rFonts w:ascii="Arial" w:eastAsia="Arial Unicode MS" w:hAnsi="Arial" w:cs="Arial"/>
          <w:sz w:val="24"/>
          <w:szCs w:val="24"/>
          <w:lang w:eastAsia="es-ES"/>
        </w:rPr>
        <w:t>.</w:t>
      </w:r>
    </w:p>
    <w:p w14:paraId="11DC5E43"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4E18E5FD"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El artículo 129</w:t>
      </w:r>
      <w:r w:rsidRPr="005475F3">
        <w:rPr>
          <w:rStyle w:val="Refdenotaalpie"/>
          <w:rFonts w:ascii="Arial" w:eastAsia="Arial Unicode MS" w:hAnsi="Arial" w:cs="Arial"/>
          <w:sz w:val="24"/>
          <w:szCs w:val="24"/>
          <w:lang w:eastAsia="es-ES"/>
        </w:rPr>
        <w:footnoteReference w:id="27"/>
      </w:r>
      <w:r w:rsidRPr="005475F3">
        <w:rPr>
          <w:rFonts w:ascii="Arial" w:eastAsia="Arial Unicode MS" w:hAnsi="Arial" w:cs="Arial"/>
          <w:sz w:val="24"/>
          <w:szCs w:val="24"/>
          <w:lang w:eastAsia="es-ES"/>
        </w:rPr>
        <w:t xml:space="preserve"> de la Ley de la materia, tiene como finalidad enumerar los doce supuestos a través de los cuales los sujetos obligados podrán clasificar como reservada la información y sustraerla por un tiempo determinado. </w:t>
      </w:r>
    </w:p>
    <w:p w14:paraId="2C3BF6D9"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1379B7CE"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Las excepciones señaladas al principio de máxima publicidad responden a la existencia de un interés público que las justifica, puesto que la reserva tiene la finalidad de proteger un asunto de interés general, el cual pude verse dañado a través de la divulgación de la información.</w:t>
      </w:r>
    </w:p>
    <w:p w14:paraId="3F8D0C90"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2127C908" w14:textId="22AEA56C"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 este sentido, debe decirse que la Primera Sala de la Suprema Corte de Justicia de la Nación confirma que, el derecho de acceso a la información puede limitarse</w:t>
      </w:r>
      <w:r w:rsidR="009E2B97" w:rsidRPr="005475F3">
        <w:rPr>
          <w:rFonts w:ascii="Arial" w:eastAsia="Arial Unicode MS" w:hAnsi="Arial" w:cs="Arial"/>
          <w:sz w:val="24"/>
          <w:szCs w:val="24"/>
          <w:lang w:eastAsia="es-ES"/>
        </w:rPr>
        <w:t xml:space="preserve"> en virtud del interés público,</w:t>
      </w:r>
      <w:r w:rsidRPr="005475F3">
        <w:rPr>
          <w:rFonts w:ascii="Arial" w:eastAsia="Arial Unicode MS" w:hAnsi="Arial" w:cs="Arial"/>
          <w:sz w:val="24"/>
          <w:szCs w:val="24"/>
          <w:lang w:eastAsia="es-ES"/>
        </w:rPr>
        <w:t xml:space="preserve"> de la vida privada y los datos personales. </w:t>
      </w:r>
      <w:r w:rsidRPr="005475F3">
        <w:rPr>
          <w:rFonts w:ascii="Arial" w:eastAsia="Arial Unicode MS" w:hAnsi="Arial" w:cs="Arial"/>
          <w:sz w:val="24"/>
          <w:szCs w:val="24"/>
          <w:lang w:eastAsia="es-ES"/>
        </w:rPr>
        <w:lastRenderedPageBreak/>
        <w:t>Asimismo, señala que este artículo sólo enuncia los fines constitucionalmente validos o legítimos para establecer limitaciones al citado derecho y que a través de la legislación secundaria se desarrollan los supuestos específicos</w:t>
      </w:r>
      <w:r w:rsidRPr="005475F3">
        <w:rPr>
          <w:rStyle w:val="Refdenotaalpie"/>
          <w:rFonts w:ascii="Arial" w:eastAsia="Arial Unicode MS" w:hAnsi="Arial" w:cs="Arial"/>
          <w:sz w:val="24"/>
          <w:szCs w:val="24"/>
          <w:lang w:eastAsia="es-ES"/>
        </w:rPr>
        <w:footnoteReference w:id="28"/>
      </w:r>
      <w:r w:rsidRPr="005475F3">
        <w:rPr>
          <w:rFonts w:ascii="Arial" w:eastAsia="Arial Unicode MS" w:hAnsi="Arial" w:cs="Arial"/>
          <w:sz w:val="24"/>
          <w:szCs w:val="24"/>
          <w:lang w:eastAsia="es-ES"/>
        </w:rPr>
        <w:t>.</w:t>
      </w:r>
    </w:p>
    <w:p w14:paraId="0E57EDC8"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5E49DC22" w14:textId="23DB24F8"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Finalmente, es este orden de ideas que se tiene establecido, se tiene que el artículo 128</w:t>
      </w:r>
      <w:r w:rsidRPr="005475F3">
        <w:rPr>
          <w:rStyle w:val="Refdenotaalpie"/>
          <w:rFonts w:ascii="Arial" w:eastAsia="Arial Unicode MS" w:hAnsi="Arial" w:cs="Arial"/>
          <w:sz w:val="24"/>
          <w:szCs w:val="24"/>
          <w:lang w:eastAsia="es-ES"/>
        </w:rPr>
        <w:footnoteReference w:id="29"/>
      </w:r>
      <w:r w:rsidRPr="005475F3">
        <w:rPr>
          <w:rFonts w:ascii="Arial" w:eastAsia="Arial Unicode MS" w:hAnsi="Arial" w:cs="Arial"/>
          <w:sz w:val="24"/>
          <w:szCs w:val="24"/>
          <w:lang w:eastAsia="es-ES"/>
        </w:rPr>
        <w:t xml:space="preserve">, de la Ley de Transparencia y Acceso a la Información Pública del Estado de San Luis Potosí, prevé que la resolución emitida por el Comité de Transparencia, por la cual se aprueba la clasificación de información, </w:t>
      </w:r>
      <w:r w:rsidR="006D108C" w:rsidRPr="005475F3">
        <w:rPr>
          <w:rFonts w:ascii="Arial" w:eastAsia="Arial Unicode MS" w:hAnsi="Arial" w:cs="Arial"/>
          <w:sz w:val="24"/>
          <w:szCs w:val="24"/>
          <w:lang w:eastAsia="es-ES"/>
        </w:rPr>
        <w:t>analizará las circunstancias específicas del caso, establecidas por el Titular del Área respectiva en el</w:t>
      </w:r>
      <w:r w:rsidRPr="005475F3">
        <w:rPr>
          <w:rFonts w:ascii="Arial" w:eastAsia="Arial Unicode MS" w:hAnsi="Arial" w:cs="Arial"/>
          <w:sz w:val="24"/>
          <w:szCs w:val="24"/>
          <w:lang w:eastAsia="es-ES"/>
        </w:rPr>
        <w:t xml:space="preserve"> </w:t>
      </w:r>
      <w:r w:rsidRPr="005475F3">
        <w:rPr>
          <w:rFonts w:ascii="Arial" w:eastAsia="Arial Unicode MS" w:hAnsi="Arial" w:cs="Arial"/>
          <w:b/>
          <w:bCs/>
          <w:i/>
          <w:iCs/>
          <w:sz w:val="24"/>
          <w:szCs w:val="24"/>
          <w:u w:val="single"/>
          <w:lang w:eastAsia="es-ES"/>
        </w:rPr>
        <w:t>“Acuerdo de Reserva”</w:t>
      </w:r>
      <w:r w:rsidR="006D108C" w:rsidRPr="005475F3">
        <w:rPr>
          <w:rFonts w:ascii="Arial" w:eastAsia="Arial Unicode MS" w:hAnsi="Arial" w:cs="Arial"/>
          <w:sz w:val="24"/>
          <w:szCs w:val="24"/>
          <w:lang w:eastAsia="es-ES"/>
        </w:rPr>
        <w:t xml:space="preserve">, mismo que </w:t>
      </w:r>
      <w:r w:rsidRPr="005475F3">
        <w:rPr>
          <w:rFonts w:ascii="Arial" w:eastAsia="Arial Unicode MS" w:hAnsi="Arial" w:cs="Arial"/>
          <w:sz w:val="24"/>
          <w:szCs w:val="24"/>
          <w:lang w:eastAsia="es-ES"/>
        </w:rPr>
        <w:t>deberá por lo menos contener los elementos siguientes:</w:t>
      </w:r>
    </w:p>
    <w:p w14:paraId="528EF352"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51196B01" w14:textId="77777777" w:rsidR="004246C0" w:rsidRPr="005475F3" w:rsidRDefault="004246C0" w:rsidP="007A18D6">
      <w:pPr>
        <w:pStyle w:val="Prrafodelista"/>
        <w:numPr>
          <w:ilvl w:val="1"/>
          <w:numId w:val="10"/>
        </w:numPr>
        <w:autoSpaceDE w:val="0"/>
        <w:autoSpaceDN w:val="0"/>
        <w:adjustRightInd w:val="0"/>
        <w:spacing w:after="0" w:line="240" w:lineRule="auto"/>
        <w:ind w:left="1418" w:hanging="283"/>
        <w:jc w:val="both"/>
        <w:rPr>
          <w:rFonts w:ascii="Arial" w:hAnsi="Arial" w:cs="Arial"/>
          <w:sz w:val="24"/>
          <w:szCs w:val="24"/>
        </w:rPr>
      </w:pPr>
      <w:r w:rsidRPr="005475F3">
        <w:rPr>
          <w:rFonts w:ascii="Arial" w:hAnsi="Arial" w:cs="Arial"/>
          <w:sz w:val="24"/>
          <w:szCs w:val="24"/>
        </w:rPr>
        <w:t>El señalamiento de la fuente y el archivo en donde se encuentra la información;</w:t>
      </w:r>
    </w:p>
    <w:p w14:paraId="572AD383" w14:textId="77777777" w:rsidR="004246C0" w:rsidRPr="005475F3" w:rsidRDefault="004246C0" w:rsidP="007A18D6">
      <w:pPr>
        <w:pStyle w:val="Prrafodelista"/>
        <w:numPr>
          <w:ilvl w:val="1"/>
          <w:numId w:val="10"/>
        </w:numPr>
        <w:autoSpaceDE w:val="0"/>
        <w:autoSpaceDN w:val="0"/>
        <w:adjustRightInd w:val="0"/>
        <w:spacing w:after="0" w:line="240" w:lineRule="auto"/>
        <w:ind w:left="1418" w:hanging="283"/>
        <w:jc w:val="both"/>
        <w:rPr>
          <w:rFonts w:ascii="Arial" w:hAnsi="Arial" w:cs="Arial"/>
          <w:sz w:val="24"/>
          <w:szCs w:val="24"/>
        </w:rPr>
      </w:pPr>
      <w:r w:rsidRPr="005475F3">
        <w:rPr>
          <w:rFonts w:ascii="Arial" w:hAnsi="Arial" w:cs="Arial"/>
          <w:sz w:val="24"/>
          <w:szCs w:val="24"/>
        </w:rPr>
        <w:t>La fundamentación y motivación del acuerdo;</w:t>
      </w:r>
    </w:p>
    <w:p w14:paraId="210133BD" w14:textId="77777777" w:rsidR="004246C0" w:rsidRPr="005475F3" w:rsidRDefault="004246C0" w:rsidP="007A18D6">
      <w:pPr>
        <w:pStyle w:val="Prrafodelista"/>
        <w:numPr>
          <w:ilvl w:val="1"/>
          <w:numId w:val="10"/>
        </w:numPr>
        <w:autoSpaceDE w:val="0"/>
        <w:autoSpaceDN w:val="0"/>
        <w:adjustRightInd w:val="0"/>
        <w:spacing w:after="0" w:line="240" w:lineRule="auto"/>
        <w:ind w:left="1418" w:hanging="283"/>
        <w:jc w:val="both"/>
        <w:rPr>
          <w:rFonts w:ascii="Arial" w:hAnsi="Arial" w:cs="Arial"/>
          <w:sz w:val="24"/>
          <w:szCs w:val="24"/>
        </w:rPr>
      </w:pPr>
      <w:r w:rsidRPr="005475F3">
        <w:rPr>
          <w:rFonts w:ascii="Arial" w:hAnsi="Arial" w:cs="Arial"/>
          <w:sz w:val="24"/>
          <w:szCs w:val="24"/>
        </w:rPr>
        <w:t>El documento, la parte o las partes de los mismos, que se reservan (sin que resulte procedente la realización de acuerdos de carácter general)</w:t>
      </w:r>
      <w:r w:rsidRPr="005475F3">
        <w:rPr>
          <w:rStyle w:val="Refdenotaalpie"/>
          <w:rFonts w:ascii="Arial" w:hAnsi="Arial" w:cs="Arial"/>
          <w:sz w:val="24"/>
          <w:szCs w:val="24"/>
        </w:rPr>
        <w:footnoteReference w:id="30"/>
      </w:r>
      <w:r w:rsidRPr="005475F3">
        <w:rPr>
          <w:rFonts w:ascii="Arial" w:hAnsi="Arial" w:cs="Arial"/>
          <w:sz w:val="24"/>
          <w:szCs w:val="24"/>
        </w:rPr>
        <w:t>;</w:t>
      </w:r>
    </w:p>
    <w:p w14:paraId="462AA9C2" w14:textId="77777777" w:rsidR="004246C0" w:rsidRPr="005475F3" w:rsidRDefault="004246C0" w:rsidP="007A18D6">
      <w:pPr>
        <w:pStyle w:val="Prrafodelista"/>
        <w:numPr>
          <w:ilvl w:val="1"/>
          <w:numId w:val="10"/>
        </w:numPr>
        <w:autoSpaceDE w:val="0"/>
        <w:autoSpaceDN w:val="0"/>
        <w:adjustRightInd w:val="0"/>
        <w:spacing w:after="0" w:line="240" w:lineRule="auto"/>
        <w:ind w:left="1418" w:hanging="283"/>
        <w:jc w:val="both"/>
        <w:rPr>
          <w:rFonts w:ascii="Arial" w:hAnsi="Arial" w:cs="Arial"/>
          <w:sz w:val="24"/>
          <w:szCs w:val="24"/>
        </w:rPr>
      </w:pPr>
      <w:r w:rsidRPr="005475F3">
        <w:rPr>
          <w:rFonts w:ascii="Arial" w:hAnsi="Arial" w:cs="Arial"/>
          <w:sz w:val="24"/>
          <w:szCs w:val="24"/>
        </w:rPr>
        <w:t>El plazo por el que se reserva la información;</w:t>
      </w:r>
    </w:p>
    <w:p w14:paraId="6DBF57FB" w14:textId="77777777" w:rsidR="004246C0" w:rsidRPr="005475F3" w:rsidRDefault="004246C0" w:rsidP="007A18D6">
      <w:pPr>
        <w:pStyle w:val="Prrafodelista"/>
        <w:numPr>
          <w:ilvl w:val="1"/>
          <w:numId w:val="10"/>
        </w:numPr>
        <w:autoSpaceDE w:val="0"/>
        <w:autoSpaceDN w:val="0"/>
        <w:adjustRightInd w:val="0"/>
        <w:spacing w:after="0" w:line="240" w:lineRule="auto"/>
        <w:ind w:left="1418" w:hanging="283"/>
        <w:jc w:val="both"/>
        <w:rPr>
          <w:rFonts w:ascii="Arial" w:hAnsi="Arial" w:cs="Arial"/>
          <w:sz w:val="24"/>
          <w:szCs w:val="24"/>
        </w:rPr>
      </w:pPr>
      <w:r w:rsidRPr="005475F3">
        <w:rPr>
          <w:rFonts w:ascii="Arial" w:hAnsi="Arial" w:cs="Arial"/>
          <w:sz w:val="24"/>
          <w:szCs w:val="24"/>
        </w:rPr>
        <w:t>La designación de la autoridad responsable de su protección.</w:t>
      </w:r>
    </w:p>
    <w:p w14:paraId="609F3696" w14:textId="77777777" w:rsidR="004246C0" w:rsidRPr="005475F3" w:rsidRDefault="004246C0" w:rsidP="007A18D6">
      <w:pPr>
        <w:pStyle w:val="Prrafodelista"/>
        <w:numPr>
          <w:ilvl w:val="1"/>
          <w:numId w:val="10"/>
        </w:numPr>
        <w:autoSpaceDE w:val="0"/>
        <w:autoSpaceDN w:val="0"/>
        <w:adjustRightInd w:val="0"/>
        <w:spacing w:after="0" w:line="240" w:lineRule="auto"/>
        <w:ind w:left="1418" w:hanging="283"/>
        <w:jc w:val="both"/>
        <w:rPr>
          <w:rFonts w:ascii="Arial" w:hAnsi="Arial" w:cs="Arial"/>
          <w:sz w:val="24"/>
          <w:szCs w:val="24"/>
        </w:rPr>
      </w:pPr>
      <w:r w:rsidRPr="005475F3">
        <w:rPr>
          <w:rFonts w:ascii="Arial" w:hAnsi="Arial" w:cs="Arial"/>
          <w:sz w:val="24"/>
          <w:szCs w:val="24"/>
        </w:rPr>
        <w:t>El número de identificación del acuerdo de reserva.</w:t>
      </w:r>
    </w:p>
    <w:p w14:paraId="56FE02D0" w14:textId="77777777" w:rsidR="004246C0" w:rsidRPr="005475F3" w:rsidRDefault="004246C0" w:rsidP="007A18D6">
      <w:pPr>
        <w:pStyle w:val="Prrafodelista"/>
        <w:numPr>
          <w:ilvl w:val="1"/>
          <w:numId w:val="10"/>
        </w:numPr>
        <w:autoSpaceDE w:val="0"/>
        <w:autoSpaceDN w:val="0"/>
        <w:adjustRightInd w:val="0"/>
        <w:spacing w:after="0" w:line="240" w:lineRule="auto"/>
        <w:ind w:left="1418" w:hanging="283"/>
        <w:jc w:val="both"/>
        <w:rPr>
          <w:rFonts w:ascii="Arial" w:hAnsi="Arial" w:cs="Arial"/>
          <w:sz w:val="24"/>
          <w:szCs w:val="24"/>
        </w:rPr>
      </w:pPr>
      <w:r w:rsidRPr="005475F3">
        <w:rPr>
          <w:rFonts w:ascii="Arial" w:hAnsi="Arial" w:cs="Arial"/>
          <w:sz w:val="24"/>
          <w:szCs w:val="24"/>
        </w:rPr>
        <w:t>La aplicación de la prueba de daño.</w:t>
      </w:r>
    </w:p>
    <w:p w14:paraId="69BEDC19" w14:textId="77777777" w:rsidR="004246C0" w:rsidRPr="005475F3" w:rsidRDefault="004246C0" w:rsidP="007A18D6">
      <w:pPr>
        <w:pStyle w:val="Prrafodelista"/>
        <w:numPr>
          <w:ilvl w:val="1"/>
          <w:numId w:val="10"/>
        </w:numPr>
        <w:autoSpaceDE w:val="0"/>
        <w:autoSpaceDN w:val="0"/>
        <w:adjustRightInd w:val="0"/>
        <w:spacing w:after="0" w:line="240" w:lineRule="auto"/>
        <w:ind w:left="1418" w:hanging="283"/>
        <w:jc w:val="both"/>
        <w:rPr>
          <w:rFonts w:ascii="Arial" w:hAnsi="Arial" w:cs="Arial"/>
          <w:sz w:val="24"/>
          <w:szCs w:val="24"/>
        </w:rPr>
      </w:pPr>
      <w:r w:rsidRPr="005475F3">
        <w:rPr>
          <w:rFonts w:ascii="Arial" w:hAnsi="Arial" w:cs="Arial"/>
          <w:sz w:val="24"/>
          <w:szCs w:val="24"/>
        </w:rPr>
        <w:t>La fecha del acuerdo de clasificación.</w:t>
      </w:r>
    </w:p>
    <w:p w14:paraId="5A0E928F" w14:textId="77777777" w:rsidR="004246C0" w:rsidRPr="005475F3" w:rsidRDefault="004246C0" w:rsidP="007A18D6">
      <w:pPr>
        <w:pStyle w:val="Prrafodelista"/>
        <w:numPr>
          <w:ilvl w:val="1"/>
          <w:numId w:val="10"/>
        </w:numPr>
        <w:autoSpaceDE w:val="0"/>
        <w:autoSpaceDN w:val="0"/>
        <w:adjustRightInd w:val="0"/>
        <w:spacing w:after="0" w:line="240" w:lineRule="auto"/>
        <w:ind w:left="1418" w:hanging="283"/>
        <w:jc w:val="both"/>
        <w:rPr>
          <w:rFonts w:ascii="Arial" w:hAnsi="Arial" w:cs="Arial"/>
          <w:sz w:val="24"/>
          <w:szCs w:val="24"/>
        </w:rPr>
      </w:pPr>
      <w:r w:rsidRPr="005475F3">
        <w:rPr>
          <w:rFonts w:ascii="Arial" w:hAnsi="Arial" w:cs="Arial"/>
          <w:sz w:val="24"/>
          <w:szCs w:val="24"/>
        </w:rPr>
        <w:t>La rúbrica de los miembros del comité de transparencia del sujeto obligado.</w:t>
      </w:r>
    </w:p>
    <w:p w14:paraId="7C194BDE" w14:textId="77777777" w:rsidR="004246C0" w:rsidRPr="005475F3" w:rsidRDefault="004246C0" w:rsidP="004246C0">
      <w:pPr>
        <w:pStyle w:val="Prrafodelista"/>
        <w:autoSpaceDE w:val="0"/>
        <w:autoSpaceDN w:val="0"/>
        <w:adjustRightInd w:val="0"/>
        <w:spacing w:after="0" w:line="240" w:lineRule="auto"/>
        <w:ind w:left="1788"/>
        <w:jc w:val="both"/>
        <w:rPr>
          <w:rFonts w:ascii="Arial" w:hAnsi="Arial" w:cs="Arial"/>
          <w:sz w:val="24"/>
          <w:szCs w:val="24"/>
        </w:rPr>
      </w:pPr>
    </w:p>
    <w:p w14:paraId="71806E45" w14:textId="09BF879A" w:rsidR="004246C0" w:rsidRPr="005475F3" w:rsidRDefault="004246C0" w:rsidP="004246C0">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Con ese preámbulo, se destaca que el principio de legalidad, como principio fundamental, está para intervenir cuando no exista el apego debido a la legalidad por parte del Estado en la afectación al subordinado; controla la aplicación de normas adjetivas y sustantivas; se enfoca en la competencia y la </w:t>
      </w:r>
      <w:r w:rsidRPr="005475F3">
        <w:rPr>
          <w:rFonts w:ascii="Arial" w:eastAsia="Arial Unicode MS" w:hAnsi="Arial" w:cs="Arial"/>
          <w:sz w:val="24"/>
          <w:szCs w:val="24"/>
          <w:lang w:eastAsia="es-ES"/>
        </w:rPr>
        <w:lastRenderedPageBreak/>
        <w:t>legalidad, y es</w:t>
      </w:r>
      <w:r w:rsidR="006D108C" w:rsidRPr="005475F3">
        <w:rPr>
          <w:rFonts w:ascii="Arial" w:eastAsia="Arial Unicode MS" w:hAnsi="Arial" w:cs="Arial"/>
          <w:sz w:val="24"/>
          <w:szCs w:val="24"/>
          <w:lang w:eastAsia="es-ES"/>
        </w:rPr>
        <w:t>:</w:t>
      </w:r>
      <w:r w:rsidRPr="005475F3">
        <w:rPr>
          <w:rFonts w:ascii="Arial" w:eastAsia="Arial Unicode MS" w:hAnsi="Arial" w:cs="Arial"/>
          <w:sz w:val="24"/>
          <w:szCs w:val="24"/>
          <w:lang w:eastAsia="es-ES"/>
        </w:rPr>
        <w:t xml:space="preserve"> en parte estático y en parte dinámico. Establece quién debe realizar el acto y cómo debe hacerlo. Verifica la conformidad de actuación de la autoridad y la conformidad del resultado de su actuación con la Ley y la Constitución.</w:t>
      </w:r>
    </w:p>
    <w:p w14:paraId="67133930" w14:textId="77777777" w:rsidR="004246C0" w:rsidRPr="005475F3" w:rsidRDefault="004246C0" w:rsidP="004246C0">
      <w:pPr>
        <w:spacing w:after="0" w:line="360" w:lineRule="auto"/>
        <w:ind w:firstLine="709"/>
        <w:jc w:val="both"/>
        <w:rPr>
          <w:rFonts w:ascii="Arial" w:eastAsia="Arial Unicode MS" w:hAnsi="Arial" w:cs="Arial"/>
          <w:sz w:val="24"/>
          <w:szCs w:val="24"/>
          <w:lang w:eastAsia="es-ES"/>
        </w:rPr>
      </w:pPr>
    </w:p>
    <w:p w14:paraId="6785C478" w14:textId="77777777" w:rsidR="004246C0" w:rsidRPr="005475F3" w:rsidRDefault="004246C0" w:rsidP="004246C0">
      <w:pPr>
        <w:spacing w:after="0" w:line="360" w:lineRule="auto"/>
        <w:ind w:firstLine="709"/>
        <w:jc w:val="both"/>
        <w:rPr>
          <w:rFonts w:ascii="Arial" w:hAnsi="Arial" w:cs="Arial"/>
          <w:sz w:val="24"/>
          <w:szCs w:val="24"/>
        </w:rPr>
      </w:pPr>
      <w:r w:rsidRPr="005475F3">
        <w:rPr>
          <w:rFonts w:ascii="Arial" w:hAnsi="Arial" w:cs="Arial"/>
          <w:sz w:val="24"/>
          <w:szCs w:val="24"/>
        </w:rPr>
        <w:t xml:space="preserve">A este respecto, es dable señalar que, </w:t>
      </w:r>
      <w:r w:rsidRPr="005475F3">
        <w:rPr>
          <w:rFonts w:ascii="Arial" w:hAnsi="Arial" w:cs="Arial"/>
          <w:sz w:val="24"/>
          <w:szCs w:val="24"/>
          <w:u w:val="single"/>
        </w:rPr>
        <w:t>la administración pública requiere que exteriorice su voluntad luego de cumplir los requisitos y procedimientos determinados en los ordenamientos jurídicos respectivos.</w:t>
      </w:r>
      <w:r w:rsidRPr="005475F3">
        <w:rPr>
          <w:rFonts w:ascii="Arial" w:hAnsi="Arial" w:cs="Arial"/>
          <w:sz w:val="24"/>
          <w:szCs w:val="24"/>
        </w:rPr>
        <w:t xml:space="preserve"> El acto administrativo es el medio por el cual se exterioriza esa voluntad y puede conceptuarse como el acto jurídico unilateral que declara la voluntad de un órgano del Estado en ejercicio de la potestad administrativa y crea situaciones jurídicas conducentes a satisfacer las necesidades de la colectividad</w:t>
      </w:r>
      <w:r w:rsidRPr="005475F3">
        <w:rPr>
          <w:rStyle w:val="Refdenotaalpie"/>
          <w:rFonts w:ascii="Arial" w:hAnsi="Arial" w:cs="Arial"/>
          <w:sz w:val="24"/>
          <w:szCs w:val="24"/>
        </w:rPr>
        <w:footnoteReference w:id="31"/>
      </w:r>
      <w:r w:rsidRPr="005475F3">
        <w:rPr>
          <w:rFonts w:ascii="Arial" w:hAnsi="Arial" w:cs="Arial"/>
          <w:sz w:val="24"/>
          <w:szCs w:val="24"/>
        </w:rPr>
        <w:t>.</w:t>
      </w:r>
    </w:p>
    <w:p w14:paraId="11CF2E3A"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542D197F"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De esta forma, como todo acto de autoridad que es restrictivo de un derecho fundamental, la reserva de información exige una debida fundamentación y motivación acorde a lo establecido en el artículo 16</w:t>
      </w:r>
      <w:r w:rsidRPr="005475F3">
        <w:rPr>
          <w:rFonts w:ascii="Arial" w:eastAsia="Arial Unicode MS" w:hAnsi="Arial" w:cs="Arial"/>
          <w:sz w:val="24"/>
          <w:szCs w:val="24"/>
          <w:vertAlign w:val="superscript"/>
          <w:lang w:eastAsia="es-ES"/>
        </w:rPr>
        <w:footnoteReference w:id="32"/>
      </w:r>
      <w:r w:rsidRPr="005475F3">
        <w:rPr>
          <w:rFonts w:ascii="Arial" w:eastAsia="Arial Unicode MS" w:hAnsi="Arial" w:cs="Arial"/>
          <w:sz w:val="24"/>
          <w:szCs w:val="24"/>
          <w:lang w:eastAsia="es-ES"/>
        </w:rPr>
        <w:t xml:space="preserve"> de la Constitución Política de los Estados Unidos Mexicanos. Es oportuno señalar que –en lo que aquí interesa-, de la interpretación armónica de los artículos 164</w:t>
      </w:r>
      <w:r w:rsidRPr="005475F3">
        <w:rPr>
          <w:rFonts w:ascii="Arial" w:eastAsia="Arial Unicode MS" w:hAnsi="Arial" w:cs="Arial"/>
          <w:sz w:val="24"/>
          <w:szCs w:val="24"/>
          <w:vertAlign w:val="superscript"/>
          <w:lang w:eastAsia="es-ES"/>
        </w:rPr>
        <w:footnoteReference w:id="33"/>
      </w:r>
      <w:r w:rsidRPr="005475F3">
        <w:rPr>
          <w:rFonts w:ascii="Arial" w:eastAsia="Arial Unicode MS" w:hAnsi="Arial" w:cs="Arial"/>
          <w:sz w:val="24"/>
          <w:szCs w:val="24"/>
          <w:lang w:eastAsia="es-ES"/>
        </w:rPr>
        <w:t xml:space="preserve"> y 165</w:t>
      </w:r>
      <w:r w:rsidRPr="005475F3">
        <w:rPr>
          <w:rFonts w:ascii="Arial" w:eastAsia="Arial Unicode MS" w:hAnsi="Arial" w:cs="Arial"/>
          <w:sz w:val="24"/>
          <w:szCs w:val="24"/>
          <w:vertAlign w:val="superscript"/>
          <w:lang w:eastAsia="es-ES"/>
        </w:rPr>
        <w:footnoteReference w:id="34"/>
      </w:r>
      <w:r w:rsidRPr="005475F3">
        <w:rPr>
          <w:rFonts w:ascii="Arial" w:eastAsia="Arial Unicode MS" w:hAnsi="Arial" w:cs="Arial"/>
          <w:sz w:val="24"/>
          <w:szCs w:val="24"/>
          <w:lang w:eastAsia="es-ES"/>
        </w:rPr>
        <w:t xml:space="preserve"> del Código Procesal Administrativo para el Estado de San Luis Potosí, de aplicación supletoria de la Ley de Transparencia Local, la fundamentación y motivación posee dos acepciones: </w:t>
      </w:r>
    </w:p>
    <w:p w14:paraId="61380057" w14:textId="77777777" w:rsidR="004246C0" w:rsidRPr="005475F3" w:rsidRDefault="004246C0" w:rsidP="004246C0">
      <w:pPr>
        <w:autoSpaceDE w:val="0"/>
        <w:autoSpaceDN w:val="0"/>
        <w:adjustRightInd w:val="0"/>
        <w:spacing w:after="0" w:line="360" w:lineRule="auto"/>
        <w:ind w:firstLine="709"/>
        <w:jc w:val="both"/>
        <w:rPr>
          <w:rFonts w:ascii="Arial" w:hAnsi="Arial" w:cs="Arial"/>
          <w:sz w:val="24"/>
          <w:szCs w:val="24"/>
        </w:rPr>
      </w:pPr>
    </w:p>
    <w:p w14:paraId="3C71F654" w14:textId="77777777" w:rsidR="004246C0" w:rsidRPr="005475F3" w:rsidRDefault="004246C0" w:rsidP="004246C0">
      <w:pPr>
        <w:pStyle w:val="Prrafodelista"/>
        <w:numPr>
          <w:ilvl w:val="0"/>
          <w:numId w:val="11"/>
        </w:numPr>
        <w:autoSpaceDE w:val="0"/>
        <w:autoSpaceDN w:val="0"/>
        <w:adjustRightInd w:val="0"/>
        <w:spacing w:after="0" w:line="360" w:lineRule="auto"/>
        <w:jc w:val="both"/>
        <w:rPr>
          <w:rFonts w:ascii="Arial" w:hAnsi="Arial" w:cs="Arial"/>
          <w:sz w:val="24"/>
          <w:szCs w:val="24"/>
        </w:rPr>
      </w:pPr>
      <w:r w:rsidRPr="005475F3">
        <w:rPr>
          <w:rFonts w:ascii="Arial" w:hAnsi="Arial" w:cs="Arial"/>
          <w:sz w:val="24"/>
          <w:szCs w:val="24"/>
        </w:rPr>
        <w:lastRenderedPageBreak/>
        <w:t>La existencia de estos como elementos, es decir, la mera citación de elementos normativos, así como el planteamiento de argumentos lógicos, dentro de la justificación del acto; y,</w:t>
      </w:r>
    </w:p>
    <w:p w14:paraId="7B03BD7E" w14:textId="77777777" w:rsidR="004246C0" w:rsidRPr="005475F3" w:rsidRDefault="004246C0" w:rsidP="004246C0">
      <w:pPr>
        <w:pStyle w:val="Prrafodelista"/>
        <w:autoSpaceDE w:val="0"/>
        <w:autoSpaceDN w:val="0"/>
        <w:adjustRightInd w:val="0"/>
        <w:spacing w:after="0" w:line="360" w:lineRule="auto"/>
        <w:ind w:left="1777"/>
        <w:jc w:val="both"/>
        <w:rPr>
          <w:rFonts w:ascii="Arial" w:hAnsi="Arial" w:cs="Arial"/>
          <w:sz w:val="24"/>
          <w:szCs w:val="24"/>
        </w:rPr>
      </w:pPr>
    </w:p>
    <w:p w14:paraId="598987D4" w14:textId="77777777" w:rsidR="004246C0" w:rsidRPr="005475F3" w:rsidRDefault="004246C0" w:rsidP="004246C0">
      <w:pPr>
        <w:pStyle w:val="Prrafodelista"/>
        <w:numPr>
          <w:ilvl w:val="0"/>
          <w:numId w:val="11"/>
        </w:numPr>
        <w:autoSpaceDE w:val="0"/>
        <w:autoSpaceDN w:val="0"/>
        <w:adjustRightInd w:val="0"/>
        <w:spacing w:after="0" w:line="360" w:lineRule="auto"/>
        <w:jc w:val="both"/>
        <w:rPr>
          <w:rFonts w:ascii="Arial" w:hAnsi="Arial" w:cs="Arial"/>
          <w:sz w:val="24"/>
          <w:szCs w:val="24"/>
        </w:rPr>
      </w:pPr>
      <w:r w:rsidRPr="005475F3">
        <w:rPr>
          <w:rFonts w:ascii="Arial" w:hAnsi="Arial" w:cs="Arial"/>
          <w:sz w:val="24"/>
          <w:szCs w:val="24"/>
        </w:rPr>
        <w:t xml:space="preserve"> La materialidad como requisito, de manera que, por lo que hace a la citación de los preceptos normativos, sean correctos, precisos y suficientes para delimitar la circunstancia jurídica a resolver; y, por su parte, los argumentos lógicos, deberán lograr en sus extremos, adminicular las circunstancias de hecho, con los preceptos normativos, para generar certeza del apego de la autoridad, a la normativa concreta.</w:t>
      </w:r>
    </w:p>
    <w:p w14:paraId="0C2CB001"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2968BDA1" w14:textId="524EC995" w:rsidR="004246C0" w:rsidRPr="005475F3" w:rsidRDefault="004246C0" w:rsidP="004246C0">
      <w:pPr>
        <w:spacing w:after="0" w:line="360" w:lineRule="auto"/>
        <w:ind w:firstLine="708"/>
        <w:jc w:val="both"/>
        <w:rPr>
          <w:rFonts w:ascii="Arial" w:eastAsia="Arial" w:hAnsi="Arial" w:cs="Arial"/>
          <w:sz w:val="24"/>
          <w:lang w:val="es-ES"/>
        </w:rPr>
      </w:pPr>
      <w:r w:rsidRPr="005475F3">
        <w:rPr>
          <w:rFonts w:ascii="Arial" w:eastAsia="Arial Unicode MS" w:hAnsi="Arial" w:cs="Arial"/>
          <w:sz w:val="24"/>
          <w:szCs w:val="24"/>
          <w:lang w:eastAsia="es-ES"/>
        </w:rPr>
        <w:t xml:space="preserve">En ese tenor, en el análisis de la causa que nos ocupa, debe tomarse en consideración que el sujeto obligado precisó como fundamento de la clasificación lo establecido en el artículo </w:t>
      </w:r>
      <w:r w:rsidR="00BA12A5" w:rsidRPr="005475F3">
        <w:rPr>
          <w:rFonts w:ascii="Arial" w:eastAsia="Arial Unicode MS" w:hAnsi="Arial" w:cs="Arial"/>
          <w:sz w:val="24"/>
          <w:szCs w:val="24"/>
          <w:lang w:eastAsia="es-ES"/>
        </w:rPr>
        <w:t>129</w:t>
      </w:r>
      <w:r w:rsidR="001527F4" w:rsidRPr="005475F3">
        <w:rPr>
          <w:rStyle w:val="Refdenotaalpie"/>
          <w:rFonts w:ascii="Arial" w:eastAsia="Arial Unicode MS" w:hAnsi="Arial" w:cs="Arial"/>
          <w:sz w:val="24"/>
          <w:szCs w:val="24"/>
          <w:lang w:eastAsia="es-ES"/>
        </w:rPr>
        <w:footnoteReference w:id="35"/>
      </w:r>
      <w:r w:rsidR="00BA12A5" w:rsidRPr="005475F3">
        <w:rPr>
          <w:rFonts w:ascii="Arial" w:eastAsia="Arial Unicode MS" w:hAnsi="Arial" w:cs="Arial"/>
          <w:sz w:val="24"/>
          <w:szCs w:val="24"/>
          <w:lang w:eastAsia="es-ES"/>
        </w:rPr>
        <w:t>, fracciones XI</w:t>
      </w:r>
      <w:r w:rsidR="001527F4" w:rsidRPr="005475F3">
        <w:rPr>
          <w:rStyle w:val="Refdenotaalpie"/>
          <w:rFonts w:ascii="Arial" w:eastAsia="Arial Unicode MS" w:hAnsi="Arial" w:cs="Arial"/>
          <w:sz w:val="24"/>
          <w:szCs w:val="24"/>
          <w:lang w:eastAsia="es-ES"/>
        </w:rPr>
        <w:footnoteReference w:id="36"/>
      </w:r>
      <w:r w:rsidR="00BA12A5" w:rsidRPr="005475F3">
        <w:rPr>
          <w:rFonts w:ascii="Arial" w:eastAsia="Arial Unicode MS" w:hAnsi="Arial" w:cs="Arial"/>
          <w:sz w:val="24"/>
          <w:szCs w:val="24"/>
          <w:lang w:eastAsia="es-ES"/>
        </w:rPr>
        <w:t xml:space="preserve"> y XII</w:t>
      </w:r>
      <w:r w:rsidR="001527F4" w:rsidRPr="005475F3">
        <w:rPr>
          <w:rStyle w:val="Refdenotaalpie"/>
          <w:rFonts w:ascii="Arial" w:eastAsia="Arial Unicode MS" w:hAnsi="Arial" w:cs="Arial"/>
          <w:sz w:val="24"/>
          <w:szCs w:val="24"/>
          <w:lang w:eastAsia="es-ES"/>
        </w:rPr>
        <w:footnoteReference w:id="37"/>
      </w:r>
      <w:r w:rsidRPr="005475F3">
        <w:rPr>
          <w:rFonts w:ascii="Arial" w:eastAsia="Arial Unicode MS" w:hAnsi="Arial" w:cs="Arial"/>
          <w:sz w:val="24"/>
          <w:szCs w:val="24"/>
          <w:lang w:eastAsia="es-ES"/>
        </w:rPr>
        <w:t>, de la Ley de Transparencia y Acceso a la Información Pública</w:t>
      </w:r>
      <w:r w:rsidR="00BA12A5" w:rsidRPr="005475F3">
        <w:rPr>
          <w:rFonts w:ascii="Arial" w:eastAsia="Arial Unicode MS" w:hAnsi="Arial" w:cs="Arial"/>
          <w:sz w:val="24"/>
          <w:szCs w:val="24"/>
          <w:lang w:eastAsia="es-ES"/>
        </w:rPr>
        <w:t xml:space="preserve"> del Estado de San Luis Potosí</w:t>
      </w:r>
      <w:r w:rsidRPr="005475F3">
        <w:rPr>
          <w:rFonts w:ascii="Arial" w:eastAsia="Arial Unicode MS" w:hAnsi="Arial" w:cs="Arial"/>
          <w:sz w:val="24"/>
          <w:szCs w:val="24"/>
          <w:lang w:eastAsia="es-ES"/>
        </w:rPr>
        <w:t>, en tanto que:</w:t>
      </w:r>
      <w:r w:rsidRPr="005475F3">
        <w:rPr>
          <w:rFonts w:ascii="Arial" w:hAnsi="Arial" w:cs="Arial"/>
        </w:rPr>
        <w:t xml:space="preserve"> </w:t>
      </w:r>
      <w:r w:rsidR="00BA12A5" w:rsidRPr="005475F3">
        <w:rPr>
          <w:rFonts w:ascii="Arial" w:hAnsi="Arial" w:cs="Arial"/>
        </w:rPr>
        <w:t>“</w:t>
      </w:r>
      <w:r w:rsidR="00BA12A5" w:rsidRPr="005475F3">
        <w:rPr>
          <w:rFonts w:ascii="Arial" w:eastAsia="Arial Unicode MS" w:hAnsi="Arial" w:cs="Arial"/>
          <w:i/>
          <w:sz w:val="24"/>
          <w:szCs w:val="24"/>
          <w:u w:val="single"/>
          <w:lang w:eastAsia="es-ES"/>
        </w:rPr>
        <w:t>Se encuentre contenida dentro de las investigaciones de hechos que la ley señale como delitos y se tramiten ante el Ministerio Público”;</w:t>
      </w:r>
      <w:r w:rsidR="00BA12A5" w:rsidRPr="005475F3">
        <w:rPr>
          <w:rFonts w:ascii="Arial" w:eastAsia="Arial Unicode MS" w:hAnsi="Arial" w:cs="Arial"/>
          <w:sz w:val="24"/>
          <w:szCs w:val="24"/>
          <w:lang w:eastAsia="es-ES"/>
        </w:rPr>
        <w:t xml:space="preserve"> y, </w:t>
      </w:r>
      <w:r w:rsidR="00BA12A5" w:rsidRPr="005475F3">
        <w:rPr>
          <w:rFonts w:ascii="Arial" w:eastAsia="Arial Unicode MS" w:hAnsi="Arial" w:cs="Arial"/>
          <w:i/>
          <w:sz w:val="24"/>
          <w:szCs w:val="24"/>
          <w:u w:val="single"/>
          <w:lang w:eastAsia="es-ES"/>
        </w:rPr>
        <w:t>“Las que por disposición expresa de una ley tengan tal carácter, siempre que sean acordes con las bases, principios y disposiciones establecidos en esta Ley y no la contravengan; así como las previstas en tratados internacionales”.</w:t>
      </w:r>
      <w:r w:rsidRPr="005475F3">
        <w:rPr>
          <w:rFonts w:ascii="Arial" w:eastAsia="Arial Unicode MS" w:hAnsi="Arial" w:cs="Arial"/>
          <w:sz w:val="24"/>
          <w:szCs w:val="24"/>
          <w:lang w:eastAsia="es-ES"/>
        </w:rPr>
        <w:t>, por lo que</w:t>
      </w:r>
      <w:r w:rsidRPr="005475F3">
        <w:rPr>
          <w:rFonts w:ascii="Arial" w:eastAsia="Arial" w:hAnsi="Arial" w:cs="Arial"/>
          <w:sz w:val="24"/>
          <w:lang w:val="es-ES"/>
        </w:rPr>
        <w:t xml:space="preserve"> este Organismo Garan</w:t>
      </w:r>
      <w:r w:rsidR="00BA12A5" w:rsidRPr="005475F3">
        <w:rPr>
          <w:rFonts w:ascii="Arial" w:eastAsia="Arial" w:hAnsi="Arial" w:cs="Arial"/>
          <w:sz w:val="24"/>
          <w:lang w:val="es-ES"/>
        </w:rPr>
        <w:t xml:space="preserve">te considera preciso analizar la prueba de daño aprobada por el Comité de Transparencia del Sujeto Obligado, al momento de determinar clasificada con el carácter de reservada, la información solicitada por la ahora parte recurrente </w:t>
      </w:r>
      <w:r w:rsidRPr="005475F3">
        <w:rPr>
          <w:rFonts w:ascii="Arial" w:eastAsia="Arial" w:hAnsi="Arial" w:cs="Arial"/>
          <w:sz w:val="24"/>
          <w:lang w:val="es-ES"/>
        </w:rPr>
        <w:t>.</w:t>
      </w:r>
    </w:p>
    <w:p w14:paraId="323F83DC" w14:textId="77777777" w:rsidR="004246C0" w:rsidRPr="005475F3" w:rsidRDefault="004246C0" w:rsidP="004246C0">
      <w:pPr>
        <w:spacing w:after="0" w:line="360" w:lineRule="auto"/>
        <w:ind w:firstLine="708"/>
        <w:jc w:val="both"/>
        <w:rPr>
          <w:rFonts w:ascii="Arial" w:eastAsia="Arial" w:hAnsi="Arial" w:cs="Arial"/>
          <w:sz w:val="24"/>
          <w:lang w:val="es-ES"/>
        </w:rPr>
      </w:pPr>
    </w:p>
    <w:p w14:paraId="49B25581" w14:textId="77777777" w:rsidR="004246C0" w:rsidRPr="005475F3" w:rsidRDefault="004246C0" w:rsidP="004246C0">
      <w:pPr>
        <w:pStyle w:val="Estilo"/>
        <w:spacing w:line="360" w:lineRule="auto"/>
        <w:ind w:firstLine="708"/>
        <w:rPr>
          <w:rFonts w:cs="Arial"/>
          <w:b/>
          <w:szCs w:val="24"/>
        </w:rPr>
      </w:pPr>
      <w:r w:rsidRPr="005475F3">
        <w:rPr>
          <w:rFonts w:cs="Arial"/>
          <w:b/>
          <w:szCs w:val="24"/>
        </w:rPr>
        <w:t xml:space="preserve">a.1. De la prueba de daño. </w:t>
      </w:r>
    </w:p>
    <w:p w14:paraId="598713BF" w14:textId="77777777" w:rsidR="004246C0" w:rsidRPr="005475F3" w:rsidRDefault="004246C0" w:rsidP="004246C0">
      <w:pPr>
        <w:pStyle w:val="Estilo"/>
        <w:spacing w:line="360" w:lineRule="auto"/>
        <w:ind w:firstLine="708"/>
        <w:rPr>
          <w:rFonts w:cs="Arial"/>
          <w:szCs w:val="24"/>
        </w:rPr>
      </w:pPr>
    </w:p>
    <w:p w14:paraId="2E0D7715" w14:textId="7B44D11C" w:rsidR="004246C0" w:rsidRPr="005475F3" w:rsidRDefault="004246C0" w:rsidP="004246C0">
      <w:pPr>
        <w:pStyle w:val="Estilo"/>
        <w:spacing w:line="360" w:lineRule="auto"/>
        <w:ind w:firstLine="708"/>
        <w:rPr>
          <w:rFonts w:cs="Arial"/>
          <w:szCs w:val="24"/>
        </w:rPr>
      </w:pPr>
      <w:r w:rsidRPr="005475F3">
        <w:rPr>
          <w:rFonts w:cs="Arial"/>
          <w:szCs w:val="24"/>
        </w:rPr>
        <w:t xml:space="preserve">En la causa que se examina, de conformidad con lo establecido en el artículo 118 de la Ley de Transparencia y Acceso a la Información Pública del </w:t>
      </w:r>
      <w:r w:rsidRPr="005475F3">
        <w:rPr>
          <w:rFonts w:cs="Arial"/>
          <w:szCs w:val="24"/>
        </w:rPr>
        <w:lastRenderedPageBreak/>
        <w:t xml:space="preserve">Estado de San Luis Potosí, </w:t>
      </w:r>
      <w:r w:rsidR="00BA12A5" w:rsidRPr="005475F3">
        <w:rPr>
          <w:rFonts w:cs="Arial"/>
          <w:szCs w:val="24"/>
        </w:rPr>
        <w:t xml:space="preserve">la Fiscalía General del Estado </w:t>
      </w:r>
      <w:r w:rsidRPr="005475F3">
        <w:rPr>
          <w:rFonts w:cs="Arial"/>
          <w:szCs w:val="24"/>
        </w:rPr>
        <w:t>debe justificar los presupuestos que se enuncian a continuación:</w:t>
      </w:r>
    </w:p>
    <w:p w14:paraId="559E1B4C" w14:textId="77777777" w:rsidR="004246C0" w:rsidRPr="005475F3" w:rsidRDefault="004246C0" w:rsidP="004246C0">
      <w:pPr>
        <w:pStyle w:val="Estilo"/>
        <w:spacing w:line="360" w:lineRule="auto"/>
        <w:ind w:firstLine="708"/>
        <w:rPr>
          <w:rFonts w:cs="Arial"/>
          <w:szCs w:val="24"/>
        </w:rPr>
      </w:pPr>
    </w:p>
    <w:p w14:paraId="2D8A1511" w14:textId="77777777" w:rsidR="004246C0" w:rsidRPr="005475F3" w:rsidRDefault="004246C0" w:rsidP="004246C0">
      <w:pPr>
        <w:pStyle w:val="Estilo"/>
        <w:numPr>
          <w:ilvl w:val="1"/>
          <w:numId w:val="35"/>
        </w:numPr>
        <w:spacing w:line="360" w:lineRule="auto"/>
        <w:ind w:left="1560" w:hanging="709"/>
        <w:rPr>
          <w:rFonts w:cs="Arial"/>
        </w:rPr>
      </w:pPr>
      <w:r w:rsidRPr="005475F3">
        <w:rPr>
          <w:rFonts w:cs="Arial"/>
        </w:rPr>
        <w:t xml:space="preserve">La divulgación de la información representa un riesgo real, demostrable e identificable de perjuicio significativo al interés público; </w:t>
      </w:r>
    </w:p>
    <w:p w14:paraId="2556FA94" w14:textId="77777777" w:rsidR="004246C0" w:rsidRPr="005475F3" w:rsidRDefault="004246C0" w:rsidP="004246C0">
      <w:pPr>
        <w:pStyle w:val="Estilo"/>
        <w:numPr>
          <w:ilvl w:val="1"/>
          <w:numId w:val="35"/>
        </w:numPr>
        <w:spacing w:line="360" w:lineRule="auto"/>
        <w:ind w:left="1560" w:hanging="709"/>
        <w:rPr>
          <w:rFonts w:cs="Arial"/>
        </w:rPr>
      </w:pPr>
      <w:r w:rsidRPr="005475F3">
        <w:rPr>
          <w:rFonts w:cs="Arial"/>
        </w:rPr>
        <w:t xml:space="preserve">El riesgo de perjuicio que supondría la divulgación supera el interés público general de que se difunda; y, </w:t>
      </w:r>
    </w:p>
    <w:p w14:paraId="14D7CB99" w14:textId="77777777" w:rsidR="004246C0" w:rsidRPr="005475F3" w:rsidRDefault="004246C0" w:rsidP="004246C0">
      <w:pPr>
        <w:pStyle w:val="Estilo"/>
        <w:numPr>
          <w:ilvl w:val="1"/>
          <w:numId w:val="35"/>
        </w:numPr>
        <w:spacing w:line="360" w:lineRule="auto"/>
        <w:ind w:left="1560" w:hanging="709"/>
        <w:rPr>
          <w:rFonts w:cs="Arial"/>
        </w:rPr>
      </w:pPr>
      <w:r w:rsidRPr="005475F3">
        <w:rPr>
          <w:rFonts w:cs="Arial"/>
        </w:rPr>
        <w:t>La limitación se adecua al principio de proporcionalidad y representa el medio menos restrictivo disponible para evitar el perjuicio.</w:t>
      </w:r>
    </w:p>
    <w:p w14:paraId="35AA592A" w14:textId="77777777" w:rsidR="004246C0" w:rsidRPr="005475F3" w:rsidRDefault="004246C0" w:rsidP="004246C0">
      <w:pPr>
        <w:pStyle w:val="Estilo"/>
        <w:spacing w:line="360" w:lineRule="auto"/>
        <w:ind w:firstLine="708"/>
        <w:rPr>
          <w:rFonts w:cs="Arial"/>
        </w:rPr>
      </w:pPr>
    </w:p>
    <w:p w14:paraId="632B7D04"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 correlación con lo anterior, se tiene que la Ley de Transparencia y Acceso a la Información Pública del Estado de San Luis Potosí, vigente, a través de su artículo 123</w:t>
      </w:r>
      <w:r w:rsidRPr="005475F3">
        <w:rPr>
          <w:rStyle w:val="Refdenotaalpie"/>
          <w:rFonts w:ascii="Arial" w:eastAsia="Arial Unicode MS" w:hAnsi="Arial" w:cs="Arial"/>
          <w:sz w:val="24"/>
          <w:szCs w:val="24"/>
          <w:lang w:eastAsia="es-ES"/>
        </w:rPr>
        <w:footnoteReference w:id="38"/>
      </w:r>
      <w:r w:rsidRPr="005475F3">
        <w:rPr>
          <w:rFonts w:ascii="Arial" w:eastAsia="Arial Unicode MS" w:hAnsi="Arial" w:cs="Arial"/>
          <w:sz w:val="24"/>
          <w:szCs w:val="24"/>
          <w:lang w:eastAsia="es-ES"/>
        </w:rPr>
        <w:t>, contempla la obligatoriedad en la observancia y aplicación de los Lineamientos que en materia de clasificación de la información, emitió el Sistema Nacional de Transparencia, a que hacía referencia la Ley General de Transparencia y Acceso a la Información Pública publicada en la Edición Vespertina del Diario Oficial de la Federación, el lunes cuatro de mayo de dos mil quince.</w:t>
      </w:r>
    </w:p>
    <w:p w14:paraId="1667FDB7"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2E7D013D" w14:textId="477D7BE8"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Sin embargo, no pasa inadvertido para este Órgano Resolutor, que mediante publicación en el Diario Oficial de veinte de marzo de dos mil veinticinco, se expidió la Ley General de Transparencia y Acceso a la Información Pública; y, entre otras circunstancias, abrogó la Ley General publicada en el Diario Oficial de la Federación, el cuatro de mayo de dos mil quince; sin que, a través de los artículos transitorios deter</w:t>
      </w:r>
      <w:r w:rsidR="001527F4" w:rsidRPr="005475F3">
        <w:rPr>
          <w:rFonts w:ascii="Arial" w:eastAsia="Arial Unicode MS" w:hAnsi="Arial" w:cs="Arial"/>
          <w:sz w:val="24"/>
          <w:szCs w:val="24"/>
          <w:lang w:eastAsia="es-ES"/>
        </w:rPr>
        <w:t>minara el destino de las Leyes,</w:t>
      </w:r>
      <w:r w:rsidRPr="005475F3">
        <w:rPr>
          <w:rFonts w:ascii="Arial" w:eastAsia="Arial Unicode MS" w:hAnsi="Arial" w:cs="Arial"/>
          <w:sz w:val="24"/>
          <w:szCs w:val="24"/>
          <w:lang w:eastAsia="es-ES"/>
        </w:rPr>
        <w:t xml:space="preserve"> Reglamentos secundarios, </w:t>
      </w:r>
      <w:r w:rsidR="001527F4" w:rsidRPr="005475F3">
        <w:rPr>
          <w:rFonts w:ascii="Arial" w:eastAsia="Arial Unicode MS" w:hAnsi="Arial" w:cs="Arial"/>
          <w:sz w:val="24"/>
          <w:szCs w:val="24"/>
          <w:lang w:eastAsia="es-ES"/>
        </w:rPr>
        <w:t xml:space="preserve">o incluso Lineamientos, </w:t>
      </w:r>
      <w:r w:rsidRPr="005475F3">
        <w:rPr>
          <w:rFonts w:ascii="Arial" w:eastAsia="Arial Unicode MS" w:hAnsi="Arial" w:cs="Arial"/>
          <w:sz w:val="24"/>
          <w:szCs w:val="24"/>
          <w:lang w:eastAsia="es-ES"/>
        </w:rPr>
        <w:t>derivados de la Ley extinta.</w:t>
      </w:r>
    </w:p>
    <w:p w14:paraId="0CA55E00"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3F13DB80"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Es importante destacar que, los lineamientos comparten naturaleza con los reglamentos, mismos que son disposiciones generales, imperativas y </w:t>
      </w:r>
      <w:r w:rsidRPr="005475F3">
        <w:rPr>
          <w:rFonts w:ascii="Arial" w:eastAsia="Arial Unicode MS" w:hAnsi="Arial" w:cs="Arial"/>
          <w:sz w:val="24"/>
          <w:szCs w:val="24"/>
          <w:lang w:eastAsia="es-ES"/>
        </w:rPr>
        <w:lastRenderedPageBreak/>
        <w:t>abstractas que detallan las hipótesis y supuestos normativos de aplicación de una ley expedida por el Congreso de la Unión.</w:t>
      </w:r>
    </w:p>
    <w:p w14:paraId="77D88B7F"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 </w:t>
      </w:r>
    </w:p>
    <w:p w14:paraId="496C8AB6" w14:textId="77777777" w:rsidR="004246C0" w:rsidRPr="005475F3" w:rsidRDefault="004246C0" w:rsidP="007A18D6">
      <w:pPr>
        <w:spacing w:after="0" w:line="240" w:lineRule="auto"/>
        <w:ind w:left="1134" w:right="1183"/>
        <w:jc w:val="both"/>
        <w:rPr>
          <w:rFonts w:ascii="Arial" w:eastAsia="Arial Unicode MS" w:hAnsi="Arial" w:cs="Arial"/>
          <w:i/>
          <w:szCs w:val="24"/>
          <w:lang w:eastAsia="es-ES"/>
        </w:rPr>
      </w:pPr>
      <w:r w:rsidRPr="005475F3">
        <w:rPr>
          <w:rFonts w:ascii="Arial" w:eastAsia="Arial Unicode MS" w:hAnsi="Arial" w:cs="Arial"/>
          <w:szCs w:val="24"/>
          <w:lang w:eastAsia="es-ES"/>
        </w:rPr>
        <w:t xml:space="preserve">“I. </w:t>
      </w:r>
      <w:r w:rsidRPr="005475F3">
        <w:rPr>
          <w:rFonts w:ascii="Arial" w:eastAsia="Arial Unicode MS" w:hAnsi="Arial" w:cs="Arial"/>
          <w:i/>
          <w:szCs w:val="24"/>
          <w:lang w:eastAsia="es-ES"/>
        </w:rPr>
        <w:t xml:space="preserve">(De reglar y éste. a su vez. del latín regulare.) Es una norma de carácter </w:t>
      </w:r>
    </w:p>
    <w:p w14:paraId="64124075" w14:textId="77777777" w:rsidR="004246C0" w:rsidRPr="005475F3" w:rsidRDefault="004246C0" w:rsidP="007A18D6">
      <w:pPr>
        <w:spacing w:after="0" w:line="240" w:lineRule="auto"/>
        <w:ind w:left="1134" w:right="1183"/>
        <w:jc w:val="both"/>
        <w:rPr>
          <w:rFonts w:ascii="Arial" w:eastAsia="Arial Unicode MS" w:hAnsi="Arial" w:cs="Arial"/>
          <w:szCs w:val="24"/>
          <w:lang w:eastAsia="es-ES"/>
        </w:rPr>
      </w:pPr>
      <w:r w:rsidRPr="005475F3">
        <w:rPr>
          <w:rFonts w:ascii="Arial" w:eastAsia="Arial Unicode MS" w:hAnsi="Arial" w:cs="Arial"/>
          <w:i/>
          <w:szCs w:val="24"/>
          <w:lang w:eastAsia="es-ES"/>
        </w:rPr>
        <w:t>general, abstracta e impersonal expedida por el titular del Poder Ejecutivo, con la finalidad de lograr la aplicación de una ley previa. El reglamento es producto de la facultad reglamentaria contenida en el artículo 89, fracción I de la Constitución que encomienda al presidente de la República la facultad para proveer, en la esfera administrativa, a la exacta observancia de la ley.”</w:t>
      </w:r>
      <w:r w:rsidRPr="005475F3">
        <w:rPr>
          <w:rStyle w:val="Refdenotaalpie"/>
          <w:rFonts w:ascii="Arial" w:eastAsia="Arial Unicode MS" w:hAnsi="Arial" w:cs="Arial"/>
          <w:i/>
          <w:szCs w:val="24"/>
          <w:lang w:eastAsia="es-ES"/>
        </w:rPr>
        <w:footnoteReference w:id="39"/>
      </w:r>
      <w:r w:rsidRPr="005475F3">
        <w:rPr>
          <w:rFonts w:ascii="Arial" w:eastAsia="Arial Unicode MS" w:hAnsi="Arial" w:cs="Arial"/>
          <w:szCs w:val="24"/>
          <w:lang w:eastAsia="es-ES"/>
        </w:rPr>
        <w:t xml:space="preserve"> </w:t>
      </w:r>
    </w:p>
    <w:p w14:paraId="2B3FA844"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4426F16D"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Desde el punto de vista formal, el reglamento es un acto administrativo al provenir del Poder Ejecutivo y desde el punto de vista material es un acto legislativo, atento a que mediante el reglamento se crean disposiciones generales abstractas e impersonales que tienen por Objeto la ejecución pormenorizada de una ley emitida formal y materialmente por el Congreso de la Unión, pero sin que sea posible que el reglamento exceda del alcance del precepto reglamentado, contraríe o altere sus disposiciones por ser precisamente dicho precepto su medida y justificación. </w:t>
      </w:r>
    </w:p>
    <w:p w14:paraId="2508A955"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5854E756" w14:textId="77777777" w:rsidR="004246C0" w:rsidRPr="005475F3" w:rsidRDefault="004246C0" w:rsidP="007A18D6">
      <w:pPr>
        <w:spacing w:after="0" w:line="240" w:lineRule="auto"/>
        <w:ind w:left="1134" w:right="1183"/>
        <w:jc w:val="both"/>
        <w:rPr>
          <w:rFonts w:ascii="Arial" w:eastAsia="Arial Unicode MS" w:hAnsi="Arial" w:cs="Arial"/>
          <w:i/>
          <w:szCs w:val="24"/>
          <w:lang w:eastAsia="es-ES"/>
        </w:rPr>
      </w:pPr>
      <w:r w:rsidRPr="005475F3">
        <w:rPr>
          <w:rFonts w:ascii="Arial" w:eastAsia="Arial Unicode MS" w:hAnsi="Arial" w:cs="Arial"/>
          <w:i/>
          <w:szCs w:val="24"/>
          <w:lang w:eastAsia="es-ES"/>
        </w:rPr>
        <w:t>"El reglamento es una norma o conjunto de normas jurídicas de carácter abstracto e impersonal que expide el Poder Ejecutivo en uso de una facultad propia y que tiene por objeto facilitar la exacta observancia de las leyes expedidas por el Poder Legislativo.”</w:t>
      </w:r>
      <w:r w:rsidRPr="005475F3">
        <w:rPr>
          <w:rStyle w:val="Refdenotaalpie"/>
          <w:rFonts w:ascii="Arial" w:eastAsia="Arial Unicode MS" w:hAnsi="Arial" w:cs="Arial"/>
          <w:i/>
          <w:szCs w:val="24"/>
          <w:lang w:eastAsia="es-ES"/>
        </w:rPr>
        <w:footnoteReference w:id="40"/>
      </w:r>
    </w:p>
    <w:p w14:paraId="4C3BB6B1"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29DC8615"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En relación con lo anterior, puede afirmarse que la ley puede existir y tener plena validez sin que haya disposiciones que la reglamenten, en tanto que el reglamento supone siempre la preexistencia de una ley cuyos principios desarrolla y a los cuales está subordinado. </w:t>
      </w:r>
    </w:p>
    <w:p w14:paraId="0C10AF0B"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7718038C" w14:textId="77777777" w:rsidR="004246C0" w:rsidRPr="005475F3" w:rsidRDefault="004246C0" w:rsidP="004246C0">
      <w:pPr>
        <w:spacing w:after="0" w:line="360" w:lineRule="auto"/>
        <w:ind w:firstLine="708"/>
        <w:jc w:val="both"/>
        <w:rPr>
          <w:rFonts w:ascii="Arial" w:eastAsia="Arial Unicode MS" w:hAnsi="Arial" w:cs="Arial"/>
          <w:i/>
          <w:sz w:val="24"/>
          <w:szCs w:val="24"/>
          <w:lang w:eastAsia="es-ES"/>
        </w:rPr>
      </w:pPr>
      <w:r w:rsidRPr="005475F3">
        <w:rPr>
          <w:rFonts w:ascii="Arial" w:eastAsia="Arial Unicode MS" w:hAnsi="Arial" w:cs="Arial"/>
          <w:sz w:val="24"/>
          <w:szCs w:val="24"/>
          <w:lang w:eastAsia="es-ES"/>
        </w:rPr>
        <w:t xml:space="preserve">En lo referente al reglamento, el tratadista Andrés Serra Rojas, establece un amplio concepto al señalar: </w:t>
      </w:r>
      <w:r w:rsidRPr="005475F3">
        <w:rPr>
          <w:rFonts w:ascii="Arial" w:eastAsia="Arial Unicode MS" w:hAnsi="Arial" w:cs="Arial"/>
          <w:i/>
          <w:sz w:val="24"/>
          <w:szCs w:val="24"/>
          <w:lang w:eastAsia="es-ES"/>
        </w:rPr>
        <w:t xml:space="preserve">"El reglamento es el conjunto de normas administrativas, subordinadas a la ley, obligatorias generales e impersonales, expedidas unilateral y espontáneamente por el Presidente de la República, o por la Asamblea de Representantes del Distrito Federal en virtud de facultades que </w:t>
      </w:r>
      <w:r w:rsidRPr="005475F3">
        <w:rPr>
          <w:rFonts w:ascii="Arial" w:eastAsia="Arial Unicode MS" w:hAnsi="Arial" w:cs="Arial"/>
          <w:i/>
          <w:sz w:val="24"/>
          <w:szCs w:val="24"/>
          <w:lang w:eastAsia="es-ES"/>
        </w:rPr>
        <w:lastRenderedPageBreak/>
        <w:t>le han sido expresamente conferidas por la Constitución o que resultan implícitamente del ejercicio del Poder Ejecutivo.</w:t>
      </w:r>
    </w:p>
    <w:p w14:paraId="6F4D07CB" w14:textId="77777777" w:rsidR="004246C0" w:rsidRPr="005475F3" w:rsidRDefault="004246C0" w:rsidP="004246C0">
      <w:pPr>
        <w:spacing w:after="0" w:line="360" w:lineRule="auto"/>
        <w:ind w:firstLine="708"/>
        <w:jc w:val="both"/>
        <w:rPr>
          <w:rFonts w:ascii="Arial" w:eastAsia="Arial Unicode MS" w:hAnsi="Arial" w:cs="Arial"/>
          <w:i/>
          <w:sz w:val="24"/>
          <w:szCs w:val="24"/>
          <w:lang w:eastAsia="es-ES"/>
        </w:rPr>
      </w:pPr>
    </w:p>
    <w:p w14:paraId="7930F359" w14:textId="77777777" w:rsidR="004246C0" w:rsidRPr="005475F3" w:rsidRDefault="004246C0" w:rsidP="004246C0">
      <w:pPr>
        <w:spacing w:after="0" w:line="360" w:lineRule="auto"/>
        <w:ind w:firstLine="708"/>
        <w:jc w:val="both"/>
        <w:rPr>
          <w:rFonts w:ascii="Arial" w:eastAsia="Arial Unicode MS" w:hAnsi="Arial" w:cs="Arial"/>
          <w:i/>
          <w:sz w:val="24"/>
          <w:szCs w:val="24"/>
          <w:lang w:eastAsia="es-ES"/>
        </w:rPr>
      </w:pPr>
      <w:r w:rsidRPr="005475F3">
        <w:rPr>
          <w:rFonts w:ascii="Arial" w:eastAsia="Arial Unicode MS" w:hAnsi="Arial" w:cs="Arial"/>
          <w:i/>
          <w:sz w:val="24"/>
          <w:szCs w:val="24"/>
          <w:lang w:eastAsia="es-ES"/>
        </w:rPr>
        <w:t>Ese conjunto de normas en número superior al de las leyes son creadoras de una situación jurídica general, abstracta, que en ningún caso regula una situación jurídica concreta y son dictadas para la atención pormenorizada de los servicios públicos, para la ejecución de una ley, y para los demás fines de la Administración Pública"</w:t>
      </w:r>
      <w:r w:rsidRPr="005475F3">
        <w:rPr>
          <w:rStyle w:val="Refdenotaalpie"/>
          <w:rFonts w:ascii="Arial" w:eastAsia="Arial Unicode MS" w:hAnsi="Arial" w:cs="Arial"/>
          <w:i/>
          <w:sz w:val="24"/>
          <w:szCs w:val="24"/>
          <w:lang w:eastAsia="es-ES"/>
        </w:rPr>
        <w:footnoteReference w:id="41"/>
      </w:r>
    </w:p>
    <w:p w14:paraId="65F4A03B" w14:textId="77777777" w:rsidR="004246C0" w:rsidRPr="005475F3" w:rsidRDefault="004246C0" w:rsidP="004246C0">
      <w:pPr>
        <w:spacing w:after="0" w:line="360" w:lineRule="auto"/>
        <w:ind w:firstLine="708"/>
        <w:jc w:val="both"/>
        <w:rPr>
          <w:rFonts w:ascii="Arial" w:eastAsia="Arial Unicode MS" w:hAnsi="Arial" w:cs="Arial"/>
          <w:i/>
          <w:sz w:val="24"/>
          <w:szCs w:val="24"/>
          <w:lang w:eastAsia="es-ES"/>
        </w:rPr>
      </w:pPr>
    </w:p>
    <w:p w14:paraId="74B3DDDC"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Todo </w:t>
      </w:r>
      <w:r w:rsidRPr="005475F3">
        <w:rPr>
          <w:rFonts w:ascii="Arial" w:eastAsia="Arial Unicode MS" w:hAnsi="Arial" w:cs="Arial"/>
          <w:sz w:val="24"/>
          <w:szCs w:val="24"/>
          <w:u w:val="single"/>
          <w:lang w:eastAsia="es-ES"/>
        </w:rPr>
        <w:t>reglamento es una norma que complementa y amplía el contenido de una ley</w:t>
      </w:r>
      <w:r w:rsidRPr="005475F3">
        <w:rPr>
          <w:rFonts w:ascii="Arial" w:eastAsia="Arial Unicode MS" w:hAnsi="Arial" w:cs="Arial"/>
          <w:sz w:val="24"/>
          <w:szCs w:val="24"/>
          <w:lang w:eastAsia="es-ES"/>
        </w:rPr>
        <w:t xml:space="preserve">, por lo que jerárquicamente aquél está subordinado a ésta y corre la misma suerte, de tal manera que si una leyes reformada, derogada o abrogada, el reglamento se verá afectado con las mismas consecuencias a pesar de que no se hubiere reformado, derogado o abrogado expresamente por otro reglamento, ya que éste no goza de la autoridad formal de una ley. </w:t>
      </w:r>
    </w:p>
    <w:p w14:paraId="33532660"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17F4089E" w14:textId="77777777" w:rsidR="004246C0" w:rsidRPr="005475F3" w:rsidRDefault="004246C0" w:rsidP="004246C0">
      <w:pPr>
        <w:spacing w:after="0" w:line="360" w:lineRule="auto"/>
        <w:ind w:firstLine="708"/>
        <w:jc w:val="both"/>
        <w:rPr>
          <w:rFonts w:ascii="Arial" w:eastAsia="Arial Unicode MS" w:hAnsi="Arial" w:cs="Arial"/>
          <w:i/>
          <w:sz w:val="24"/>
          <w:szCs w:val="24"/>
          <w:lang w:eastAsia="es-ES"/>
        </w:rPr>
      </w:pPr>
      <w:r w:rsidRPr="005475F3">
        <w:rPr>
          <w:rFonts w:ascii="Arial" w:eastAsia="Arial Unicode MS" w:hAnsi="Arial" w:cs="Arial"/>
          <w:sz w:val="24"/>
          <w:szCs w:val="24"/>
          <w:lang w:eastAsia="es-ES"/>
        </w:rPr>
        <w:t xml:space="preserve">El Dr. Ignacio Burgoa Orihuela en su obra “Derecho Constitucional Mexicano", al definir al reglamento sostiene: </w:t>
      </w:r>
      <w:r w:rsidRPr="005475F3">
        <w:rPr>
          <w:rFonts w:ascii="Arial" w:eastAsia="Arial Unicode MS" w:hAnsi="Arial" w:cs="Arial"/>
          <w:i/>
          <w:sz w:val="24"/>
          <w:szCs w:val="24"/>
          <w:lang w:eastAsia="es-ES"/>
        </w:rPr>
        <w:t xml:space="preserve">" ... se manifiesta en la expedición de normas jurídicas abstractas, generales e impersonales cuyo objetivo estriba en pormenorizar o detallar las leyes de contenido administrativo que dicte el Congreso de la Unión para conseguir su mejor y más adecuada aplicación en los diferentes ramos que regulan." </w:t>
      </w:r>
      <w:r w:rsidRPr="005475F3">
        <w:rPr>
          <w:rStyle w:val="Refdenotaalpie"/>
          <w:rFonts w:ascii="Arial" w:eastAsia="Arial Unicode MS" w:hAnsi="Arial" w:cs="Arial"/>
          <w:i/>
          <w:sz w:val="24"/>
          <w:szCs w:val="24"/>
          <w:lang w:eastAsia="es-ES"/>
        </w:rPr>
        <w:footnoteReference w:id="42"/>
      </w:r>
    </w:p>
    <w:p w14:paraId="07FB63C7"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522F7C9E"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En consecuencia, puede afirmarse que el reglamento es una manifestación unilateral de la voluntad del Poder Ejecutivo, ya sea federal o local, según el ámbito de competencia correspondiente a cada uno de ellos, creadora de normas jurídicas generales que desarrollan los principios de una ley a fin de facilitar su ejecución y observancia en la esfera administrativa. </w:t>
      </w:r>
    </w:p>
    <w:p w14:paraId="02CCA380"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7FA920C4"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Existen dos diferencias esenciales entre la ley y el reglamento, consistentes en el procedimiento de creación de ambos ordenamientos y en la jerarquía; los reglamentos son exclusivamente promulgados por los titulares del Poder Ejecutivo federal o local y son de menor jerarquía que las leyes a las cuales </w:t>
      </w:r>
      <w:r w:rsidRPr="005475F3">
        <w:rPr>
          <w:rFonts w:ascii="Arial" w:eastAsia="Arial Unicode MS" w:hAnsi="Arial" w:cs="Arial"/>
          <w:sz w:val="24"/>
          <w:szCs w:val="24"/>
          <w:lang w:eastAsia="es-ES"/>
        </w:rPr>
        <w:lastRenderedPageBreak/>
        <w:t xml:space="preserve">no deben contravenir ni desbordar. Los reglamentos son actos facultados al Poder Ejecutivo por razones lógicas, ya que la atribución genérica de crear las leyes conlleva el reconocimiento de permitirle cómo ejecutarlas. </w:t>
      </w:r>
    </w:p>
    <w:p w14:paraId="165AF30C"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3A2AD6DF"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Sobre este particular, el jurista mexicano Mariano Coronado señala refiriéndose a la Constitución de 1857 que la diferencia sustancial entre la ley y el reglamento: </w:t>
      </w:r>
      <w:r w:rsidRPr="005475F3">
        <w:rPr>
          <w:rFonts w:ascii="Arial" w:eastAsia="Arial Unicode MS" w:hAnsi="Arial" w:cs="Arial"/>
          <w:i/>
          <w:sz w:val="24"/>
          <w:szCs w:val="24"/>
          <w:lang w:eastAsia="es-ES"/>
        </w:rPr>
        <w:t>"El reglamento difiere de la ley en que ésta establece principios, y aquél los desarrolla; ésta es perpetua, aquél varía según las circunstancias; ésta manda, aquél obedece; el reglamento, por lo tanto, no puede usurpar el dominio de la ley, imponiendo penas, creando impuestos, organizando los poderes públicos, etcétera. Se limita a desenvolver los principios de la ley, a fijar los pormenores que directamente se derivan de sus preceptos. En suma, el Presidente, como jefe supremo de la Administración Federal, dispone y resuelve lo conveniente para el buen despacho de ella. Por descontado se entiende que los reglamentos y demás disposiciones del Ejecutivo no han de contrariar la ley, puesto que tiene que proveer a su exacta observancia."</w:t>
      </w:r>
      <w:r w:rsidRPr="005475F3">
        <w:rPr>
          <w:rFonts w:ascii="Arial" w:eastAsia="Arial Unicode MS" w:hAnsi="Arial" w:cs="Arial"/>
          <w:sz w:val="24"/>
          <w:szCs w:val="24"/>
          <w:lang w:eastAsia="es-ES"/>
        </w:rPr>
        <w:t xml:space="preserve"> </w:t>
      </w:r>
      <w:r w:rsidRPr="005475F3">
        <w:rPr>
          <w:rStyle w:val="Refdenotaalpie"/>
          <w:rFonts w:ascii="Arial" w:eastAsia="Arial Unicode MS" w:hAnsi="Arial" w:cs="Arial"/>
          <w:sz w:val="24"/>
          <w:szCs w:val="24"/>
          <w:lang w:eastAsia="es-ES"/>
        </w:rPr>
        <w:footnoteReference w:id="43"/>
      </w:r>
    </w:p>
    <w:p w14:paraId="1881F5BE"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4CBD2D80"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El reglamento encuentra sustento en el hecho de que las leyes por su propia naturaleza no pueden prever todos los supuestos posibles, debido en gran manera a que su grado de generalidad y abstracción debe ser amplio, por lo tanto, los reglamentos tienden a detallar los supuestos previstos en la ley para que la individualización y aplicación del orden jurídico sea clara y efectiva. </w:t>
      </w:r>
    </w:p>
    <w:p w14:paraId="1087592D"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3374C660" w14:textId="053FE5AC"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Los reglamentos son de naturaleza secundaria, toda vez que</w:t>
      </w:r>
      <w:r w:rsidR="00BA12A5" w:rsidRPr="005475F3">
        <w:rPr>
          <w:rFonts w:ascii="Arial" w:eastAsia="Arial Unicode MS" w:hAnsi="Arial" w:cs="Arial"/>
          <w:sz w:val="24"/>
          <w:szCs w:val="24"/>
          <w:lang w:eastAsia="es-ES"/>
        </w:rPr>
        <w:t>,</w:t>
      </w:r>
      <w:r w:rsidRPr="005475F3">
        <w:rPr>
          <w:rFonts w:ascii="Arial" w:eastAsia="Arial Unicode MS" w:hAnsi="Arial" w:cs="Arial"/>
          <w:sz w:val="24"/>
          <w:szCs w:val="24"/>
          <w:lang w:eastAsia="es-ES"/>
        </w:rPr>
        <w:t xml:space="preserve"> en el esquema de la jerarquía de las leyes, se ubican en rango inferior tanto de la Constitución como de las leyes que expide el Congreso de la Unión, y son accesorios en cuanto a que su vida depende del principal, es decir la ley que pormenorizan, por lo cual el reglamento estará vigente mientras la ley conserve su vigencia. </w:t>
      </w:r>
    </w:p>
    <w:p w14:paraId="21EB1F1A"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5414F432" w14:textId="6621B495"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Así, puede afirmarse que es competencia exclusiva de la ley la determinación del qué, quién, dónde y cuándo de una situación jurídica general, hipotética y abstracta, al reglamento de ejecución competerá, por consecuencia, </w:t>
      </w:r>
      <w:r w:rsidRPr="005475F3">
        <w:rPr>
          <w:rFonts w:ascii="Arial" w:eastAsia="Arial Unicode MS" w:hAnsi="Arial" w:cs="Arial"/>
          <w:sz w:val="24"/>
          <w:szCs w:val="24"/>
          <w:lang w:eastAsia="es-ES"/>
        </w:rPr>
        <w:lastRenderedPageBreak/>
        <w:t xml:space="preserve">el “cómo” de esos mismos supuestos, es decir, </w:t>
      </w:r>
      <w:r w:rsidRPr="005475F3">
        <w:rPr>
          <w:rFonts w:ascii="Arial" w:eastAsia="Arial Unicode MS" w:hAnsi="Arial" w:cs="Arial"/>
          <w:sz w:val="24"/>
          <w:szCs w:val="24"/>
          <w:u w:val="single"/>
          <w:lang w:eastAsia="es-ES"/>
        </w:rPr>
        <w:t>el reglamento desenvuelve su obligatoriedad a partir de un principio definido por la ley</w:t>
      </w:r>
      <w:r w:rsidRPr="005475F3">
        <w:rPr>
          <w:rFonts w:ascii="Arial" w:eastAsia="Arial Unicode MS" w:hAnsi="Arial" w:cs="Arial"/>
          <w:sz w:val="24"/>
          <w:szCs w:val="24"/>
          <w:lang w:eastAsia="es-ES"/>
        </w:rPr>
        <w:t xml:space="preserve"> y, por tanto, no puede ir más allá de ella, ni extenderla a supuestos distintos, ni mucho menos contradecirla; luego entonces, el reglamento no puede ser utilizado como instrumento para llenar lagunas de la ley, ni para reformarla o, tampoco, para remediar el olvido o la omisión. Por tal motivo, si el reglamento debe contraerse a indicar los medios para cumplir la ley, no está entonces permitido que a través de la facultad reglamentaria del ejecutivo, se cree una disposición que otorgue mayores alcances o imponga diversas </w:t>
      </w:r>
      <w:r w:rsidR="00BA12A5" w:rsidRPr="005475F3">
        <w:rPr>
          <w:rFonts w:ascii="Arial" w:eastAsia="Arial Unicode MS" w:hAnsi="Arial" w:cs="Arial"/>
          <w:sz w:val="24"/>
          <w:szCs w:val="24"/>
          <w:lang w:eastAsia="es-ES"/>
        </w:rPr>
        <w:t>l</w:t>
      </w:r>
      <w:r w:rsidRPr="005475F3">
        <w:rPr>
          <w:rFonts w:ascii="Arial" w:eastAsia="Arial Unicode MS" w:hAnsi="Arial" w:cs="Arial"/>
          <w:sz w:val="24"/>
          <w:szCs w:val="24"/>
          <w:lang w:eastAsia="es-ES"/>
        </w:rPr>
        <w:t xml:space="preserve">imitantes que la propia norma que se pretende reglamentar. </w:t>
      </w:r>
    </w:p>
    <w:p w14:paraId="42E91481"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02C479C0" w14:textId="654FC519"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 lo concerniente a la fuerza jurídica del reglamento y la ley, la doctrina sostiene que ésta es la expresión de la soberanía del pueblo y su aplicación es incondicional por no estar ligada a norma alguna que no sea la constitución, en cambio el reglamento se encuentra subordinado a la ley, por lo que la aplicación del mismo no tiene el carácter de incondicional sino que</w:t>
      </w:r>
      <w:r w:rsidR="009E0446" w:rsidRPr="005475F3">
        <w:rPr>
          <w:rFonts w:ascii="Arial" w:eastAsia="Arial Unicode MS" w:hAnsi="Arial" w:cs="Arial"/>
          <w:sz w:val="24"/>
          <w:szCs w:val="24"/>
          <w:lang w:eastAsia="es-ES"/>
        </w:rPr>
        <w:t>,</w:t>
      </w:r>
      <w:r w:rsidRPr="005475F3">
        <w:rPr>
          <w:rFonts w:ascii="Arial" w:eastAsia="Arial Unicode MS" w:hAnsi="Arial" w:cs="Arial"/>
          <w:sz w:val="24"/>
          <w:szCs w:val="24"/>
          <w:lang w:eastAsia="es-ES"/>
        </w:rPr>
        <w:t xml:space="preserve"> por el contrario</w:t>
      </w:r>
      <w:r w:rsidR="009E0446" w:rsidRPr="005475F3">
        <w:rPr>
          <w:rFonts w:ascii="Arial" w:eastAsia="Arial Unicode MS" w:hAnsi="Arial" w:cs="Arial"/>
          <w:sz w:val="24"/>
          <w:szCs w:val="24"/>
          <w:lang w:eastAsia="es-ES"/>
        </w:rPr>
        <w:t>,</w:t>
      </w:r>
      <w:r w:rsidRPr="005475F3">
        <w:rPr>
          <w:rFonts w:ascii="Arial" w:eastAsia="Arial Unicode MS" w:hAnsi="Arial" w:cs="Arial"/>
          <w:sz w:val="24"/>
          <w:szCs w:val="24"/>
          <w:lang w:eastAsia="es-ES"/>
        </w:rPr>
        <w:t xml:space="preserve"> se encuentra limitado por la norma emitida con sujeción al proceso legislativo, de donde se sigue, que si bien tanto el reglamento como la ley producen situaciones de carácter general y abstracto, ésta es en esencia superior a las disposiciones del reglamento, dado que el mismo no puede modificar o derogar el orden creado por la ley, toda vez que la existencia de las disposiciones reglamentarias se encuentra condicionada a la ley y su finalidad consiste en desarrollar las disposiciones de ésta. </w:t>
      </w:r>
    </w:p>
    <w:p w14:paraId="467F68E8"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20E861EE"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Según ha sostenido el Poder Judicial de la Federación en numerosos precedentes, el reglamento tiene su origen en el artículo 89, fracción I, Constitucional, mismo que faculta al Presidente de la República para expedir normas reglamentarias de las leyes emanadas del Congreso de la Unión, que aunque desde el punto de vista material ambas normas son similares, aquellas se distinguen de estas básicamente, en que provienen de un órgano que al emitirlas no expresa la voluntad general, sino que está instituido para acatarla, de donde se sigue que los preceptos reglamentarios son normas subordinadas, lo que se traduce en que el ejercicio de la facultad reglamentaria se encuentra regido por el principio de subordinación jerárquica a la ley. </w:t>
      </w:r>
    </w:p>
    <w:p w14:paraId="0E01A32F"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6FDDECA2"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lastRenderedPageBreak/>
        <w:t xml:space="preserve">Por cuanto hace a la finalidad del reglamento, ésta es la de facilitar la aplicación de la ley, detallándola y operando como instrumento idóneo para llevar a efecto su contenido, en atención de que en el Poder Legislativo no se está en contacto directo con la realidad social del país por lo que resulta más lógico que se le encomiende al Poder Ejecutivo la elaboración de los reglamentos, ya que las dependencias cuentan con personal más especializado y que están en contacto con la realidad a la que se aplican las leyes emanadas del propio Congreso de la Unión. </w:t>
      </w:r>
    </w:p>
    <w:p w14:paraId="2FCBE349"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3BDB38AB"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Aunado a lo anterior, es de resaltarse que la finalidad del reglamento no se limita al ámbito administrativo, dado que la observancia de lodo reglamento corresponde a todo individuo que se coloque en el supuesto previsto por el mismo, el cual puede referirse a materias de distinta naturaleza, como puede ser por ejemplo, la mercantil, laboral, registral, electoral, etc. </w:t>
      </w:r>
    </w:p>
    <w:p w14:paraId="6419C718"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4BF7CECA"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Conforme a nuestro derecho, no sólo el presidente de la República emite reglamentos, sino que también pueden hacerlo en su ámbito de competencia los Gobernadores de las Entidades Federativas, así como el Jefe de Gobierno del Distrito Federal, los Ayuntamientos de los Municipios, así como las Secretarias de Estado o Departamentos Administrativos.</w:t>
      </w:r>
    </w:p>
    <w:p w14:paraId="7CC50ADF"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2E3F1801"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En cuanto a la vigencia de los reglamentos, por regla general si una ley es reformada, derogada o abrogada, el reglamento que la detalla, se verá afectado de la misma manera, en atención de que la existencia de éste, depende de aquella, incluso en el supuesto de que la ley no se hubiese reformado, derogado o abrogado expresamente, sin embargo, ello admite una excepción que es cuando en la nueva ley se establezca que los reglamentos de la ley abrogada continuarán vigentes “en lo que no se opongan a la nueva ley", en cuyo caso, tales disposiciones reglamentarias continúan siendo válidas, es decir, si el legislador recupera de manera transitoria la preceptiva reglamentaria de la anterior ley, hasta en tanto se expide el reglamento de la nueva, actúa dentro de sus facultades y esto no implica invasión de la esfera de atribuciones del ejecutivo, toda vez que en ese supuesto, el legislador no ejercita la facultad reglamentaria que es exclusiva del titular del ejecutivo en términos de lo dispuesto por el artículo 89, fracción I constitucional, dado que no existe el impedimento </w:t>
      </w:r>
      <w:r w:rsidRPr="005475F3">
        <w:rPr>
          <w:rFonts w:ascii="Arial" w:eastAsia="Arial Unicode MS" w:hAnsi="Arial" w:cs="Arial"/>
          <w:sz w:val="24"/>
          <w:szCs w:val="24"/>
          <w:lang w:eastAsia="es-ES"/>
        </w:rPr>
        <w:lastRenderedPageBreak/>
        <w:t xml:space="preserve">para que el legislador dentro de la ley establezca las reglas minuciosas y de detalle que hagan posible la aplicación de ésta. </w:t>
      </w:r>
    </w:p>
    <w:p w14:paraId="4588B61B"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28BEF82F"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Por regla general, los reglamentos expedidos por el Poder Ejecutivo tienen la finalidad de desarrollar y pormenorizar el contenido de una ley previamente expedida por el Congreso de la Unión, sin embargo, ello admite una excepción que constituye lo que la doctrina ha denominado "reglamentos autónomos", los cuales son aquellos que no son emitidos para desarrollar o ampliar el contenido de una ley, ni su validez está condicionada por norma alguna emitida por el Congreso de la Unión.</w:t>
      </w:r>
    </w:p>
    <w:p w14:paraId="4143FCC3"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6844AEF0"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Este tipo de reglamentos, que no está expresamente previsto en las leyes ni en la constitución, estaría constituido por aquellos dictados para regir una materia en la que precisamente no hay normas legales aplicables (de ahí justamente lo de autónomo).</w:t>
      </w:r>
      <w:r w:rsidRPr="005475F3">
        <w:rPr>
          <w:rStyle w:val="Refdenotaalpie"/>
          <w:rFonts w:ascii="Arial" w:eastAsia="Arial Unicode MS" w:hAnsi="Arial" w:cs="Arial"/>
          <w:sz w:val="24"/>
          <w:szCs w:val="24"/>
          <w:lang w:eastAsia="es-ES"/>
        </w:rPr>
        <w:footnoteReference w:id="44"/>
      </w:r>
      <w:r w:rsidRPr="005475F3">
        <w:rPr>
          <w:rFonts w:ascii="Arial" w:eastAsia="Arial Unicode MS" w:hAnsi="Arial" w:cs="Arial"/>
          <w:sz w:val="24"/>
          <w:szCs w:val="24"/>
          <w:lang w:eastAsia="es-ES"/>
        </w:rPr>
        <w:t xml:space="preserve"> </w:t>
      </w:r>
    </w:p>
    <w:p w14:paraId="2DF80ED2"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205D5BC4"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Atento a lo anterior, es menester traer a contexto los criterios adoptados por el Poder Judicial, en los que se aborda la aplicación de cuerpos normativos secundarios emanados de una Ley; por medio de los cuales se rigen circunstancias específicas emanadas de los cuerpos primarios; así como la vigencia, validez y límites de estos, tal como se aprecia a continuación: </w:t>
      </w:r>
    </w:p>
    <w:p w14:paraId="38964100"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77486BD2" w14:textId="77777777" w:rsidR="004246C0" w:rsidRPr="005475F3" w:rsidRDefault="004246C0" w:rsidP="004246C0">
      <w:pPr>
        <w:spacing w:after="0" w:line="240" w:lineRule="auto"/>
        <w:ind w:left="1134" w:right="1183"/>
        <w:jc w:val="both"/>
        <w:rPr>
          <w:rFonts w:ascii="Arial" w:eastAsia="Arial Unicode MS" w:hAnsi="Arial" w:cs="Arial"/>
          <w:lang w:eastAsia="es-ES"/>
        </w:rPr>
      </w:pPr>
      <w:r w:rsidRPr="005475F3">
        <w:rPr>
          <w:rFonts w:ascii="Arial" w:eastAsia="Arial Unicode MS" w:hAnsi="Arial" w:cs="Arial"/>
          <w:b/>
          <w:lang w:eastAsia="es-ES"/>
        </w:rPr>
        <w:t xml:space="preserve">REGLAMENTOS ADMINISTRATIVOS. SUS LIMITES. </w:t>
      </w:r>
      <w:r w:rsidRPr="005475F3">
        <w:rPr>
          <w:rFonts w:ascii="Arial" w:eastAsia="Arial Unicode MS" w:hAnsi="Arial" w:cs="Arial"/>
          <w:lang w:eastAsia="es-ES"/>
        </w:rPr>
        <w:t xml:space="preserve">Mediante el ejercicio de la facultad reglamentaria, el titular del Ejecutivo Federal puede, para mejor proveer en la esfera administrativa el cumplimiento de las leyes, dictar ordenamientos que faciliten a los destinatarios la observancia de las mismas, a través de disposiciones generales, imperativas y abstractas que detallen sus hipótesis y supuestos normativos de aplicación. Sin embargo, tal facultad (que no sólo se deduce de la fracción I del artículo 89 constitucional, sino que a la vez se confirma expresamente el contenido de la fracción VIII, inciso a), del artículo 107 de la propia Carta Suprema), por útil y necesaria que sea, debe realizarse única y exclusivamente dentro de la esfera de atribuciones propia del Poder Ejecutivo, esto es, la norma reglamentaria actúa por facultades explícitas o implícitas que se precisan en la ley, siendo únicamente esa zona donde pueden y deben expedirse reglamentos que provean a la exacta observancia de aquélla y que, por ello, compartan además su obligatoriedad. De ahí que, siendo competencia exclusiva de la </w:t>
      </w:r>
      <w:r w:rsidRPr="005475F3">
        <w:rPr>
          <w:rFonts w:ascii="Arial" w:eastAsia="Arial Unicode MS" w:hAnsi="Arial" w:cs="Arial"/>
          <w:lang w:eastAsia="es-ES"/>
        </w:rPr>
        <w:lastRenderedPageBreak/>
        <w:t>ley la determinación del qué, quién, dónde y cuándo de una situación jurídica general, hipotética y abstracta, al reglamento de ejecución competerá, por consecuencia, el cómo de esos mismos supuestos, por tal virtud, si el reglamento sólo encuentra operatividad en el renglón del cómo, sus disposiciones sólo podrán referirse a las otras preguntas (qué, quién, dónde y cuándo), siempre que éstas ya estén contestadas por la ley, es decir, el reglamento desenvuelve su obligatoriedad a partir de un principio definido por la ley y, por tanto, no puede ir más allá de ella, ni extenderla a supuestos distintos, ni mucho menos, contradecirla; luego entonces, la facultad reglamentaria no puede ser utilizada como instrumento para llenar lagunas de la ley, ni para reformarla o, tampoco, para remediar el olvido o la omisión. Por tal motivo, si el reglamento debe contraerse a indicar los medios para cumplir la ley, no está entonces permitido que a través de dicha facultad, una disposición de tal naturaleza otorgue mayores alcances o imponga diversas limitantes que la propia norma que busca reglamentar, por ejemplo, creando y obligando a los particulares a agotar un recurso administrativo, cuando la ley que reglamenta nada previene a ese respecto.</w:t>
      </w:r>
      <w:r w:rsidRPr="005475F3">
        <w:rPr>
          <w:rStyle w:val="Refdenotaalpie"/>
          <w:rFonts w:ascii="Arial" w:eastAsia="Arial Unicode MS" w:hAnsi="Arial" w:cs="Arial"/>
          <w:lang w:eastAsia="es-ES"/>
        </w:rPr>
        <w:footnoteReference w:id="45"/>
      </w:r>
    </w:p>
    <w:p w14:paraId="305D5ACA" w14:textId="77777777" w:rsidR="004246C0" w:rsidRPr="005475F3" w:rsidRDefault="004246C0" w:rsidP="004246C0">
      <w:pPr>
        <w:spacing w:after="0" w:line="240" w:lineRule="auto"/>
        <w:ind w:left="1134" w:right="1183"/>
        <w:jc w:val="both"/>
        <w:rPr>
          <w:rFonts w:ascii="Arial" w:eastAsia="Arial Unicode MS" w:hAnsi="Arial" w:cs="Arial"/>
          <w:lang w:eastAsia="es-ES"/>
        </w:rPr>
      </w:pPr>
    </w:p>
    <w:p w14:paraId="0870C8D5" w14:textId="77777777" w:rsidR="004246C0" w:rsidRPr="005475F3" w:rsidRDefault="004246C0" w:rsidP="004246C0">
      <w:pPr>
        <w:spacing w:after="0" w:line="240" w:lineRule="auto"/>
        <w:ind w:left="1134" w:right="1183"/>
        <w:jc w:val="both"/>
        <w:rPr>
          <w:rFonts w:ascii="Arial" w:eastAsia="Arial Unicode MS" w:hAnsi="Arial" w:cs="Arial"/>
          <w:lang w:eastAsia="es-ES"/>
        </w:rPr>
      </w:pPr>
    </w:p>
    <w:p w14:paraId="69D557DC" w14:textId="77777777" w:rsidR="004246C0" w:rsidRPr="005475F3" w:rsidRDefault="004246C0" w:rsidP="004246C0">
      <w:pPr>
        <w:spacing w:after="0" w:line="240" w:lineRule="auto"/>
        <w:ind w:left="1134" w:right="1183"/>
        <w:jc w:val="both"/>
        <w:rPr>
          <w:rFonts w:ascii="Arial" w:eastAsia="Arial Unicode MS" w:hAnsi="Arial" w:cs="Arial"/>
          <w:lang w:eastAsia="es-ES"/>
        </w:rPr>
      </w:pPr>
      <w:r w:rsidRPr="005475F3">
        <w:rPr>
          <w:rFonts w:ascii="Arial" w:eastAsia="Arial Unicode MS" w:hAnsi="Arial" w:cs="Arial"/>
          <w:b/>
          <w:lang w:eastAsia="es-ES"/>
        </w:rPr>
        <w:t xml:space="preserve">REGLAMENTOS, NO CABE SUPLENCIA DE LA QUEJA EN MATERIA DE. </w:t>
      </w:r>
      <w:r w:rsidRPr="005475F3">
        <w:rPr>
          <w:rFonts w:ascii="Arial" w:eastAsia="Arial Unicode MS" w:hAnsi="Arial" w:cs="Arial"/>
          <w:lang w:eastAsia="es-ES"/>
        </w:rPr>
        <w:t>Aun cuando una ley y un reglamento tienen de semejanza un carácter abstracto, impersonal, general y coercitivo, sin embargo, el órgano creador de tales ordenamientos es completamente diferente, puesto que la ley emana de un acto legislativo ejecutado por el Poder cuya facultad esencial radica en la expedición de leyes, mientras que el segundo tiene la distinción formal de ser expedido por el Ejecutivo en el ejercicio de una facultad reglamentaria establecida para la mayor eficacia en aplicación y cumplimiento de la ley, por lo que este último no tiene la autoridad formal de aquélla. Así pues, no se está en el caso de suplir la deficiencia de la queja establecida por el artículo 76 de la Ley de Amparo, ni es aplicable, por lo tanto, la tesis 212 del Apéndice al Tomo XCVII del Semanario Judicial de la Federación</w:t>
      </w:r>
      <w:r w:rsidRPr="005475F3">
        <w:rPr>
          <w:rStyle w:val="Refdenotaalpie"/>
          <w:rFonts w:ascii="Arial" w:eastAsia="Arial Unicode MS" w:hAnsi="Arial" w:cs="Arial"/>
          <w:lang w:eastAsia="es-ES"/>
        </w:rPr>
        <w:footnoteReference w:id="46"/>
      </w:r>
      <w:r w:rsidRPr="005475F3">
        <w:rPr>
          <w:rFonts w:ascii="Arial" w:eastAsia="Arial Unicode MS" w:hAnsi="Arial" w:cs="Arial"/>
          <w:lang w:eastAsia="es-ES"/>
        </w:rPr>
        <w:t>.</w:t>
      </w:r>
    </w:p>
    <w:p w14:paraId="389893E0" w14:textId="77777777" w:rsidR="004246C0" w:rsidRPr="005475F3" w:rsidRDefault="004246C0" w:rsidP="004246C0">
      <w:pPr>
        <w:spacing w:after="0" w:line="240" w:lineRule="auto"/>
        <w:ind w:left="1134" w:right="1183"/>
        <w:jc w:val="both"/>
        <w:rPr>
          <w:rFonts w:ascii="Arial" w:eastAsia="Arial Unicode MS" w:hAnsi="Arial" w:cs="Arial"/>
          <w:lang w:eastAsia="es-ES"/>
        </w:rPr>
      </w:pPr>
    </w:p>
    <w:p w14:paraId="506DC301" w14:textId="77777777" w:rsidR="004246C0" w:rsidRPr="005475F3" w:rsidRDefault="004246C0" w:rsidP="004246C0">
      <w:pPr>
        <w:spacing w:after="0" w:line="240" w:lineRule="auto"/>
        <w:ind w:left="1134" w:right="1183"/>
        <w:jc w:val="both"/>
        <w:rPr>
          <w:rFonts w:ascii="Arial" w:eastAsia="Arial Unicode MS" w:hAnsi="Arial" w:cs="Arial"/>
          <w:lang w:eastAsia="es-ES"/>
        </w:rPr>
      </w:pPr>
      <w:r w:rsidRPr="005475F3">
        <w:rPr>
          <w:rFonts w:ascii="Arial" w:eastAsia="Arial Unicode MS" w:hAnsi="Arial" w:cs="Arial"/>
          <w:b/>
          <w:lang w:eastAsia="es-ES"/>
        </w:rPr>
        <w:t xml:space="preserve">REGLAMENTOS. CESAN DE ESTAR VIGENTES CUANDO ES ABROGADA LA LEY EN QUE SE SUSTENTAN Y CUYOS PRECEPTOS PORMENORIZAN. </w:t>
      </w:r>
      <w:r w:rsidRPr="005475F3">
        <w:rPr>
          <w:rFonts w:ascii="Arial" w:eastAsia="Arial Unicode MS" w:hAnsi="Arial" w:cs="Arial"/>
          <w:lang w:eastAsia="es-ES"/>
        </w:rPr>
        <w:t xml:space="preserve">Según lo previene el artículo 9o. del Código Civil, la vigencia de una ley no sólo puede cesar en cuanto a una parte de sus disposiciones, si son contrarias a las normas de la nueva ley (derogación), sino también de manera total (abrogación). Ahora bien, el artículo 2o. transitorio de la Ley Federal del Trabajo promulgada el 23 de diciembre de 1969, declara explícitamente que "se abroga" la ley anterior, lo que significa que dejan de regir todos y cada uno de sus preceptos (aun aquellos que no pugnaran en nada con ninguna de las normas que contiene el nuevo ordenamiento, ni con el sistema de éste), y dicha situación trae asimismo aparejada la insubsistencia del Reglamento de Higiene del Trabajo que se </w:t>
      </w:r>
      <w:r w:rsidRPr="005475F3">
        <w:rPr>
          <w:rFonts w:ascii="Arial" w:eastAsia="Arial Unicode MS" w:hAnsi="Arial" w:cs="Arial"/>
          <w:lang w:eastAsia="es-ES"/>
        </w:rPr>
        <w:lastRenderedPageBreak/>
        <w:t>expidió sobre la base de la ley del 18 de agosto de 1931. De conformidad con lo que se concluye de las enseñanzas de los tratadistas Gabino Fraga y Felipe Tena Ramírez (y salvo casos excepcionales; por ejemplo, los "reglamentos autónomos", como lo son los denominados gubernativos y de policía), el reglamento supone siempre la preexistencia de una ley cuyas disposiciones desarrolla y pormenoriza. El concepto mismo del reglamento exige por necesidad, como requisito esencial e ineludible, la previa existencia de la ley a que aquél se refiere, y es, por tanto, lógicamente inadmisible pensar en un reglamento que desenvolviera los preceptos de una futura ley. El reglamento tiene su medida, su único fundamento y su sola justificación, en la respectiva ley, a cuyo espíritu y a cuya estructura debe apegarse estrictamente, dado que la única función de aquél consiste en determinar, de manera general y abstracta, los medios que han de emplearse para llevar a la práctica las prescripciones de la ley, desenvolviendo y detallando éstas. Así, se reitera que el reglamento debe apoyarse, específicamente, en una determinada ley, que se haya emitido con anterioridad, y que continúe en vigor cuando pretende aplicarse el propio reglamento. Por su parte, otro autor, Alberto Trueba Urbina, ha aclarado que "la abrogación de la Ley Federal del Trabajo de 18 de agosto de 1931 trae consigo, no sólo la derogación de todos sus preceptos y, disposiciones conexas, sino de los reglamentos expedidos en relación con la misma, como son los reglamentos de inspección del trabajo, de higiene del trabajo ... y otros más, que pierden su vigencia a partir del 1o. de mayo de 1970", razón por la cual "se deberán dictar los reglamentos que sean menester", referidos al nuevo ordenamiento legal. En estas condiciones, y puesto que el presidente de la República no ha expedido, con posterioridad al 1o. de mayo de 1970, ninguna disposición por la que decidiera mantener en vigor el Reglamento de Higiene del Trabajo a que se alude, cabe reiterar que es indebida la pretensión de aplicar, en perjuicio de la promovente, el mencionado reglamento.</w:t>
      </w:r>
      <w:r w:rsidRPr="005475F3">
        <w:rPr>
          <w:rStyle w:val="Refdenotaalpie"/>
          <w:rFonts w:ascii="Arial" w:eastAsia="Arial Unicode MS" w:hAnsi="Arial" w:cs="Arial"/>
          <w:lang w:eastAsia="es-ES"/>
        </w:rPr>
        <w:footnoteReference w:id="47"/>
      </w:r>
    </w:p>
    <w:p w14:paraId="1DDED3E8" w14:textId="77777777" w:rsidR="004246C0" w:rsidRPr="005475F3" w:rsidRDefault="004246C0" w:rsidP="004246C0">
      <w:pPr>
        <w:spacing w:after="0" w:line="240" w:lineRule="auto"/>
        <w:ind w:left="1134" w:right="1183"/>
        <w:jc w:val="both"/>
        <w:rPr>
          <w:rFonts w:ascii="Arial" w:eastAsia="Arial Unicode MS" w:hAnsi="Arial" w:cs="Arial"/>
          <w:b/>
          <w:lang w:eastAsia="es-ES"/>
        </w:rPr>
      </w:pPr>
    </w:p>
    <w:p w14:paraId="08743D42" w14:textId="77777777" w:rsidR="004246C0" w:rsidRPr="005475F3" w:rsidRDefault="004246C0" w:rsidP="004246C0">
      <w:pPr>
        <w:spacing w:after="0" w:line="240" w:lineRule="auto"/>
        <w:ind w:left="1134" w:right="1183"/>
        <w:jc w:val="both"/>
        <w:rPr>
          <w:rFonts w:ascii="Arial" w:eastAsia="Arial Unicode MS" w:hAnsi="Arial" w:cs="Arial"/>
          <w:lang w:eastAsia="es-ES"/>
        </w:rPr>
      </w:pPr>
      <w:r w:rsidRPr="005475F3">
        <w:rPr>
          <w:rFonts w:ascii="Arial" w:eastAsia="Arial Unicode MS" w:hAnsi="Arial" w:cs="Arial"/>
          <w:b/>
          <w:lang w:eastAsia="es-ES"/>
        </w:rPr>
        <w:t xml:space="preserve">REGLAMENTOS. CASO EN QUE SIGUEN VIGENTES A PESAR DE QUE SE ABROGUE LA LEY EN QUE SE SUSTENTAN. </w:t>
      </w:r>
      <w:r w:rsidRPr="005475F3">
        <w:rPr>
          <w:rFonts w:ascii="Arial" w:eastAsia="Arial Unicode MS" w:hAnsi="Arial" w:cs="Arial"/>
          <w:lang w:eastAsia="es-ES"/>
        </w:rPr>
        <w:t>Aun cuando es válido concluir que, por regla general, si una ley es reformada, derogada o abrogada, el reglamento que la detalle, se verá afectado de la misma manera, incluso en el supuesto de que no se hubiese reformado, derogado o abrogado expresamente; sin embargo, cuando en la nueva ley se establezca que los reglamentos de la ley abrogada continuarán vigentes "en lo que no se opongan a la nueva ley", tales disposiciones son válidas conforme con el principio que reza que quien puede lo más puede lo menos, ya que si el legislador está facultado para poner en vigencia nuevas leyes, resultaría incongruente que no pudiera mantener la de los reglamentos.</w:t>
      </w:r>
      <w:r w:rsidRPr="005475F3">
        <w:rPr>
          <w:rStyle w:val="Refdenotaalpie"/>
          <w:rFonts w:ascii="Arial" w:eastAsia="Arial Unicode MS" w:hAnsi="Arial" w:cs="Arial"/>
          <w:lang w:eastAsia="es-ES"/>
        </w:rPr>
        <w:footnoteReference w:id="48"/>
      </w:r>
    </w:p>
    <w:p w14:paraId="6E5EB583" w14:textId="77777777" w:rsidR="004246C0" w:rsidRPr="005475F3" w:rsidRDefault="004246C0" w:rsidP="004246C0">
      <w:pPr>
        <w:spacing w:after="0" w:line="240" w:lineRule="auto"/>
        <w:ind w:left="1134" w:right="1183"/>
        <w:jc w:val="both"/>
        <w:rPr>
          <w:rFonts w:ascii="Arial" w:eastAsia="Arial Unicode MS" w:hAnsi="Arial" w:cs="Arial"/>
          <w:lang w:eastAsia="es-ES"/>
        </w:rPr>
      </w:pPr>
    </w:p>
    <w:p w14:paraId="426646B2" w14:textId="77777777" w:rsidR="004246C0" w:rsidRPr="005475F3" w:rsidRDefault="004246C0" w:rsidP="004246C0">
      <w:pPr>
        <w:spacing w:after="0" w:line="240" w:lineRule="auto"/>
        <w:ind w:left="1134" w:right="1183"/>
        <w:jc w:val="both"/>
        <w:rPr>
          <w:rFonts w:ascii="Arial" w:eastAsia="Arial Unicode MS" w:hAnsi="Arial" w:cs="Arial"/>
          <w:b/>
          <w:szCs w:val="24"/>
          <w:lang w:eastAsia="es-ES"/>
        </w:rPr>
      </w:pPr>
      <w:r w:rsidRPr="005475F3">
        <w:rPr>
          <w:rFonts w:ascii="Arial" w:eastAsia="Arial Unicode MS" w:hAnsi="Arial" w:cs="Arial"/>
          <w:b/>
          <w:szCs w:val="24"/>
          <w:lang w:eastAsia="es-ES"/>
        </w:rPr>
        <w:lastRenderedPageBreak/>
        <w:t xml:space="preserve">REGLAMENTOS. EL LEGISLADOR ESTA FACULTADO PARA MANTENER TRANSITORIAMENTE SU VIGENCIA, AUN CUANDO LA LEY QUE DETALLABAN HUBIESE SIDO DEROGADA O ABROGADA. </w:t>
      </w:r>
    </w:p>
    <w:p w14:paraId="68B2E7EA" w14:textId="77777777" w:rsidR="004246C0" w:rsidRPr="005475F3" w:rsidRDefault="004246C0" w:rsidP="004246C0">
      <w:pPr>
        <w:spacing w:after="0" w:line="240" w:lineRule="auto"/>
        <w:ind w:left="1134" w:right="1183"/>
        <w:jc w:val="both"/>
        <w:rPr>
          <w:rFonts w:ascii="Arial" w:eastAsia="Arial Unicode MS" w:hAnsi="Arial" w:cs="Arial"/>
          <w:szCs w:val="24"/>
          <w:lang w:eastAsia="es-ES"/>
        </w:rPr>
      </w:pPr>
      <w:r w:rsidRPr="005475F3">
        <w:rPr>
          <w:rFonts w:ascii="Arial" w:eastAsia="Arial Unicode MS" w:hAnsi="Arial" w:cs="Arial"/>
          <w:b/>
          <w:szCs w:val="24"/>
          <w:lang w:eastAsia="es-ES"/>
        </w:rPr>
        <w:t>Cuando el legislador recupera de manera transitoria la preceptiva reglamentaria de la anterior ley</w:t>
      </w:r>
      <w:r w:rsidRPr="005475F3">
        <w:rPr>
          <w:rFonts w:ascii="Arial" w:eastAsia="Arial Unicode MS" w:hAnsi="Arial" w:cs="Arial"/>
          <w:szCs w:val="24"/>
          <w:lang w:eastAsia="es-ES"/>
        </w:rPr>
        <w:t xml:space="preserve">, </w:t>
      </w:r>
      <w:r w:rsidRPr="005475F3">
        <w:rPr>
          <w:rFonts w:ascii="Arial" w:eastAsia="Arial Unicode MS" w:hAnsi="Arial" w:cs="Arial"/>
          <w:b/>
          <w:szCs w:val="24"/>
          <w:lang w:eastAsia="es-ES"/>
        </w:rPr>
        <w:t>hasta en tanto se expide el reglamento de la nueva</w:t>
      </w:r>
      <w:r w:rsidRPr="005475F3">
        <w:rPr>
          <w:rFonts w:ascii="Arial" w:eastAsia="Arial Unicode MS" w:hAnsi="Arial" w:cs="Arial"/>
          <w:szCs w:val="24"/>
          <w:lang w:eastAsia="es-ES"/>
        </w:rPr>
        <w:t xml:space="preserve">, actúa dentro de sus facultades y no invade la esfera de atribuciones del Ejecutivo, </w:t>
      </w:r>
      <w:r w:rsidRPr="005475F3">
        <w:rPr>
          <w:rFonts w:ascii="Arial" w:eastAsia="Arial Unicode MS" w:hAnsi="Arial" w:cs="Arial"/>
          <w:szCs w:val="24"/>
          <w:u w:val="single"/>
          <w:lang w:eastAsia="es-ES"/>
        </w:rPr>
        <w:t>toda vez que en ese supuesto</w:t>
      </w:r>
      <w:r w:rsidRPr="005475F3">
        <w:rPr>
          <w:rFonts w:ascii="Arial" w:eastAsia="Arial Unicode MS" w:hAnsi="Arial" w:cs="Arial"/>
          <w:szCs w:val="24"/>
          <w:lang w:eastAsia="es-ES"/>
        </w:rPr>
        <w:t xml:space="preserve">, el legislador no ejercita la facultad reglamentaria que es exclusiva del titular del Ejecutivo en términos de lo dispuesto por el artículo 89, fracción I constitucional, sino que </w:t>
      </w:r>
      <w:r w:rsidRPr="005475F3">
        <w:rPr>
          <w:rFonts w:ascii="Arial" w:eastAsia="Arial Unicode MS" w:hAnsi="Arial" w:cs="Arial"/>
          <w:b/>
          <w:szCs w:val="24"/>
          <w:lang w:eastAsia="es-ES"/>
        </w:rPr>
        <w:t>está legislando con el carácter provisional del artículo transitorio</w:t>
      </w:r>
      <w:r w:rsidRPr="005475F3">
        <w:rPr>
          <w:rFonts w:ascii="Arial" w:eastAsia="Arial Unicode MS" w:hAnsi="Arial" w:cs="Arial"/>
          <w:szCs w:val="24"/>
          <w:lang w:eastAsia="es-ES"/>
        </w:rPr>
        <w:t xml:space="preserve">, en el entendido de que </w:t>
      </w:r>
      <w:r w:rsidRPr="005475F3">
        <w:rPr>
          <w:rFonts w:ascii="Arial" w:eastAsia="Arial Unicode MS" w:hAnsi="Arial" w:cs="Arial"/>
          <w:b/>
          <w:szCs w:val="24"/>
          <w:lang w:eastAsia="es-ES"/>
        </w:rPr>
        <w:t>no existe el impedimento para que el legislador, dentro de la ley, establezca las reglas minuciosas y de detalle que caracterizan a los reglamentos, y que hacen posible la aplicación de aquélla.</w:t>
      </w:r>
      <w:r w:rsidRPr="005475F3">
        <w:rPr>
          <w:rStyle w:val="Refdenotaalpie"/>
          <w:rFonts w:ascii="Arial" w:eastAsia="Arial Unicode MS" w:hAnsi="Arial" w:cs="Arial"/>
          <w:szCs w:val="24"/>
          <w:lang w:eastAsia="es-ES"/>
        </w:rPr>
        <w:footnoteReference w:id="49"/>
      </w:r>
    </w:p>
    <w:p w14:paraId="3277E043" w14:textId="77777777" w:rsidR="004246C0" w:rsidRPr="005475F3" w:rsidRDefault="004246C0" w:rsidP="004246C0">
      <w:pPr>
        <w:spacing w:after="0" w:line="240" w:lineRule="auto"/>
        <w:ind w:left="1134" w:right="1183"/>
        <w:jc w:val="right"/>
        <w:rPr>
          <w:rFonts w:ascii="Arial" w:eastAsia="Arial Unicode MS" w:hAnsi="Arial" w:cs="Arial"/>
          <w:b/>
          <w:szCs w:val="24"/>
          <w:lang w:eastAsia="es-ES"/>
        </w:rPr>
      </w:pPr>
      <w:r w:rsidRPr="005475F3">
        <w:rPr>
          <w:rFonts w:ascii="Arial" w:eastAsia="Arial Unicode MS" w:hAnsi="Arial" w:cs="Arial"/>
          <w:b/>
          <w:szCs w:val="24"/>
          <w:lang w:eastAsia="es-ES"/>
        </w:rPr>
        <w:t>[Énfasis añadido]</w:t>
      </w:r>
    </w:p>
    <w:p w14:paraId="3BE34587" w14:textId="77777777" w:rsidR="004246C0" w:rsidRPr="005475F3" w:rsidRDefault="004246C0" w:rsidP="004246C0">
      <w:pPr>
        <w:spacing w:after="0" w:line="240" w:lineRule="auto"/>
        <w:ind w:left="1134" w:right="1183"/>
        <w:jc w:val="right"/>
        <w:rPr>
          <w:rFonts w:ascii="Arial" w:eastAsia="Arial Unicode MS" w:hAnsi="Arial" w:cs="Arial"/>
          <w:b/>
          <w:szCs w:val="24"/>
          <w:lang w:eastAsia="es-ES"/>
        </w:rPr>
      </w:pPr>
    </w:p>
    <w:p w14:paraId="18EF280F" w14:textId="77777777" w:rsidR="004246C0" w:rsidRPr="005475F3" w:rsidRDefault="004246C0" w:rsidP="004246C0">
      <w:pPr>
        <w:spacing w:after="0" w:line="240" w:lineRule="auto"/>
        <w:ind w:left="1134" w:right="1183"/>
        <w:jc w:val="right"/>
        <w:rPr>
          <w:rFonts w:ascii="Arial" w:eastAsia="Arial Unicode MS" w:hAnsi="Arial" w:cs="Arial"/>
          <w:szCs w:val="24"/>
          <w:lang w:eastAsia="es-ES"/>
        </w:rPr>
      </w:pPr>
    </w:p>
    <w:p w14:paraId="29E07D06" w14:textId="77777777" w:rsidR="004246C0" w:rsidRPr="005475F3" w:rsidRDefault="004246C0" w:rsidP="004246C0">
      <w:pPr>
        <w:spacing w:after="0" w:line="240" w:lineRule="auto"/>
        <w:ind w:left="1134" w:right="1183"/>
        <w:jc w:val="both"/>
        <w:rPr>
          <w:rFonts w:ascii="Arial" w:eastAsia="Arial Unicode MS" w:hAnsi="Arial" w:cs="Arial"/>
          <w:szCs w:val="24"/>
          <w:lang w:eastAsia="es-ES"/>
        </w:rPr>
      </w:pPr>
      <w:r w:rsidRPr="005475F3">
        <w:rPr>
          <w:rFonts w:ascii="Arial" w:eastAsia="Arial Unicode MS" w:hAnsi="Arial" w:cs="Arial"/>
          <w:b/>
          <w:szCs w:val="24"/>
          <w:lang w:eastAsia="es-ES"/>
        </w:rPr>
        <w:t>REGLAMENTOS, VALIDEZ Y VIGENCIA DE LOS.</w:t>
      </w:r>
      <w:r w:rsidRPr="005475F3">
        <w:rPr>
          <w:rFonts w:ascii="Arial" w:eastAsia="Arial Unicode MS" w:hAnsi="Arial" w:cs="Arial"/>
          <w:szCs w:val="24"/>
          <w:lang w:eastAsia="es-ES"/>
        </w:rPr>
        <w:t xml:space="preserve"> La facultad reglamentaria del presidente de la República se ha desprendido tradicionalmente de la fracción I del artículo 89 de la Constitución Federal, que lo faculta para proveer en la esfera administrativa a la observancia de las leyes. Ahora bien, de esto se desprende, a su vez, que esa facultad no le es otorgada por el legislador ordinario, pero también que no puede expedirse un reglamento sin que se refiera a una ley, y se funde precisamente en ella para proveer en forma general y abstracta en lo necesario a la aplicación de dicha ley a los casos concretos que surjan. O sea, que sin ley no puede haber reglamentos, en principio, excepto en aquellos casos en que la propia Constitución Federal autoriza al presidente a usar en forma autónoma su facultad reglamentaria, como lo es, por ejemplo, el caso de los reglamentos gubernativos y de policía a que se refiere el artículo 21 constitucional. Pero fuera de esos casos de excepción, el estimar que el presidente está facultado para dictar disposiciones reglamentarias generales, con características materiales de leyes, aun cuando estos reglamentos no estén precisamente apoyados o dirigidos a reglamentar precisamente una ley que lo sea también en sentido formal, es decir, emanada de Congreso, equivaldría dar facultades legislativas al presidente de la República, en contravención a lo dispuesto por los artículos 49, 73 y relativos y de la mencionada Constitución. Así pues, un reglamento sólo puede tener validez legal cuando está dirigido a proveer a la aplicación de una ley concreta, a cuyos mandamientos deberá ceñirse, por lo demás, sin poderlo suprimir, modificar ni ampliar, en su sustancia. Y, en consecuencia al ser abrogada la ley en que se apoya la validez de un reglamento, éste queda también automáticamente sin materia y, por ende, sin vigencia, pues no podría subsistir un reglamento al abrogarse la ley reglamentada ya que ese reglamento vendría a implicar una facultad legislativa autónoma del presidente de la República, que la Constitución no le da. Por </w:t>
      </w:r>
      <w:r w:rsidRPr="005475F3">
        <w:rPr>
          <w:rFonts w:ascii="Arial" w:eastAsia="Arial Unicode MS" w:hAnsi="Arial" w:cs="Arial"/>
          <w:szCs w:val="24"/>
          <w:lang w:eastAsia="es-ES"/>
        </w:rPr>
        <w:lastRenderedPageBreak/>
        <w:t>lo demás, si una ley es abrogada, quedan sin vigencia sus reglamentos. Y si se dicta una nueva ley, que es la que abrogó a la anterior, el presidente de la República deberá expedir un nuevo reglamento adecuado a la nueva ley o, si estima que subsiste parcialmente la materia legislativa, por contener la nueva ley disposiciones que en parte resulten iguales a las de la ley anterior abrogada, deberá decretarse en nuevo acto reglamentario a la vigencia del reglamento anterior, en lo que no contradiga a la nueva ley. Por otra parte, esto podría hacerlo el mismo Poder Legislativo, ya que si puede poner en vigencia las leyes, bien puede ordenar que se mantengan vivos los reglamentos anteriores en cuanto no contradigan a la nueva ley (y de hecho, así lo hizo en el artículo 3o. transitorio de la Ley de Seguro Social de 23 de febrero de 1973, que sustituyó a la anterior). Y la conclusión anterior es obligada cuando se trata de imponer cargas a los gobernados, con bases en un reglamento referente a una ley derogada, y no sólo de regular actos de trámite o de procedimiento, ya que éstos de cualquier manera habría de realizarlos, a menos que la ley deje su propia vigencia sujeta a la expedición de nuevos reglamentos. De lo contrario, si se aceptara que se impusieran a los gobernados cargas con bases en reglamentos expedidos para leyes que ya fueron abrogadas, aun cuando en la nueva ley se contengan las disposiciones en partes iguales o semejantes, se estaría violando la seguridad jurídica de los gobernados, y no podría decirse que los actos de aplicación del viejo reglamento, al imponerles cargas o causarle molestias en su persona, posesiones o patrimonio, estuviesen clara y manifiestamente fundados en disposiciones legales reglamentarias vigentes y aplicables, con lo cual se violarían las garantías de debido proceso legal y de fundamentación y motivación, en su aspecto material, que consagran los artículos 14 y 16 constitucionales.</w:t>
      </w:r>
      <w:r w:rsidRPr="005475F3">
        <w:rPr>
          <w:rStyle w:val="Refdenotaalpie"/>
          <w:rFonts w:ascii="Arial" w:eastAsia="Arial Unicode MS" w:hAnsi="Arial" w:cs="Arial"/>
          <w:szCs w:val="24"/>
          <w:lang w:eastAsia="es-ES"/>
        </w:rPr>
        <w:footnoteReference w:id="50"/>
      </w:r>
    </w:p>
    <w:p w14:paraId="24292427" w14:textId="77777777" w:rsidR="004246C0" w:rsidRPr="005475F3" w:rsidRDefault="004246C0" w:rsidP="004246C0">
      <w:pPr>
        <w:spacing w:after="0" w:line="240" w:lineRule="auto"/>
        <w:ind w:left="1134" w:right="1183"/>
        <w:jc w:val="both"/>
        <w:rPr>
          <w:rFonts w:ascii="Arial" w:eastAsia="Arial Unicode MS" w:hAnsi="Arial" w:cs="Arial"/>
          <w:szCs w:val="24"/>
          <w:lang w:eastAsia="es-ES"/>
        </w:rPr>
      </w:pPr>
    </w:p>
    <w:p w14:paraId="595C9EE5"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Precisado lo anterior, es de resaltar que los Legisladores, al expedir normas o leyes, podrán disponer en los artículos de Transición (Transitorios), que las normas secundarias (aquellas que emanan de la anterior) podrán continuar con vigencia, esto es, que pueden ser ejercibles en tiempo y espacio; lo cual, en un sentido negativo, conduce a que </w:t>
      </w:r>
      <w:r w:rsidRPr="005475F3">
        <w:rPr>
          <w:rFonts w:ascii="Arial" w:eastAsia="Arial Unicode MS" w:hAnsi="Arial" w:cs="Arial"/>
          <w:sz w:val="24"/>
          <w:szCs w:val="24"/>
          <w:u w:val="single"/>
          <w:lang w:eastAsia="es-ES"/>
        </w:rPr>
        <w:t>la ausencia de disposición expresa de su vigencia transitoria</w:t>
      </w:r>
      <w:r w:rsidRPr="005475F3">
        <w:rPr>
          <w:rFonts w:ascii="Arial" w:eastAsia="Arial Unicode MS" w:hAnsi="Arial" w:cs="Arial"/>
          <w:sz w:val="24"/>
          <w:szCs w:val="24"/>
          <w:lang w:eastAsia="es-ES"/>
        </w:rPr>
        <w:t xml:space="preserve"> (hasta en tanto se emiten los cuerpos normativos por parte de las autoridades competentes), </w:t>
      </w:r>
      <w:r w:rsidRPr="005475F3">
        <w:rPr>
          <w:rFonts w:ascii="Arial" w:eastAsia="Arial Unicode MS" w:hAnsi="Arial" w:cs="Arial"/>
          <w:b/>
          <w:sz w:val="24"/>
          <w:szCs w:val="24"/>
          <w:lang w:eastAsia="es-ES"/>
        </w:rPr>
        <w:t>resulta en la abrogación de éstas Leyes secundarias</w:t>
      </w:r>
      <w:r w:rsidRPr="005475F3">
        <w:rPr>
          <w:rFonts w:ascii="Arial" w:eastAsia="Arial Unicode MS" w:hAnsi="Arial" w:cs="Arial"/>
          <w:sz w:val="24"/>
          <w:szCs w:val="24"/>
          <w:lang w:eastAsia="es-ES"/>
        </w:rPr>
        <w:t>.</w:t>
      </w:r>
    </w:p>
    <w:p w14:paraId="51488FE8"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67C59384"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No obstante lo anterior, la Constitución Política de los Estados Unidos Mexicanos, a través del párrafo tercero</w:t>
      </w:r>
      <w:r w:rsidRPr="005475F3">
        <w:rPr>
          <w:rStyle w:val="Refdenotaalpie"/>
          <w:rFonts w:ascii="Arial" w:eastAsia="Arial Unicode MS" w:hAnsi="Arial" w:cs="Arial"/>
          <w:sz w:val="24"/>
          <w:szCs w:val="24"/>
          <w:lang w:eastAsia="es-ES"/>
        </w:rPr>
        <w:footnoteReference w:id="51"/>
      </w:r>
      <w:r w:rsidRPr="005475F3">
        <w:rPr>
          <w:rFonts w:ascii="Arial" w:eastAsia="Arial Unicode MS" w:hAnsi="Arial" w:cs="Arial"/>
          <w:sz w:val="24"/>
          <w:szCs w:val="24"/>
          <w:lang w:eastAsia="es-ES"/>
        </w:rPr>
        <w:t xml:space="preserve"> de su artículo 1°, establece que todas </w:t>
      </w:r>
      <w:r w:rsidRPr="005475F3">
        <w:rPr>
          <w:rFonts w:ascii="Arial" w:eastAsia="Arial Unicode MS" w:hAnsi="Arial" w:cs="Arial"/>
          <w:sz w:val="24"/>
          <w:szCs w:val="24"/>
          <w:lang w:eastAsia="es-ES"/>
        </w:rPr>
        <w:lastRenderedPageBreak/>
        <w:t xml:space="preserve">las Autoridades en el Estado Mexicano, dentro de su ámbito de competencias, con la finalidad de proteger los derechos humanos, deben atender entre otros principios, al de progresividad; mismo que implica el progreso gradual para lograr su plena protección y que se encuentra en estrecha vinculación con la </w:t>
      </w:r>
      <w:r w:rsidRPr="005475F3">
        <w:rPr>
          <w:rFonts w:ascii="Arial" w:eastAsia="Arial Unicode MS" w:hAnsi="Arial" w:cs="Arial"/>
          <w:i/>
          <w:sz w:val="24"/>
          <w:szCs w:val="24"/>
          <w:lang w:eastAsia="es-ES"/>
        </w:rPr>
        <w:t xml:space="preserve">“no regresividad” </w:t>
      </w:r>
      <w:r w:rsidRPr="005475F3">
        <w:rPr>
          <w:rFonts w:ascii="Arial" w:eastAsia="Arial Unicode MS" w:hAnsi="Arial" w:cs="Arial"/>
          <w:sz w:val="24"/>
          <w:szCs w:val="24"/>
          <w:lang w:eastAsia="es-ES"/>
        </w:rPr>
        <w:t>en la protección y garantía de los derechos humanos, por la cual, las Autoridades poseen la prohibición de adoptar medidas regresivas en la protección de los derechos humanos (interpretación en sentido negativo del párrafo tercero del artículo 1° Constitucional).</w:t>
      </w:r>
    </w:p>
    <w:p w14:paraId="21B91FCC"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56059DB7" w14:textId="0CD79114"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Principio el anterior que no es absoluto, pues encuentra excepciones que se justifican conforme a las circunstancias de hecho que derivaron en la regresión en específico, debiendo acreditar en sus extremos la aplicación de los máximos recursos sin que pudiera satisfacerse a plenitud la tutela del derecho humano; ello sin que, con el comportamiento (activo o pasivo) de las autoridades legislativas y administrativas, se encuentren en posibilidad de causar regresión alguna en la tutela de los derechos humanos</w:t>
      </w:r>
      <w:r w:rsidRPr="005475F3">
        <w:rPr>
          <w:rStyle w:val="Refdenotaalpie"/>
          <w:rFonts w:ascii="Arial" w:eastAsia="Arial Unicode MS" w:hAnsi="Arial" w:cs="Arial"/>
          <w:sz w:val="24"/>
          <w:szCs w:val="24"/>
          <w:lang w:eastAsia="es-ES"/>
        </w:rPr>
        <w:footnoteReference w:id="52"/>
      </w:r>
      <w:r w:rsidRPr="005475F3">
        <w:rPr>
          <w:rFonts w:ascii="Arial" w:eastAsia="Arial Unicode MS" w:hAnsi="Arial" w:cs="Arial"/>
          <w:sz w:val="24"/>
          <w:szCs w:val="24"/>
          <w:lang w:eastAsia="es-ES"/>
        </w:rPr>
        <w:t xml:space="preserve">. </w:t>
      </w:r>
    </w:p>
    <w:p w14:paraId="44E557F3" w14:textId="77777777" w:rsidR="007A18D6" w:rsidRPr="005475F3" w:rsidRDefault="007A18D6" w:rsidP="004246C0">
      <w:pPr>
        <w:spacing w:after="0" w:line="360" w:lineRule="auto"/>
        <w:ind w:firstLine="708"/>
        <w:jc w:val="both"/>
        <w:rPr>
          <w:rFonts w:ascii="Arial" w:eastAsia="Arial Unicode MS" w:hAnsi="Arial" w:cs="Arial"/>
          <w:sz w:val="24"/>
          <w:szCs w:val="24"/>
          <w:lang w:eastAsia="es-ES"/>
        </w:rPr>
      </w:pPr>
    </w:p>
    <w:p w14:paraId="30804FB2"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En las relatadas condiciones, es de observar que, si bien la Ley General de Transparencia y Acceso a la Información Pública (publicada el veinte de marzo de dos mil veinticinco en el Diario Oficial de la Federación), contempla la aplicación obligatoria de los Lineamientos específicos emitidos por el Sistema </w:t>
      </w:r>
      <w:r w:rsidRPr="005475F3">
        <w:rPr>
          <w:rFonts w:ascii="Arial" w:eastAsia="Arial Unicode MS" w:hAnsi="Arial" w:cs="Arial"/>
          <w:sz w:val="24"/>
          <w:szCs w:val="24"/>
          <w:lang w:eastAsia="es-ES"/>
        </w:rPr>
        <w:lastRenderedPageBreak/>
        <w:t>Nacional de Acceso a la Información y que por conducto de sus Transitorios, quedó cesada de validez la Ley General de Transparencia y Acceso a la Información Pública publicada el cuatro de mayo de dos mil quince; y, por ende, de sus normas secundarias.</w:t>
      </w:r>
    </w:p>
    <w:p w14:paraId="457E2DD0"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14B06FB7" w14:textId="77777777" w:rsidR="004246C0" w:rsidRPr="005475F3" w:rsidRDefault="004246C0" w:rsidP="004246C0">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Lo cierto es que, a la fecha del presente, el Sistema Nacional de Acceso a la Información, ha sido omiso en expedir los Lineamientos en materia de clasificación de la información reservada y confidencial y, para la elaboración de versiones públicas; lo cual, genera un retroceso en la adecuada tutela del Derecho Humano de Acceso a la Información Pública.</w:t>
      </w:r>
    </w:p>
    <w:p w14:paraId="4FBA6937"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3D63437D" w14:textId="712A9B71"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Esto es así pues, como se precisó con antelación, la Clasificación de la Información, resulta en la excepción efectiva en el ejercicio del derecho de </w:t>
      </w:r>
      <w:r w:rsidR="001527F4" w:rsidRPr="005475F3">
        <w:rPr>
          <w:rFonts w:ascii="Arial" w:eastAsia="Arial Unicode MS" w:hAnsi="Arial" w:cs="Arial"/>
          <w:sz w:val="24"/>
          <w:szCs w:val="24"/>
          <w:lang w:eastAsia="es-ES"/>
        </w:rPr>
        <w:t>acceso a la información pública; lo cual</w:t>
      </w:r>
      <w:r w:rsidRPr="005475F3">
        <w:rPr>
          <w:rFonts w:ascii="Arial" w:eastAsia="Arial Unicode MS" w:hAnsi="Arial" w:cs="Arial"/>
          <w:sz w:val="24"/>
          <w:szCs w:val="24"/>
          <w:lang w:eastAsia="es-ES"/>
        </w:rPr>
        <w:t xml:space="preserve"> obliga a las autoridades a atender todos aquellos elementos que produzcan la menor restricción y que, además, brinden una tutela efectiva y más amplia.</w:t>
      </w:r>
    </w:p>
    <w:p w14:paraId="2420EA74"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1DCF2807"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En ese sentido, los Lineamientos Generales en Materia de Clasificación y Desclasificación de la Información, así como para la Elaboración de Versiones Públicas, publicados en el Diario Oficial de la Federación el quince de abril de dos mil dieciséis, establecían los criterios que los Sujetos Obligados debían atender, al momento de llevar a cabo la excepción al derecho de acceso a la información; de manera que ahondaba en los extremos que se debían satisfacer, tanto en la formalidad, como en la materialidad de la clasificación de la información. </w:t>
      </w:r>
    </w:p>
    <w:p w14:paraId="2F3F5DC0"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2CFC53FC"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 este orden de ideas que se tiene establecido, se precisa que los Lineamientos Generales en Materia de Clasificación y Desclasificación de la Información, así como para la Elaboración de Versiones Públicas, a través de su numeral Trigésimo Tercero</w:t>
      </w:r>
      <w:r w:rsidRPr="005475F3">
        <w:rPr>
          <w:rStyle w:val="Refdenotaalpie"/>
          <w:rFonts w:ascii="Arial" w:eastAsia="Arial Unicode MS" w:hAnsi="Arial" w:cs="Arial"/>
          <w:sz w:val="24"/>
          <w:szCs w:val="24"/>
          <w:lang w:eastAsia="es-ES"/>
        </w:rPr>
        <w:footnoteReference w:id="53"/>
      </w:r>
      <w:r w:rsidRPr="005475F3">
        <w:rPr>
          <w:rFonts w:ascii="Arial" w:eastAsia="Arial Unicode MS" w:hAnsi="Arial" w:cs="Arial"/>
          <w:sz w:val="24"/>
          <w:szCs w:val="24"/>
          <w:lang w:eastAsia="es-ES"/>
        </w:rPr>
        <w:t>, contemplaban los extremos específicos que los Sujetos Obligados debían atender, para efecto de aplicar la prueba de daño, mismos que resultan en:</w:t>
      </w:r>
    </w:p>
    <w:p w14:paraId="672EBE17" w14:textId="77777777" w:rsidR="004246C0" w:rsidRPr="005475F3" w:rsidRDefault="004246C0" w:rsidP="004246C0">
      <w:pPr>
        <w:spacing w:after="0" w:line="360" w:lineRule="auto"/>
        <w:ind w:firstLine="708"/>
        <w:jc w:val="both"/>
        <w:rPr>
          <w:rFonts w:ascii="Arial" w:eastAsia="Arial Unicode MS" w:hAnsi="Arial" w:cs="Arial"/>
          <w:sz w:val="24"/>
          <w:szCs w:val="24"/>
          <w:lang w:eastAsia="es-ES"/>
        </w:rPr>
      </w:pPr>
    </w:p>
    <w:p w14:paraId="073F6681" w14:textId="77777777" w:rsidR="004246C0" w:rsidRPr="005475F3" w:rsidRDefault="004246C0" w:rsidP="004246C0">
      <w:pPr>
        <w:pStyle w:val="Prrafodelista"/>
        <w:numPr>
          <w:ilvl w:val="0"/>
          <w:numId w:val="12"/>
        </w:numPr>
        <w:spacing w:after="0" w:line="360" w:lineRule="auto"/>
        <w:ind w:left="1066" w:hanging="357"/>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Fundamentar la clasificación al citar la fracción y la hipótesis de la causal aplicable del Artículo 113, la Ley General (ahora abrogada).</w:t>
      </w:r>
    </w:p>
    <w:p w14:paraId="264C16CA" w14:textId="77777777" w:rsidR="004246C0" w:rsidRPr="005475F3" w:rsidRDefault="004246C0" w:rsidP="004246C0">
      <w:pPr>
        <w:pStyle w:val="Prrafodelista"/>
        <w:numPr>
          <w:ilvl w:val="0"/>
          <w:numId w:val="12"/>
        </w:numPr>
        <w:spacing w:after="0" w:line="360" w:lineRule="auto"/>
        <w:ind w:left="1066" w:hanging="357"/>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 Motivar la clasificación señalando circunstancias de modo, tiempo y lugar que acrediten el vínculo entre la difusión de la información y la afectación al interés público o seguridad nacional.</w:t>
      </w:r>
    </w:p>
    <w:p w14:paraId="50131880" w14:textId="77777777" w:rsidR="004246C0" w:rsidRPr="005475F3" w:rsidRDefault="004246C0" w:rsidP="004246C0">
      <w:pPr>
        <w:pStyle w:val="Prrafodelista"/>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left="1066" w:hanging="357"/>
        <w:jc w:val="both"/>
        <w:rPr>
          <w:rFonts w:ascii="Arial" w:hAnsi="Arial" w:cs="Arial"/>
          <w:sz w:val="24"/>
          <w:szCs w:val="24"/>
          <w:lang w:val="es-ES_tradnl"/>
        </w:rPr>
      </w:pPr>
      <w:r w:rsidRPr="005475F3">
        <w:rPr>
          <w:rFonts w:ascii="Arial" w:hAnsi="Arial" w:cs="Arial"/>
          <w:sz w:val="24"/>
          <w:szCs w:val="24"/>
          <w:lang w:val="es-ES_tradnl"/>
        </w:rPr>
        <w:t>Precisar las razones objetivas por las que la apertura de la información generaría un riesgo de perjuicio real, demostrable e identificable al interés jurídico tutelado de que se trate.</w:t>
      </w:r>
    </w:p>
    <w:p w14:paraId="079FCD88" w14:textId="77777777" w:rsidR="004246C0" w:rsidRPr="005475F3" w:rsidRDefault="004246C0" w:rsidP="004246C0">
      <w:pPr>
        <w:pStyle w:val="Prrafodelista"/>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left="1066" w:hanging="357"/>
        <w:jc w:val="both"/>
        <w:rPr>
          <w:rFonts w:ascii="Arial" w:hAnsi="Arial" w:cs="Arial"/>
          <w:sz w:val="24"/>
          <w:szCs w:val="24"/>
          <w:lang w:val="es-ES_tradnl"/>
        </w:rPr>
      </w:pPr>
      <w:r w:rsidRPr="005475F3">
        <w:rPr>
          <w:rFonts w:ascii="Arial" w:hAnsi="Arial" w:cs="Arial"/>
          <w:sz w:val="24"/>
          <w:szCs w:val="24"/>
          <w:lang w:val="es-ES_tradnl"/>
        </w:rPr>
        <w:t>Mediante una ponderación entre la medida restrictiva y el derecho de acceso a la información, deberán justificar y probar, que la publicidad de la información solicitada generaría un riesgo de perjuicio que supera al interés público de que la información se difunda.</w:t>
      </w:r>
    </w:p>
    <w:p w14:paraId="189C8485" w14:textId="77777777" w:rsidR="004246C0" w:rsidRPr="005475F3" w:rsidRDefault="004246C0" w:rsidP="004246C0">
      <w:pPr>
        <w:pStyle w:val="Prrafodelista"/>
        <w:numPr>
          <w:ilvl w:val="0"/>
          <w:numId w:val="12"/>
        </w:numPr>
        <w:spacing w:after="0" w:line="360" w:lineRule="auto"/>
        <w:ind w:left="1066" w:hanging="357"/>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Deberán elegir la opción de excepción que menos restrinja el derecho de acceso a la información.</w:t>
      </w:r>
    </w:p>
    <w:p w14:paraId="479498F0" w14:textId="77777777" w:rsidR="004246C0" w:rsidRPr="005475F3" w:rsidRDefault="004246C0" w:rsidP="004246C0">
      <w:pPr>
        <w:pStyle w:val="Prrafodelista"/>
        <w:numPr>
          <w:ilvl w:val="0"/>
          <w:numId w:val="12"/>
        </w:numPr>
        <w:spacing w:after="0" w:line="360" w:lineRule="auto"/>
        <w:ind w:left="1066" w:hanging="357"/>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 los casos de clasificación total de la documentación deberá especificarse, con la mayor claridad y precisión posible, los aspectos relevantes de la información solicitada.</w:t>
      </w:r>
    </w:p>
    <w:p w14:paraId="2ABC18FD" w14:textId="0DBF4172" w:rsidR="004246C0" w:rsidRPr="005475F3" w:rsidRDefault="004246C0" w:rsidP="004246C0">
      <w:pPr>
        <w:spacing w:after="0" w:line="360" w:lineRule="auto"/>
        <w:jc w:val="both"/>
        <w:rPr>
          <w:rFonts w:ascii="Arial" w:eastAsia="Arial Unicode MS" w:hAnsi="Arial" w:cs="Arial"/>
          <w:sz w:val="24"/>
          <w:szCs w:val="24"/>
          <w:lang w:eastAsia="es-ES"/>
        </w:rPr>
      </w:pPr>
    </w:p>
    <w:p w14:paraId="03750B5B" w14:textId="6755FDEA" w:rsidR="004246C0" w:rsidRPr="005475F3" w:rsidRDefault="004246C0" w:rsidP="00CC74BD">
      <w:pPr>
        <w:spacing w:after="0" w:line="360" w:lineRule="auto"/>
        <w:ind w:right="-93" w:firstLine="708"/>
        <w:jc w:val="both"/>
        <w:rPr>
          <w:rFonts w:ascii="Arial" w:hAnsi="Arial" w:cs="Arial"/>
          <w:i/>
          <w:sz w:val="24"/>
          <w:szCs w:val="24"/>
        </w:rPr>
      </w:pPr>
      <w:r w:rsidRPr="005475F3">
        <w:rPr>
          <w:rFonts w:ascii="Arial" w:hAnsi="Arial" w:cs="Arial"/>
          <w:sz w:val="24"/>
          <w:szCs w:val="24"/>
        </w:rPr>
        <w:t>Es así que, para la acreditación de la prueba de daño, el Sujeto Obligado deberá satisfacer y justificar los requisitos y elementos establecidos en los Lineamientos de Clasificación y Desclasificación de la información, así como para la Elaboración de Versiones Públicas, al momento de clasificar información con carácter de reservado, por actualizar la</w:t>
      </w:r>
      <w:r w:rsidR="00CC74BD" w:rsidRPr="005475F3">
        <w:rPr>
          <w:rFonts w:ascii="Arial" w:hAnsi="Arial" w:cs="Arial"/>
          <w:sz w:val="24"/>
          <w:szCs w:val="24"/>
        </w:rPr>
        <w:t>s</w:t>
      </w:r>
      <w:r w:rsidRPr="005475F3">
        <w:rPr>
          <w:rFonts w:ascii="Arial" w:hAnsi="Arial" w:cs="Arial"/>
          <w:sz w:val="24"/>
          <w:szCs w:val="24"/>
        </w:rPr>
        <w:t xml:space="preserve"> hipótesis de excepción al derecho de acceso a la información invocada en el asunto que nos ocupa: </w:t>
      </w:r>
      <w:r w:rsidRPr="005475F3">
        <w:rPr>
          <w:rFonts w:ascii="Arial" w:hAnsi="Arial" w:cs="Arial"/>
          <w:i/>
          <w:sz w:val="24"/>
          <w:szCs w:val="24"/>
        </w:rPr>
        <w:t>“</w:t>
      </w:r>
      <w:r w:rsidR="00CC74BD" w:rsidRPr="005475F3">
        <w:rPr>
          <w:rFonts w:ascii="Arial" w:hAnsi="Arial" w:cs="Arial"/>
          <w:i/>
          <w:sz w:val="24"/>
          <w:szCs w:val="24"/>
        </w:rPr>
        <w:t>Se encuentre contenida dentro de las investigaciones de hechos que la ley señale como delitos y se tramiten ante el Ministerio Público”; y, “ Las que por disposición expresa de una ley tengan tal carácter, siempre que sean acordes con las bases, principios y disposiciones establecidos en esta Ley y no la contravengan; así como las previstas en tratados internacionales.</w:t>
      </w:r>
      <w:r w:rsidRPr="005475F3">
        <w:rPr>
          <w:rFonts w:ascii="Arial" w:hAnsi="Arial" w:cs="Arial"/>
          <w:i/>
          <w:sz w:val="24"/>
          <w:szCs w:val="24"/>
        </w:rPr>
        <w:t xml:space="preserve">”; </w:t>
      </w:r>
      <w:r w:rsidRPr="005475F3">
        <w:rPr>
          <w:rFonts w:ascii="Arial" w:hAnsi="Arial" w:cs="Arial"/>
          <w:sz w:val="24"/>
          <w:szCs w:val="24"/>
        </w:rPr>
        <w:t>hipótesis la</w:t>
      </w:r>
      <w:r w:rsidR="00C31133" w:rsidRPr="005475F3">
        <w:rPr>
          <w:rFonts w:ascii="Arial" w:hAnsi="Arial" w:cs="Arial"/>
          <w:sz w:val="24"/>
          <w:szCs w:val="24"/>
        </w:rPr>
        <w:t>s</w:t>
      </w:r>
      <w:r w:rsidRPr="005475F3">
        <w:rPr>
          <w:rFonts w:ascii="Arial" w:hAnsi="Arial" w:cs="Arial"/>
          <w:sz w:val="24"/>
          <w:szCs w:val="24"/>
        </w:rPr>
        <w:t xml:space="preserve"> anterior</w:t>
      </w:r>
      <w:r w:rsidR="00C31133" w:rsidRPr="005475F3">
        <w:rPr>
          <w:rFonts w:ascii="Arial" w:hAnsi="Arial" w:cs="Arial"/>
          <w:sz w:val="24"/>
          <w:szCs w:val="24"/>
        </w:rPr>
        <w:t>es</w:t>
      </w:r>
      <w:r w:rsidRPr="005475F3">
        <w:rPr>
          <w:rFonts w:ascii="Arial" w:hAnsi="Arial" w:cs="Arial"/>
          <w:sz w:val="24"/>
          <w:szCs w:val="24"/>
        </w:rPr>
        <w:t xml:space="preserve"> se encuentra</w:t>
      </w:r>
      <w:r w:rsidR="00C31133" w:rsidRPr="005475F3">
        <w:rPr>
          <w:rFonts w:ascii="Arial" w:hAnsi="Arial" w:cs="Arial"/>
          <w:sz w:val="24"/>
          <w:szCs w:val="24"/>
        </w:rPr>
        <w:t>n</w:t>
      </w:r>
      <w:r w:rsidRPr="005475F3">
        <w:rPr>
          <w:rFonts w:ascii="Arial" w:hAnsi="Arial" w:cs="Arial"/>
          <w:sz w:val="24"/>
          <w:szCs w:val="24"/>
        </w:rPr>
        <w:t xml:space="preserve"> contemplada</w:t>
      </w:r>
      <w:r w:rsidR="00CC74BD" w:rsidRPr="005475F3">
        <w:rPr>
          <w:rFonts w:ascii="Arial" w:hAnsi="Arial" w:cs="Arial"/>
          <w:sz w:val="24"/>
          <w:szCs w:val="24"/>
        </w:rPr>
        <w:t>s</w:t>
      </w:r>
      <w:r w:rsidRPr="005475F3">
        <w:rPr>
          <w:rFonts w:ascii="Arial" w:hAnsi="Arial" w:cs="Arial"/>
          <w:sz w:val="24"/>
          <w:szCs w:val="24"/>
        </w:rPr>
        <w:t xml:space="preserve"> en la</w:t>
      </w:r>
      <w:r w:rsidR="00CC74BD" w:rsidRPr="005475F3">
        <w:rPr>
          <w:rFonts w:ascii="Arial" w:hAnsi="Arial" w:cs="Arial"/>
          <w:sz w:val="24"/>
          <w:szCs w:val="24"/>
        </w:rPr>
        <w:t>s fraccio</w:t>
      </w:r>
      <w:r w:rsidRPr="005475F3">
        <w:rPr>
          <w:rFonts w:ascii="Arial" w:hAnsi="Arial" w:cs="Arial"/>
          <w:sz w:val="24"/>
          <w:szCs w:val="24"/>
        </w:rPr>
        <w:t>n</w:t>
      </w:r>
      <w:r w:rsidR="00CC74BD" w:rsidRPr="005475F3">
        <w:rPr>
          <w:rFonts w:ascii="Arial" w:hAnsi="Arial" w:cs="Arial"/>
          <w:sz w:val="24"/>
          <w:szCs w:val="24"/>
        </w:rPr>
        <w:t>es</w:t>
      </w:r>
      <w:r w:rsidRPr="005475F3">
        <w:rPr>
          <w:rFonts w:ascii="Arial" w:hAnsi="Arial" w:cs="Arial"/>
          <w:sz w:val="24"/>
          <w:szCs w:val="24"/>
        </w:rPr>
        <w:t xml:space="preserve"> X</w:t>
      </w:r>
      <w:r w:rsidR="00CC74BD" w:rsidRPr="005475F3">
        <w:rPr>
          <w:rFonts w:ascii="Arial" w:hAnsi="Arial" w:cs="Arial"/>
          <w:sz w:val="24"/>
          <w:szCs w:val="24"/>
        </w:rPr>
        <w:t>I y XII</w:t>
      </w:r>
      <w:r w:rsidRPr="005475F3">
        <w:rPr>
          <w:rFonts w:ascii="Arial" w:hAnsi="Arial" w:cs="Arial"/>
          <w:sz w:val="24"/>
          <w:szCs w:val="24"/>
        </w:rPr>
        <w:t xml:space="preserve"> del artículo 129 de la Ley de Transparencia y Acceso a la Información Pública del Estado y su</w:t>
      </w:r>
      <w:r w:rsidR="00CC74BD" w:rsidRPr="005475F3">
        <w:rPr>
          <w:rFonts w:ascii="Arial" w:hAnsi="Arial" w:cs="Arial"/>
          <w:sz w:val="24"/>
          <w:szCs w:val="24"/>
        </w:rPr>
        <w:t>s</w:t>
      </w:r>
      <w:r w:rsidRPr="005475F3">
        <w:rPr>
          <w:rFonts w:ascii="Arial" w:hAnsi="Arial" w:cs="Arial"/>
          <w:sz w:val="24"/>
          <w:szCs w:val="24"/>
        </w:rPr>
        <w:t xml:space="preserve"> correlativo</w:t>
      </w:r>
      <w:r w:rsidR="00CC74BD" w:rsidRPr="005475F3">
        <w:rPr>
          <w:rFonts w:ascii="Arial" w:hAnsi="Arial" w:cs="Arial"/>
          <w:sz w:val="24"/>
          <w:szCs w:val="24"/>
        </w:rPr>
        <w:t>s</w:t>
      </w:r>
      <w:r w:rsidRPr="005475F3">
        <w:rPr>
          <w:rFonts w:ascii="Arial" w:hAnsi="Arial" w:cs="Arial"/>
          <w:sz w:val="24"/>
          <w:szCs w:val="24"/>
        </w:rPr>
        <w:t xml:space="preserve"> a nivel federal contenido en la fracci</w:t>
      </w:r>
      <w:r w:rsidR="00C43FD1" w:rsidRPr="005475F3">
        <w:rPr>
          <w:rFonts w:ascii="Arial" w:hAnsi="Arial" w:cs="Arial"/>
          <w:sz w:val="24"/>
          <w:szCs w:val="24"/>
        </w:rPr>
        <w:t>o</w:t>
      </w:r>
      <w:r w:rsidRPr="005475F3">
        <w:rPr>
          <w:rFonts w:ascii="Arial" w:hAnsi="Arial" w:cs="Arial"/>
          <w:sz w:val="24"/>
          <w:szCs w:val="24"/>
        </w:rPr>
        <w:t>n</w:t>
      </w:r>
      <w:r w:rsidR="00C43FD1" w:rsidRPr="005475F3">
        <w:rPr>
          <w:rFonts w:ascii="Arial" w:hAnsi="Arial" w:cs="Arial"/>
          <w:sz w:val="24"/>
          <w:szCs w:val="24"/>
        </w:rPr>
        <w:t>es</w:t>
      </w:r>
      <w:r w:rsidRPr="005475F3">
        <w:rPr>
          <w:rFonts w:ascii="Arial" w:hAnsi="Arial" w:cs="Arial"/>
          <w:sz w:val="24"/>
          <w:szCs w:val="24"/>
        </w:rPr>
        <w:t xml:space="preserve"> XI</w:t>
      </w:r>
      <w:r w:rsidR="00C43FD1" w:rsidRPr="005475F3">
        <w:rPr>
          <w:rFonts w:ascii="Arial" w:hAnsi="Arial" w:cs="Arial"/>
          <w:sz w:val="24"/>
          <w:szCs w:val="24"/>
        </w:rPr>
        <w:t>I y XVII</w:t>
      </w:r>
      <w:r w:rsidRPr="005475F3">
        <w:rPr>
          <w:rFonts w:ascii="Arial" w:hAnsi="Arial" w:cs="Arial"/>
          <w:sz w:val="24"/>
          <w:szCs w:val="24"/>
        </w:rPr>
        <w:t>, del artículo 112 de la Ley General de la Materia; mismos que, por su naturaleza, se interrelacionan de la siguiente manera:</w:t>
      </w:r>
    </w:p>
    <w:p w14:paraId="3C41444D" w14:textId="77777777" w:rsidR="004246C0" w:rsidRPr="005475F3" w:rsidRDefault="004246C0" w:rsidP="004246C0">
      <w:pPr>
        <w:spacing w:after="0" w:line="360" w:lineRule="auto"/>
        <w:ind w:right="-93" w:firstLine="708"/>
        <w:jc w:val="both"/>
        <w:rPr>
          <w:rFonts w:ascii="Arial" w:hAnsi="Arial" w:cs="Arial"/>
          <w:sz w:val="24"/>
          <w:szCs w:val="24"/>
        </w:rPr>
      </w:pPr>
    </w:p>
    <w:tbl>
      <w:tblPr>
        <w:tblStyle w:val="Tabladecuadrcula4-nfasis3"/>
        <w:tblW w:w="8785" w:type="dxa"/>
        <w:tblLook w:val="04A0" w:firstRow="1" w:lastRow="0" w:firstColumn="1" w:lastColumn="0" w:noHBand="0" w:noVBand="1"/>
      </w:tblPr>
      <w:tblGrid>
        <w:gridCol w:w="2547"/>
        <w:gridCol w:w="3119"/>
        <w:gridCol w:w="3119"/>
      </w:tblGrid>
      <w:tr w:rsidR="005475F3" w:rsidRPr="005475F3" w14:paraId="0CAE166A" w14:textId="77777777" w:rsidTr="00AF1E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4A42956D" w14:textId="77777777" w:rsidR="00DB0379" w:rsidRPr="005475F3" w:rsidRDefault="00DB0379" w:rsidP="00AF1E38">
            <w:pPr>
              <w:ind w:right="-93"/>
              <w:jc w:val="center"/>
              <w:rPr>
                <w:rFonts w:ascii="Arial" w:hAnsi="Arial" w:cs="Arial"/>
                <w:color w:val="auto"/>
              </w:rPr>
            </w:pPr>
            <w:r w:rsidRPr="005475F3">
              <w:rPr>
                <w:rFonts w:ascii="Arial" w:hAnsi="Arial" w:cs="Arial"/>
                <w:color w:val="auto"/>
              </w:rPr>
              <w:t>Requisitos materiales de la de la prueba de daño conforme la Ley de Transparencia Local vigente.</w:t>
            </w:r>
          </w:p>
        </w:tc>
        <w:tc>
          <w:tcPr>
            <w:tcW w:w="3119" w:type="dxa"/>
          </w:tcPr>
          <w:p w14:paraId="776B50F6" w14:textId="77777777" w:rsidR="00DB0379" w:rsidRPr="005475F3" w:rsidRDefault="00DB0379" w:rsidP="00AF1E38">
            <w:pPr>
              <w:ind w:right="-93"/>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r w:rsidRPr="005475F3">
              <w:rPr>
                <w:rFonts w:ascii="Arial" w:hAnsi="Arial" w:cs="Arial"/>
                <w:color w:val="auto"/>
              </w:rPr>
              <w:t>Requisitos formales de la información conforme los Lineamientos de Clasificación […].</w:t>
            </w:r>
          </w:p>
        </w:tc>
        <w:tc>
          <w:tcPr>
            <w:tcW w:w="3119" w:type="dxa"/>
          </w:tcPr>
          <w:p w14:paraId="6B0DD4EA" w14:textId="77777777" w:rsidR="00DB0379" w:rsidRPr="005475F3" w:rsidRDefault="00DB0379" w:rsidP="00AF1E38">
            <w:pPr>
              <w:ind w:right="-93"/>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rPr>
            </w:pPr>
            <w:r w:rsidRPr="005475F3">
              <w:rPr>
                <w:rFonts w:ascii="Arial" w:hAnsi="Arial" w:cs="Arial"/>
                <w:color w:val="auto"/>
              </w:rPr>
              <w:t>Requisitos formales de la de la prueba de daño conforme los Lineamientos de Clasificación […].</w:t>
            </w:r>
          </w:p>
        </w:tc>
      </w:tr>
      <w:tr w:rsidR="005475F3" w:rsidRPr="005475F3" w14:paraId="51D69073" w14:textId="77777777" w:rsidTr="00AF1E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0D9E884C" w14:textId="77777777" w:rsidR="00DB0379" w:rsidRPr="005475F3" w:rsidRDefault="00DB0379" w:rsidP="00AF1E38">
            <w:pPr>
              <w:jc w:val="both"/>
              <w:rPr>
                <w:rFonts w:ascii="Arial" w:hAnsi="Arial" w:cs="Arial"/>
                <w:b w:val="0"/>
                <w:bCs w:val="0"/>
              </w:rPr>
            </w:pPr>
            <w:r w:rsidRPr="005475F3">
              <w:rPr>
                <w:rFonts w:ascii="Arial" w:hAnsi="Arial" w:cs="Arial"/>
                <w:b w:val="0"/>
                <w:bCs w:val="0"/>
              </w:rPr>
              <w:t xml:space="preserve"> La divulgación de la información representa un riesgo real, demostrable e identificable de perjuicio significativo al interés público.</w:t>
            </w:r>
          </w:p>
        </w:tc>
        <w:tc>
          <w:tcPr>
            <w:tcW w:w="3119" w:type="dxa"/>
            <w:vMerge w:val="restart"/>
          </w:tcPr>
          <w:p w14:paraId="15DF9065" w14:textId="77777777" w:rsidR="00DB0379" w:rsidRPr="005475F3" w:rsidRDefault="00DB0379" w:rsidP="00AF1E38">
            <w:pPr>
              <w:pStyle w:val="Textonotapie"/>
              <w:ind w:right="92"/>
              <w:cnfStyle w:val="000000100000" w:firstRow="0" w:lastRow="0" w:firstColumn="0" w:lastColumn="0" w:oddVBand="0" w:evenVBand="0" w:oddHBand="1" w:evenHBand="0" w:firstRowFirstColumn="0" w:firstRowLastColumn="0" w:lastRowFirstColumn="0" w:lastRowLastColumn="0"/>
              <w:rPr>
                <w:rFonts w:ascii="Arial" w:hAnsi="Arial" w:cs="Arial"/>
                <w:sz w:val="23"/>
                <w:szCs w:val="23"/>
              </w:rPr>
            </w:pPr>
            <w:r w:rsidRPr="005475F3">
              <w:rPr>
                <w:rFonts w:ascii="Arial" w:hAnsi="Arial" w:cs="Arial"/>
                <w:sz w:val="23"/>
                <w:szCs w:val="23"/>
              </w:rPr>
              <w:t>Conforme al Lineamiento Trigésimo Primero: podrá considerarse como información reservada aquella que forme parte de las averiguaciones previas o carpetas de investigación que resulte de la etapa de investigación.</w:t>
            </w:r>
          </w:p>
          <w:p w14:paraId="3CB342CA" w14:textId="77777777" w:rsidR="00DB0379" w:rsidRPr="005475F3" w:rsidRDefault="00DB0379" w:rsidP="00AF1E38">
            <w:pPr>
              <w:pStyle w:val="Textonotapie"/>
              <w:ind w:right="92"/>
              <w:cnfStyle w:val="000000100000" w:firstRow="0" w:lastRow="0" w:firstColumn="0" w:lastColumn="0" w:oddVBand="0" w:evenVBand="0" w:oddHBand="1" w:evenHBand="0" w:firstRowFirstColumn="0" w:firstRowLastColumn="0" w:lastRowFirstColumn="0" w:lastRowLastColumn="0"/>
              <w:rPr>
                <w:rFonts w:ascii="Arial" w:hAnsi="Arial" w:cs="Arial"/>
                <w:sz w:val="23"/>
                <w:szCs w:val="23"/>
              </w:rPr>
            </w:pPr>
          </w:p>
          <w:p w14:paraId="44161FE4" w14:textId="77777777" w:rsidR="00DB0379" w:rsidRPr="005475F3" w:rsidRDefault="00DB0379" w:rsidP="00AF1E38">
            <w:pPr>
              <w:pStyle w:val="Textonotapie"/>
              <w:ind w:right="92"/>
              <w:cnfStyle w:val="000000100000" w:firstRow="0" w:lastRow="0" w:firstColumn="0" w:lastColumn="0" w:oddVBand="0" w:evenVBand="0" w:oddHBand="1" w:evenHBand="0" w:firstRowFirstColumn="0" w:firstRowLastColumn="0" w:lastRowFirstColumn="0" w:lastRowLastColumn="0"/>
              <w:rPr>
                <w:rFonts w:ascii="Arial" w:hAnsi="Arial" w:cs="Arial"/>
                <w:sz w:val="23"/>
                <w:szCs w:val="23"/>
              </w:rPr>
            </w:pPr>
            <w:r w:rsidRPr="005475F3">
              <w:rPr>
                <w:rFonts w:ascii="Arial" w:hAnsi="Arial" w:cs="Arial"/>
                <w:sz w:val="23"/>
                <w:szCs w:val="23"/>
              </w:rPr>
              <w:t xml:space="preserve">Conforme al Lineamiento Trigésimo Segundo: </w:t>
            </w:r>
          </w:p>
          <w:p w14:paraId="1FD245DF" w14:textId="77777777" w:rsidR="00DB0379" w:rsidRPr="005475F3" w:rsidRDefault="00DB0379" w:rsidP="00AF1E38">
            <w:pPr>
              <w:pStyle w:val="Textonotapie"/>
              <w:ind w:right="92"/>
              <w:cnfStyle w:val="000000100000" w:firstRow="0" w:lastRow="0" w:firstColumn="0" w:lastColumn="0" w:oddVBand="0" w:evenVBand="0" w:oddHBand="1" w:evenHBand="0" w:firstRowFirstColumn="0" w:firstRowLastColumn="0" w:lastRowFirstColumn="0" w:lastRowLastColumn="0"/>
              <w:rPr>
                <w:rFonts w:ascii="Arial" w:hAnsi="Arial" w:cs="Arial"/>
                <w:sz w:val="23"/>
                <w:szCs w:val="23"/>
              </w:rPr>
            </w:pPr>
          </w:p>
          <w:p w14:paraId="60CF3FE5" w14:textId="77777777" w:rsidR="00DB0379" w:rsidRPr="005475F3" w:rsidRDefault="00DB0379" w:rsidP="00AF1E38">
            <w:pPr>
              <w:pStyle w:val="Textonotapie"/>
              <w:ind w:right="92"/>
              <w:cnfStyle w:val="000000100000" w:firstRow="0" w:lastRow="0" w:firstColumn="0" w:lastColumn="0" w:oddVBand="0" w:evenVBand="0" w:oddHBand="1" w:evenHBand="0" w:firstRowFirstColumn="0" w:firstRowLastColumn="0" w:lastRowFirstColumn="0" w:lastRowLastColumn="0"/>
              <w:rPr>
                <w:rFonts w:ascii="Arial" w:eastAsia="Arial Unicode MS" w:hAnsi="Arial" w:cs="Arial"/>
                <w:sz w:val="23"/>
                <w:szCs w:val="23"/>
              </w:rPr>
            </w:pPr>
            <w:r w:rsidRPr="005475F3">
              <w:rPr>
                <w:rFonts w:ascii="Arial" w:eastAsia="Arial Unicode MS" w:hAnsi="Arial" w:cs="Arial"/>
                <w:sz w:val="23"/>
                <w:szCs w:val="23"/>
              </w:rPr>
              <w:t xml:space="preserve">Aquella que por disposición expresa de una ley le otorgue tal carácter </w:t>
            </w:r>
            <w:r w:rsidRPr="005475F3">
              <w:rPr>
                <w:rFonts w:ascii="Arial" w:hAnsi="Arial" w:cs="Arial"/>
                <w:sz w:val="23"/>
                <w:szCs w:val="23"/>
              </w:rPr>
              <w:t>siempre que no se contravengan las bases, principios y disposiciones establecidas en la Ley General o las previstas en los tratados internacionales de los que el Estado mexicano sea parte.</w:t>
            </w:r>
          </w:p>
          <w:p w14:paraId="09D323C3" w14:textId="77777777" w:rsidR="00DB0379" w:rsidRPr="005475F3" w:rsidRDefault="00DB0379" w:rsidP="00AF1E38">
            <w:pPr>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p>
          <w:p w14:paraId="040FB514" w14:textId="77777777" w:rsidR="00DB0379" w:rsidRPr="005475F3" w:rsidRDefault="00DB0379" w:rsidP="00AF1E38">
            <w:pPr>
              <w:pStyle w:val="Default"/>
              <w:jc w:val="both"/>
              <w:cnfStyle w:val="000000100000" w:firstRow="0" w:lastRow="0" w:firstColumn="0" w:lastColumn="0" w:oddVBand="0" w:evenVBand="0" w:oddHBand="1" w:evenHBand="0" w:firstRowFirstColumn="0" w:firstRowLastColumn="0" w:lastRowFirstColumn="0" w:lastRowLastColumn="0"/>
              <w:rPr>
                <w:color w:val="auto"/>
                <w:sz w:val="23"/>
                <w:szCs w:val="23"/>
              </w:rPr>
            </w:pPr>
            <w:r w:rsidRPr="005475F3">
              <w:rPr>
                <w:color w:val="auto"/>
                <w:sz w:val="23"/>
                <w:szCs w:val="23"/>
              </w:rPr>
              <w:t>Para ello, los sujetos obligados deberán fundar y motivar la clasificación de la información, señalando de manera específica el supuesto normativo que expresamente le otorga ese carácter y acreditar la afectación que la divulgación de la información traería a los fines por los que se reserva la información.</w:t>
            </w:r>
          </w:p>
          <w:p w14:paraId="69A26D72" w14:textId="77777777" w:rsidR="00DB0379" w:rsidRPr="005475F3" w:rsidRDefault="00DB0379" w:rsidP="00AF1E38">
            <w:pPr>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p>
        </w:tc>
        <w:tc>
          <w:tcPr>
            <w:tcW w:w="3119" w:type="dxa"/>
          </w:tcPr>
          <w:p w14:paraId="174D9C90" w14:textId="77777777" w:rsidR="00DB0379" w:rsidRPr="005475F3" w:rsidRDefault="00DB0379" w:rsidP="00AF1E38">
            <w:pPr>
              <w:jc w:val="both"/>
              <w:cnfStyle w:val="000000100000" w:firstRow="0" w:lastRow="0" w:firstColumn="0" w:lastColumn="0" w:oddVBand="0" w:evenVBand="0" w:oddHBand="1" w:evenHBand="0" w:firstRowFirstColumn="0" w:firstRowLastColumn="0" w:lastRowFirstColumn="0" w:lastRowLastColumn="0"/>
              <w:rPr>
                <w:rFonts w:ascii="Arial" w:eastAsia="Arial Unicode MS" w:hAnsi="Arial" w:cs="Arial"/>
                <w:lang w:eastAsia="es-ES"/>
              </w:rPr>
            </w:pPr>
            <w:r w:rsidRPr="005475F3">
              <w:rPr>
                <w:rFonts w:ascii="Arial" w:eastAsia="Arial Unicode MS" w:hAnsi="Arial" w:cs="Arial"/>
                <w:lang w:eastAsia="es-ES"/>
              </w:rPr>
              <w:t>Fundamentar la clasificación al citar la fracción y la hipótesis de la causal aplicable del Artículo 113, la Ley General (ahora abrogada).</w:t>
            </w:r>
          </w:p>
          <w:p w14:paraId="177BF43E" w14:textId="77777777" w:rsidR="00DB0379" w:rsidRPr="005475F3" w:rsidRDefault="00DB0379" w:rsidP="00AF1E38">
            <w:pPr>
              <w:pStyle w:val="Prrafodelista"/>
              <w:ind w:left="73"/>
              <w:jc w:val="both"/>
              <w:cnfStyle w:val="000000100000" w:firstRow="0" w:lastRow="0" w:firstColumn="0" w:lastColumn="0" w:oddVBand="0" w:evenVBand="0" w:oddHBand="1" w:evenHBand="0" w:firstRowFirstColumn="0" w:firstRowLastColumn="0" w:lastRowFirstColumn="0" w:lastRowLastColumn="0"/>
              <w:rPr>
                <w:rFonts w:ascii="Arial" w:eastAsia="Arial Unicode MS" w:hAnsi="Arial" w:cs="Arial"/>
                <w:lang w:eastAsia="es-ES"/>
              </w:rPr>
            </w:pPr>
          </w:p>
          <w:p w14:paraId="09559D48" w14:textId="77777777" w:rsidR="00DB0379" w:rsidRPr="005475F3" w:rsidRDefault="00DB0379" w:rsidP="00AF1E38">
            <w:pPr>
              <w:pStyle w:val="Prrafodelista"/>
              <w:ind w:left="73"/>
              <w:jc w:val="both"/>
              <w:cnfStyle w:val="000000100000" w:firstRow="0" w:lastRow="0" w:firstColumn="0" w:lastColumn="0" w:oddVBand="0" w:evenVBand="0" w:oddHBand="1" w:evenHBand="0" w:firstRowFirstColumn="0" w:firstRowLastColumn="0" w:lastRowFirstColumn="0" w:lastRowLastColumn="0"/>
              <w:rPr>
                <w:rFonts w:ascii="Arial" w:eastAsia="Arial Unicode MS" w:hAnsi="Arial" w:cs="Arial"/>
                <w:lang w:eastAsia="es-ES"/>
              </w:rPr>
            </w:pPr>
            <w:r w:rsidRPr="005475F3">
              <w:rPr>
                <w:rFonts w:ascii="Arial" w:eastAsia="Arial Unicode MS" w:hAnsi="Arial" w:cs="Arial"/>
                <w:lang w:eastAsia="es-ES"/>
              </w:rPr>
              <w:t>Motivar la clasificación señalando circunstancias de modo, tiempo y lugar que acrediten el vínculo entre la difusión de la información y la afectación al interés público o seguridad nacional.</w:t>
            </w:r>
          </w:p>
          <w:p w14:paraId="347F93D2" w14:textId="77777777" w:rsidR="00DB0379" w:rsidRPr="005475F3" w:rsidRDefault="00DB0379" w:rsidP="00AF1E38">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3"/>
              <w:jc w:val="both"/>
              <w:cnfStyle w:val="000000100000" w:firstRow="0" w:lastRow="0" w:firstColumn="0" w:lastColumn="0" w:oddVBand="0" w:evenVBand="0" w:oddHBand="1" w:evenHBand="0" w:firstRowFirstColumn="0" w:firstRowLastColumn="0" w:lastRowFirstColumn="0" w:lastRowLastColumn="0"/>
              <w:rPr>
                <w:rFonts w:ascii="Arial" w:hAnsi="Arial" w:cs="Arial"/>
                <w:lang w:val="es-ES_tradnl"/>
              </w:rPr>
            </w:pPr>
          </w:p>
          <w:p w14:paraId="1D56AFC4" w14:textId="77777777" w:rsidR="00DB0379" w:rsidRPr="005475F3" w:rsidRDefault="00DB0379" w:rsidP="00AF1E38">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
              <w:jc w:val="both"/>
              <w:cnfStyle w:val="000000100000" w:firstRow="0" w:lastRow="0" w:firstColumn="0" w:lastColumn="0" w:oddVBand="0" w:evenVBand="0" w:oddHBand="1" w:evenHBand="0" w:firstRowFirstColumn="0" w:firstRowLastColumn="0" w:lastRowFirstColumn="0" w:lastRowLastColumn="0"/>
              <w:rPr>
                <w:rFonts w:ascii="Arial" w:hAnsi="Arial" w:cs="Arial"/>
                <w:lang w:val="es-ES_tradnl"/>
              </w:rPr>
            </w:pPr>
            <w:r w:rsidRPr="005475F3">
              <w:rPr>
                <w:rFonts w:ascii="Arial" w:hAnsi="Arial" w:cs="Arial"/>
                <w:lang w:val="es-ES_tradnl"/>
              </w:rPr>
              <w:t>Precisar las razones objetivas por las que la apertura de la información generaría un riesgo de perjuicio real, demostrable e identificable al interés jurídico tutelado de que se trate.</w:t>
            </w:r>
          </w:p>
          <w:p w14:paraId="21A1A8D4" w14:textId="77777777" w:rsidR="00DB0379" w:rsidRPr="005475F3" w:rsidRDefault="00DB0379" w:rsidP="00AF1E38">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3"/>
              <w:jc w:val="both"/>
              <w:cnfStyle w:val="000000100000" w:firstRow="0" w:lastRow="0" w:firstColumn="0" w:lastColumn="0" w:oddVBand="0" w:evenVBand="0" w:oddHBand="1" w:evenHBand="0" w:firstRowFirstColumn="0" w:firstRowLastColumn="0" w:lastRowFirstColumn="0" w:lastRowLastColumn="0"/>
              <w:rPr>
                <w:rFonts w:ascii="Arial" w:hAnsi="Arial" w:cs="Arial"/>
                <w:lang w:val="es-ES_tradnl"/>
              </w:rPr>
            </w:pPr>
          </w:p>
        </w:tc>
      </w:tr>
      <w:tr w:rsidR="005475F3" w:rsidRPr="005475F3" w14:paraId="60B91929" w14:textId="77777777" w:rsidTr="00AF1E38">
        <w:tc>
          <w:tcPr>
            <w:cnfStyle w:val="001000000000" w:firstRow="0" w:lastRow="0" w:firstColumn="1" w:lastColumn="0" w:oddVBand="0" w:evenVBand="0" w:oddHBand="0" w:evenHBand="0" w:firstRowFirstColumn="0" w:firstRowLastColumn="0" w:lastRowFirstColumn="0" w:lastRowLastColumn="0"/>
            <w:tcW w:w="2547" w:type="dxa"/>
          </w:tcPr>
          <w:p w14:paraId="2F7077E6" w14:textId="77777777" w:rsidR="00DB0379" w:rsidRPr="005475F3" w:rsidRDefault="00DB0379" w:rsidP="00AF1E38">
            <w:pPr>
              <w:jc w:val="both"/>
              <w:rPr>
                <w:rFonts w:ascii="Arial" w:hAnsi="Arial" w:cs="Arial"/>
                <w:b w:val="0"/>
                <w:bCs w:val="0"/>
              </w:rPr>
            </w:pPr>
            <w:r w:rsidRPr="005475F3">
              <w:rPr>
                <w:rFonts w:ascii="Arial" w:hAnsi="Arial" w:cs="Arial"/>
                <w:b w:val="0"/>
                <w:bCs w:val="0"/>
              </w:rPr>
              <w:t>El riesgo de perjuicio que supondría la divulgación supera el interés público general de que se difunda; y,</w:t>
            </w:r>
          </w:p>
        </w:tc>
        <w:tc>
          <w:tcPr>
            <w:tcW w:w="3119" w:type="dxa"/>
            <w:vMerge/>
          </w:tcPr>
          <w:p w14:paraId="08B49085" w14:textId="77777777" w:rsidR="00DB0379" w:rsidRPr="005475F3" w:rsidRDefault="00DB0379" w:rsidP="00AF1E38">
            <w:pPr>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p>
        </w:tc>
        <w:tc>
          <w:tcPr>
            <w:tcW w:w="3119" w:type="dxa"/>
          </w:tcPr>
          <w:p w14:paraId="1218E941" w14:textId="77777777" w:rsidR="00DB0379" w:rsidRPr="005475F3" w:rsidRDefault="00DB0379" w:rsidP="00AF1E38">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
              <w:jc w:val="both"/>
              <w:cnfStyle w:val="000000000000" w:firstRow="0" w:lastRow="0" w:firstColumn="0" w:lastColumn="0" w:oddVBand="0" w:evenVBand="0" w:oddHBand="0" w:evenHBand="0" w:firstRowFirstColumn="0" w:firstRowLastColumn="0" w:lastRowFirstColumn="0" w:lastRowLastColumn="0"/>
              <w:rPr>
                <w:rFonts w:ascii="Arial" w:hAnsi="Arial" w:cs="Arial"/>
                <w:lang w:val="es-ES_tradnl"/>
              </w:rPr>
            </w:pPr>
            <w:r w:rsidRPr="005475F3">
              <w:rPr>
                <w:rFonts w:ascii="Arial" w:hAnsi="Arial" w:cs="Arial"/>
                <w:lang w:val="es-ES_tradnl"/>
              </w:rPr>
              <w:t>Mediante una ponderación entre la medida restrictiva y el derecho de acceso a la información, deberán justificar y probar, que la publicidad de la información solicitada generaría un riesgo de perjuicio que supera al interés público de que la información se difunda.</w:t>
            </w:r>
          </w:p>
        </w:tc>
      </w:tr>
      <w:tr w:rsidR="005475F3" w:rsidRPr="005475F3" w14:paraId="26F2C824" w14:textId="77777777" w:rsidTr="00AF1E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38071CBA" w14:textId="77777777" w:rsidR="00DB0379" w:rsidRPr="005475F3" w:rsidRDefault="00DB0379" w:rsidP="00AF1E38">
            <w:pPr>
              <w:ind w:right="-93"/>
              <w:jc w:val="both"/>
              <w:rPr>
                <w:rFonts w:ascii="Arial" w:hAnsi="Arial" w:cs="Arial"/>
                <w:b w:val="0"/>
                <w:bCs w:val="0"/>
              </w:rPr>
            </w:pPr>
            <w:r w:rsidRPr="005475F3">
              <w:rPr>
                <w:rFonts w:ascii="Arial" w:hAnsi="Arial" w:cs="Arial"/>
                <w:b w:val="0"/>
                <w:bCs w:val="0"/>
              </w:rPr>
              <w:t>La limitación se adecua al principio de proporcionalidad y representa el medio menos restrictivo disponible para evitar el perjuicio.</w:t>
            </w:r>
          </w:p>
        </w:tc>
        <w:tc>
          <w:tcPr>
            <w:tcW w:w="3119" w:type="dxa"/>
            <w:vMerge/>
          </w:tcPr>
          <w:p w14:paraId="03E5D574" w14:textId="77777777" w:rsidR="00DB0379" w:rsidRPr="005475F3" w:rsidRDefault="00DB0379" w:rsidP="00AF1E38">
            <w:pPr>
              <w:ind w:right="-93"/>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p>
        </w:tc>
        <w:tc>
          <w:tcPr>
            <w:tcW w:w="3119" w:type="dxa"/>
          </w:tcPr>
          <w:p w14:paraId="233A7A5D" w14:textId="77777777" w:rsidR="00DB0379" w:rsidRPr="005475F3" w:rsidRDefault="00DB0379" w:rsidP="00AF1E38">
            <w:pPr>
              <w:pStyle w:val="Prrafodelista"/>
              <w:ind w:left="0"/>
              <w:jc w:val="both"/>
              <w:cnfStyle w:val="000000100000" w:firstRow="0" w:lastRow="0" w:firstColumn="0" w:lastColumn="0" w:oddVBand="0" w:evenVBand="0" w:oddHBand="1" w:evenHBand="0" w:firstRowFirstColumn="0" w:firstRowLastColumn="0" w:lastRowFirstColumn="0" w:lastRowLastColumn="0"/>
              <w:rPr>
                <w:rFonts w:ascii="Arial" w:eastAsia="Arial Unicode MS" w:hAnsi="Arial" w:cs="Arial"/>
                <w:lang w:eastAsia="es-ES"/>
              </w:rPr>
            </w:pPr>
            <w:r w:rsidRPr="005475F3">
              <w:rPr>
                <w:rFonts w:ascii="Arial" w:eastAsia="Arial Unicode MS" w:hAnsi="Arial" w:cs="Arial"/>
                <w:lang w:eastAsia="es-ES"/>
              </w:rPr>
              <w:t>Deberán elegir la opción de excepción que menos restrinja el derecho de acceso a la información.</w:t>
            </w:r>
          </w:p>
          <w:p w14:paraId="1575169B" w14:textId="77777777" w:rsidR="00DB0379" w:rsidRPr="005475F3" w:rsidRDefault="00DB0379" w:rsidP="00AF1E38">
            <w:pPr>
              <w:pStyle w:val="Prrafodelista"/>
              <w:ind w:left="0"/>
              <w:jc w:val="both"/>
              <w:cnfStyle w:val="000000100000" w:firstRow="0" w:lastRow="0" w:firstColumn="0" w:lastColumn="0" w:oddVBand="0" w:evenVBand="0" w:oddHBand="1" w:evenHBand="0" w:firstRowFirstColumn="0" w:firstRowLastColumn="0" w:lastRowFirstColumn="0" w:lastRowLastColumn="0"/>
              <w:rPr>
                <w:rFonts w:ascii="Arial" w:eastAsia="Arial Unicode MS" w:hAnsi="Arial" w:cs="Arial"/>
                <w:lang w:eastAsia="es-ES"/>
              </w:rPr>
            </w:pPr>
          </w:p>
          <w:p w14:paraId="47F10376" w14:textId="77777777" w:rsidR="00DB0379" w:rsidRPr="005475F3" w:rsidRDefault="00DB0379" w:rsidP="00AF1E38">
            <w:pPr>
              <w:pStyle w:val="Prrafodelista"/>
              <w:ind w:left="0"/>
              <w:jc w:val="both"/>
              <w:cnfStyle w:val="000000100000" w:firstRow="0" w:lastRow="0" w:firstColumn="0" w:lastColumn="0" w:oddVBand="0" w:evenVBand="0" w:oddHBand="1" w:evenHBand="0" w:firstRowFirstColumn="0" w:firstRowLastColumn="0" w:lastRowFirstColumn="0" w:lastRowLastColumn="0"/>
              <w:rPr>
                <w:rFonts w:ascii="Arial" w:eastAsia="Arial Unicode MS" w:hAnsi="Arial" w:cs="Arial"/>
                <w:lang w:eastAsia="es-ES"/>
              </w:rPr>
            </w:pPr>
            <w:r w:rsidRPr="005475F3">
              <w:rPr>
                <w:rFonts w:ascii="Arial" w:eastAsia="Arial Unicode MS" w:hAnsi="Arial" w:cs="Arial"/>
                <w:lang w:eastAsia="es-ES"/>
              </w:rPr>
              <w:t>En los casos de clasificación total de la documentación deberá especificarse, con la mayor claridad y precisión posible, los aspectos relevantes de la información solicitada.</w:t>
            </w:r>
          </w:p>
          <w:p w14:paraId="041EA6D4" w14:textId="77777777" w:rsidR="00DB0379" w:rsidRPr="005475F3" w:rsidRDefault="00DB0379" w:rsidP="00AF1E38">
            <w:pPr>
              <w:ind w:right="-93"/>
              <w:jc w:val="both"/>
              <w:cnfStyle w:val="000000100000" w:firstRow="0" w:lastRow="0" w:firstColumn="0" w:lastColumn="0" w:oddVBand="0" w:evenVBand="0" w:oddHBand="1" w:evenHBand="0" w:firstRowFirstColumn="0" w:firstRowLastColumn="0" w:lastRowFirstColumn="0" w:lastRowLastColumn="0"/>
              <w:rPr>
                <w:rFonts w:ascii="Arial" w:hAnsi="Arial" w:cs="Arial"/>
              </w:rPr>
            </w:pPr>
          </w:p>
        </w:tc>
      </w:tr>
    </w:tbl>
    <w:p w14:paraId="2043ABF0" w14:textId="77777777" w:rsidR="004246C0" w:rsidRPr="005475F3" w:rsidRDefault="004246C0" w:rsidP="004246C0">
      <w:pPr>
        <w:spacing w:after="0" w:line="360" w:lineRule="auto"/>
        <w:ind w:right="-93" w:firstLine="708"/>
        <w:jc w:val="both"/>
        <w:rPr>
          <w:rFonts w:ascii="Arial" w:hAnsi="Arial" w:cs="Arial"/>
          <w:sz w:val="24"/>
          <w:szCs w:val="24"/>
        </w:rPr>
      </w:pPr>
    </w:p>
    <w:p w14:paraId="5F27C949" w14:textId="77777777" w:rsidR="004246C0" w:rsidRPr="005475F3" w:rsidRDefault="004246C0" w:rsidP="004246C0">
      <w:pPr>
        <w:spacing w:after="0" w:line="360" w:lineRule="auto"/>
        <w:ind w:right="-93" w:firstLine="708"/>
        <w:jc w:val="both"/>
        <w:rPr>
          <w:rFonts w:ascii="Arial" w:hAnsi="Arial" w:cs="Arial"/>
          <w:sz w:val="24"/>
          <w:szCs w:val="24"/>
        </w:rPr>
      </w:pPr>
      <w:r w:rsidRPr="005475F3">
        <w:rPr>
          <w:rFonts w:ascii="Arial" w:hAnsi="Arial" w:cs="Arial"/>
          <w:sz w:val="24"/>
          <w:szCs w:val="24"/>
        </w:rPr>
        <w:lastRenderedPageBreak/>
        <w:t>Lo anterior, denota la relación existente entre la aplicación de la prueba de daño, con la naturaleza propia de las circunstancias en que se encuentra la documentación solicitada, a fin de acreditar la oportunidad en la clasificación de la información, lo cual se puede expresar conforme al siguiente gráfico:</w:t>
      </w:r>
    </w:p>
    <w:p w14:paraId="1461F114" w14:textId="77777777" w:rsidR="004246C0" w:rsidRPr="005475F3" w:rsidRDefault="004246C0" w:rsidP="004246C0">
      <w:pPr>
        <w:spacing w:after="0" w:line="360" w:lineRule="auto"/>
        <w:ind w:right="-93" w:firstLine="142"/>
        <w:jc w:val="both"/>
        <w:rPr>
          <w:rFonts w:ascii="Arial" w:hAnsi="Arial" w:cs="Arial"/>
          <w:sz w:val="24"/>
          <w:szCs w:val="24"/>
        </w:rPr>
      </w:pPr>
      <w:r w:rsidRPr="005475F3">
        <w:rPr>
          <w:rFonts w:ascii="Arial" w:hAnsi="Arial" w:cs="Arial"/>
          <w:noProof/>
          <w:sz w:val="24"/>
          <w:szCs w:val="24"/>
          <w:lang w:eastAsia="es-MX"/>
        </w:rPr>
        <w:drawing>
          <wp:inline distT="0" distB="0" distL="0" distR="0" wp14:anchorId="19B9EC7E" wp14:editId="2BB7D906">
            <wp:extent cx="6050915" cy="2276475"/>
            <wp:effectExtent l="19050" t="0" r="0" b="0"/>
            <wp:docPr id="1802258045"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0C6A53E7" w14:textId="4475E4D7" w:rsidR="004246C0" w:rsidRPr="005475F3" w:rsidRDefault="004246C0" w:rsidP="004246C0">
      <w:pPr>
        <w:spacing w:after="0" w:line="360" w:lineRule="auto"/>
        <w:ind w:right="-93" w:firstLine="708"/>
        <w:jc w:val="both"/>
        <w:rPr>
          <w:rFonts w:ascii="Arial" w:hAnsi="Arial" w:cs="Arial"/>
          <w:sz w:val="24"/>
          <w:szCs w:val="24"/>
        </w:rPr>
      </w:pPr>
      <w:r w:rsidRPr="005475F3">
        <w:rPr>
          <w:rFonts w:ascii="Arial" w:hAnsi="Arial" w:cs="Arial"/>
          <w:sz w:val="24"/>
          <w:szCs w:val="24"/>
        </w:rPr>
        <w:t xml:space="preserve">De la representación gráfica anterior, es dable determinar que: </w:t>
      </w:r>
      <w:r w:rsidR="00DB0379" w:rsidRPr="005475F3">
        <w:rPr>
          <w:rFonts w:ascii="Arial" w:hAnsi="Arial" w:cs="Arial"/>
          <w:b/>
          <w:sz w:val="24"/>
          <w:szCs w:val="24"/>
        </w:rPr>
        <w:t>A</w:t>
      </w:r>
      <w:r w:rsidRPr="005475F3">
        <w:rPr>
          <w:rFonts w:ascii="Arial" w:hAnsi="Arial" w:cs="Arial"/>
          <w:b/>
          <w:sz w:val="24"/>
          <w:szCs w:val="24"/>
        </w:rPr>
        <w:t>)</w:t>
      </w:r>
      <w:r w:rsidRPr="005475F3">
        <w:rPr>
          <w:rFonts w:ascii="Arial" w:hAnsi="Arial" w:cs="Arial"/>
          <w:sz w:val="24"/>
          <w:szCs w:val="24"/>
        </w:rPr>
        <w:t xml:space="preserve"> son los requisitos contemplados en el artículo 118 de la Ley Local de la Materia, los cuales se expresan de manera general, pero se vuelven específicas y detalladas, a través de </w:t>
      </w:r>
      <w:r w:rsidR="00DB0379" w:rsidRPr="005475F3">
        <w:rPr>
          <w:rFonts w:ascii="Arial" w:hAnsi="Arial" w:cs="Arial"/>
          <w:b/>
          <w:sz w:val="24"/>
          <w:szCs w:val="24"/>
        </w:rPr>
        <w:t>B</w:t>
      </w:r>
      <w:r w:rsidRPr="005475F3">
        <w:rPr>
          <w:rFonts w:ascii="Arial" w:hAnsi="Arial" w:cs="Arial"/>
          <w:b/>
          <w:sz w:val="24"/>
          <w:szCs w:val="24"/>
        </w:rPr>
        <w:t xml:space="preserve">) </w:t>
      </w:r>
      <w:r w:rsidRPr="005475F3">
        <w:rPr>
          <w:rFonts w:ascii="Arial" w:hAnsi="Arial" w:cs="Arial"/>
          <w:sz w:val="24"/>
          <w:szCs w:val="24"/>
        </w:rPr>
        <w:t>por ser éstos los elementos considerativos de las circunstancias de la información a clasificar</w:t>
      </w:r>
      <w:r w:rsidR="00DB0379" w:rsidRPr="005475F3">
        <w:rPr>
          <w:rFonts w:ascii="Arial" w:hAnsi="Arial" w:cs="Arial"/>
          <w:sz w:val="24"/>
          <w:szCs w:val="24"/>
        </w:rPr>
        <w:t xml:space="preserve"> (naturaleza de esta)</w:t>
      </w:r>
      <w:r w:rsidRPr="005475F3">
        <w:rPr>
          <w:rFonts w:ascii="Arial" w:hAnsi="Arial" w:cs="Arial"/>
          <w:sz w:val="24"/>
          <w:szCs w:val="24"/>
        </w:rPr>
        <w:t xml:space="preserve">; y, por </w:t>
      </w:r>
      <w:r w:rsidRPr="005475F3">
        <w:rPr>
          <w:rFonts w:ascii="Arial" w:hAnsi="Arial" w:cs="Arial"/>
          <w:b/>
          <w:sz w:val="24"/>
          <w:szCs w:val="24"/>
        </w:rPr>
        <w:t>C)</w:t>
      </w:r>
      <w:r w:rsidRPr="005475F3">
        <w:rPr>
          <w:rFonts w:ascii="Arial" w:hAnsi="Arial" w:cs="Arial"/>
          <w:sz w:val="24"/>
          <w:szCs w:val="24"/>
        </w:rPr>
        <w:t xml:space="preserve"> encuentran justificación, al plasmar los requisitos que preveía el Lineamiento Trigésimo Tercero de los </w:t>
      </w:r>
      <w:r w:rsidRPr="005475F3">
        <w:rPr>
          <w:rFonts w:ascii="Arial" w:eastAsia="Arial Unicode MS" w:hAnsi="Arial" w:cs="Arial"/>
          <w:sz w:val="24"/>
          <w:szCs w:val="24"/>
          <w:lang w:eastAsia="es-ES"/>
        </w:rPr>
        <w:t>Lineamientos Generales en Materia de Clasificación y Desclasificación de la Información, así como para la Elaboración de Versiones Públicas.</w:t>
      </w:r>
    </w:p>
    <w:p w14:paraId="66216AE8" w14:textId="77777777" w:rsidR="004246C0" w:rsidRPr="005475F3" w:rsidRDefault="004246C0" w:rsidP="004246C0">
      <w:pPr>
        <w:spacing w:after="0" w:line="360" w:lineRule="auto"/>
        <w:ind w:right="-93" w:firstLine="708"/>
        <w:jc w:val="both"/>
        <w:rPr>
          <w:rFonts w:ascii="Arial" w:hAnsi="Arial" w:cs="Arial"/>
          <w:sz w:val="24"/>
          <w:szCs w:val="24"/>
        </w:rPr>
      </w:pPr>
    </w:p>
    <w:p w14:paraId="2B0F23A5" w14:textId="77777777" w:rsidR="004246C0" w:rsidRPr="005475F3" w:rsidRDefault="004246C0" w:rsidP="004246C0">
      <w:pPr>
        <w:spacing w:after="0" w:line="360" w:lineRule="auto"/>
        <w:ind w:right="-91" w:firstLine="708"/>
        <w:jc w:val="both"/>
        <w:rPr>
          <w:rFonts w:ascii="Arial" w:eastAsia="Arial Unicode MS" w:hAnsi="Arial" w:cs="Arial"/>
          <w:sz w:val="24"/>
          <w:szCs w:val="24"/>
          <w:lang w:eastAsia="es-ES"/>
        </w:rPr>
      </w:pPr>
      <w:r w:rsidRPr="005475F3">
        <w:rPr>
          <w:rFonts w:ascii="Arial" w:hAnsi="Arial" w:cs="Arial"/>
          <w:b/>
          <w:bCs/>
          <w:sz w:val="24"/>
          <w:szCs w:val="24"/>
        </w:rPr>
        <w:t>a.2. Del análisis de la prueba de daño: la divulgación de la información representa un riesgo real, demostrable e identificable de perjuicio significativo al interés público.</w:t>
      </w:r>
    </w:p>
    <w:p w14:paraId="7ED730DA" w14:textId="77777777" w:rsidR="004246C0" w:rsidRPr="005475F3" w:rsidRDefault="004246C0" w:rsidP="004246C0">
      <w:pPr>
        <w:spacing w:after="0" w:line="360" w:lineRule="auto"/>
        <w:ind w:right="-93" w:firstLine="708"/>
        <w:jc w:val="both"/>
        <w:rPr>
          <w:rFonts w:ascii="Arial" w:hAnsi="Arial" w:cs="Arial"/>
          <w:sz w:val="24"/>
          <w:szCs w:val="24"/>
        </w:rPr>
      </w:pPr>
      <w:r w:rsidRPr="005475F3">
        <w:rPr>
          <w:rFonts w:ascii="Arial" w:hAnsi="Arial" w:cs="Arial"/>
          <w:sz w:val="24"/>
          <w:szCs w:val="24"/>
        </w:rPr>
        <w:t>Para efecto de realizar lo concerniente al presente punto de estudio, es de interés el observar 1. La existencia de un riesgo; es decir, la manifestación sucinta de las circunstancias de modo tiempo y lugar que pudieran causar una afección; 2. El resultado objetivo de un perjuicio (daño); y, 3. La relación del daño con el interés público.</w:t>
      </w:r>
    </w:p>
    <w:p w14:paraId="207A1914" w14:textId="77777777" w:rsidR="004246C0" w:rsidRPr="005475F3" w:rsidRDefault="004246C0" w:rsidP="004246C0">
      <w:pPr>
        <w:spacing w:after="0" w:line="360" w:lineRule="auto"/>
        <w:ind w:right="-93" w:firstLine="708"/>
        <w:jc w:val="both"/>
        <w:rPr>
          <w:rFonts w:ascii="Arial" w:hAnsi="Arial" w:cs="Arial"/>
          <w:sz w:val="24"/>
          <w:szCs w:val="24"/>
        </w:rPr>
      </w:pPr>
    </w:p>
    <w:p w14:paraId="0720CDBD" w14:textId="77777777" w:rsidR="004246C0" w:rsidRPr="005475F3" w:rsidRDefault="004246C0" w:rsidP="004246C0">
      <w:pPr>
        <w:spacing w:after="0" w:line="360" w:lineRule="auto"/>
        <w:ind w:right="-93" w:firstLine="708"/>
        <w:jc w:val="both"/>
        <w:rPr>
          <w:rFonts w:ascii="Arial" w:hAnsi="Arial" w:cs="Arial"/>
          <w:sz w:val="24"/>
          <w:szCs w:val="24"/>
        </w:rPr>
      </w:pPr>
      <w:r w:rsidRPr="005475F3">
        <w:rPr>
          <w:rFonts w:ascii="Arial" w:hAnsi="Arial" w:cs="Arial"/>
          <w:sz w:val="24"/>
          <w:szCs w:val="24"/>
        </w:rPr>
        <w:t xml:space="preserve">Guillermo A. Tenorio Cueto, al analizar lo concerniente a la prueba de daño </w:t>
      </w:r>
      <w:r w:rsidRPr="005475F3">
        <w:rPr>
          <w:rFonts w:ascii="Arial" w:hAnsi="Arial" w:cs="Arial"/>
          <w:i/>
          <w:sz w:val="24"/>
          <w:szCs w:val="24"/>
        </w:rPr>
        <w:t xml:space="preserve">-conforme a la ahora abrogada Ley Federal de Transparencia y Acceso a la Información Pública Gubernamental- </w:t>
      </w:r>
      <w:r w:rsidRPr="005475F3">
        <w:rPr>
          <w:rFonts w:ascii="Arial" w:hAnsi="Arial" w:cs="Arial"/>
          <w:sz w:val="24"/>
          <w:szCs w:val="24"/>
        </w:rPr>
        <w:t xml:space="preserve">precisó que, en el sistema Jurídico Mexicano, por el cual se garantiza el acceso a la información pública, el daño está </w:t>
      </w:r>
      <w:r w:rsidRPr="005475F3">
        <w:rPr>
          <w:rFonts w:ascii="Arial" w:hAnsi="Arial" w:cs="Arial"/>
          <w:sz w:val="24"/>
          <w:szCs w:val="24"/>
        </w:rPr>
        <w:lastRenderedPageBreak/>
        <w:t>directamente vinculado al menoscabo, perjuicio o detrimento que se puede causar a la cosa pública por la revelación de la información que debe clasificarse como reservada.</w:t>
      </w:r>
    </w:p>
    <w:p w14:paraId="10818B5A" w14:textId="77777777" w:rsidR="004246C0" w:rsidRPr="005475F3" w:rsidRDefault="004246C0" w:rsidP="004246C0">
      <w:pPr>
        <w:spacing w:after="0" w:line="360" w:lineRule="auto"/>
        <w:ind w:right="-93" w:firstLine="708"/>
        <w:jc w:val="both"/>
        <w:rPr>
          <w:rFonts w:ascii="Arial" w:hAnsi="Arial" w:cs="Arial"/>
          <w:sz w:val="24"/>
          <w:szCs w:val="24"/>
        </w:rPr>
      </w:pPr>
    </w:p>
    <w:p w14:paraId="54CBBE4E" w14:textId="77777777" w:rsidR="004246C0" w:rsidRPr="005475F3" w:rsidRDefault="004246C0" w:rsidP="004246C0">
      <w:pPr>
        <w:spacing w:after="0" w:line="360" w:lineRule="auto"/>
        <w:ind w:right="-93" w:firstLine="708"/>
        <w:jc w:val="both"/>
        <w:rPr>
          <w:rFonts w:ascii="Arial" w:hAnsi="Arial" w:cs="Arial"/>
          <w:sz w:val="24"/>
          <w:szCs w:val="24"/>
        </w:rPr>
      </w:pPr>
      <w:r w:rsidRPr="005475F3">
        <w:rPr>
          <w:rFonts w:ascii="Arial" w:hAnsi="Arial" w:cs="Arial"/>
          <w:sz w:val="24"/>
          <w:szCs w:val="24"/>
        </w:rPr>
        <w:t>Por lo cual, no obstante que, la normativa de la materia, no exigía de manera expresa la realización de la prueba de daño, si obligaba a la realización de procedimientos lógicos que demostraran tres tipos de daño: 1. Presente; 2. Probable: y, 3. Específico.</w:t>
      </w:r>
    </w:p>
    <w:p w14:paraId="2750A289" w14:textId="77777777" w:rsidR="004246C0" w:rsidRPr="005475F3" w:rsidRDefault="004246C0" w:rsidP="004246C0">
      <w:pPr>
        <w:spacing w:after="0" w:line="360" w:lineRule="auto"/>
        <w:ind w:right="-93" w:firstLine="708"/>
        <w:jc w:val="both"/>
        <w:rPr>
          <w:rFonts w:ascii="Arial" w:hAnsi="Arial" w:cs="Arial"/>
          <w:sz w:val="24"/>
          <w:szCs w:val="24"/>
        </w:rPr>
      </w:pPr>
    </w:p>
    <w:p w14:paraId="5B782055" w14:textId="77777777" w:rsidR="004246C0" w:rsidRPr="005475F3" w:rsidRDefault="004246C0" w:rsidP="004246C0">
      <w:pPr>
        <w:spacing w:after="0" w:line="360" w:lineRule="auto"/>
        <w:ind w:right="-93" w:firstLine="708"/>
        <w:jc w:val="both"/>
        <w:rPr>
          <w:rFonts w:ascii="Arial" w:hAnsi="Arial" w:cs="Arial"/>
          <w:sz w:val="24"/>
          <w:szCs w:val="24"/>
        </w:rPr>
      </w:pPr>
      <w:r w:rsidRPr="005475F3">
        <w:rPr>
          <w:rFonts w:ascii="Arial" w:hAnsi="Arial" w:cs="Arial"/>
          <w:sz w:val="24"/>
          <w:szCs w:val="24"/>
        </w:rPr>
        <w:t>De los cuales distingue, en cuanto a la modalidad en que se constituyen; siendo el primero, a través de la vinculación objetiva del daño en relación con el impacto de la información en el bien jurídico tutelado (interés público); el segundo, refiere a la suposición deductiva de la afectación causada, con la revelación de la información; y, el tercero, consiste en la identificación del aparato del Estado que, de manera directa sufre la afectación, con la divulgación de la documentación.</w:t>
      </w:r>
    </w:p>
    <w:p w14:paraId="2A7D506C" w14:textId="77777777" w:rsidR="004246C0" w:rsidRPr="005475F3" w:rsidRDefault="004246C0" w:rsidP="004246C0">
      <w:pPr>
        <w:spacing w:after="0" w:line="360" w:lineRule="auto"/>
        <w:ind w:right="-93" w:firstLine="708"/>
        <w:jc w:val="both"/>
        <w:rPr>
          <w:rFonts w:ascii="Arial" w:eastAsia="Arial Unicode MS" w:hAnsi="Arial" w:cs="Arial"/>
          <w:sz w:val="24"/>
          <w:szCs w:val="24"/>
          <w:lang w:eastAsia="es-ES"/>
        </w:rPr>
      </w:pPr>
    </w:p>
    <w:p w14:paraId="2482F629" w14:textId="77777777" w:rsidR="004246C0" w:rsidRPr="005475F3" w:rsidRDefault="004246C0" w:rsidP="004246C0">
      <w:pPr>
        <w:spacing w:after="0" w:line="360" w:lineRule="auto"/>
        <w:ind w:right="-93"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En concordancia con lo anterior, es menester abordar lo que debe entenderse por </w:t>
      </w:r>
      <w:r w:rsidRPr="005475F3">
        <w:rPr>
          <w:rFonts w:ascii="Arial" w:eastAsia="Arial Unicode MS" w:hAnsi="Arial" w:cs="Arial"/>
          <w:i/>
          <w:sz w:val="24"/>
          <w:szCs w:val="24"/>
          <w:lang w:eastAsia="es-ES"/>
        </w:rPr>
        <w:t>“interés público”,</w:t>
      </w:r>
      <w:r w:rsidRPr="005475F3">
        <w:rPr>
          <w:rFonts w:ascii="Arial" w:eastAsia="Arial Unicode MS" w:hAnsi="Arial" w:cs="Arial"/>
          <w:sz w:val="24"/>
          <w:szCs w:val="24"/>
          <w:lang w:eastAsia="es-ES"/>
        </w:rPr>
        <w:t xml:space="preserve"> resultando éste en el </w:t>
      </w:r>
      <w:r w:rsidRPr="005475F3">
        <w:rPr>
          <w:rFonts w:ascii="Arial" w:eastAsia="Arial Unicode MS" w:hAnsi="Arial" w:cs="Arial"/>
          <w:i/>
          <w:iCs/>
          <w:sz w:val="24"/>
          <w:szCs w:val="24"/>
          <w:lang w:eastAsia="es-ES"/>
        </w:rPr>
        <w:t>conjunto de pretensiones relacionadas con las necesidades colectivas de los miembros de una comunidad</w:t>
      </w:r>
      <w:r w:rsidRPr="005475F3">
        <w:rPr>
          <w:rStyle w:val="Refdenotaalpie"/>
          <w:rFonts w:ascii="Arial" w:eastAsia="Arial Unicode MS" w:hAnsi="Arial" w:cs="Arial"/>
          <w:i/>
          <w:iCs/>
          <w:sz w:val="24"/>
          <w:szCs w:val="24"/>
          <w:lang w:eastAsia="es-ES"/>
        </w:rPr>
        <w:footnoteReference w:id="54"/>
      </w:r>
      <w:r w:rsidRPr="005475F3">
        <w:rPr>
          <w:rFonts w:ascii="Arial" w:eastAsia="Arial Unicode MS" w:hAnsi="Arial" w:cs="Arial"/>
          <w:sz w:val="24"/>
          <w:szCs w:val="24"/>
          <w:lang w:eastAsia="es-ES"/>
        </w:rPr>
        <w:t xml:space="preserve">, del cual, es de decirse que se vuelve en un </w:t>
      </w:r>
      <w:r w:rsidRPr="005475F3">
        <w:rPr>
          <w:rFonts w:ascii="Arial" w:eastAsia="Arial Unicode MS" w:hAnsi="Arial" w:cs="Arial"/>
          <w:i/>
          <w:iCs/>
          <w:sz w:val="24"/>
          <w:szCs w:val="24"/>
          <w:lang w:eastAsia="es-ES"/>
        </w:rPr>
        <w:t>concepto jurídico indeterminado</w:t>
      </w:r>
      <w:r w:rsidRPr="005475F3">
        <w:rPr>
          <w:rFonts w:ascii="Arial" w:eastAsia="Arial Unicode MS" w:hAnsi="Arial" w:cs="Arial"/>
          <w:sz w:val="24"/>
          <w:szCs w:val="24"/>
          <w:lang w:eastAsia="es-ES"/>
        </w:rPr>
        <w:t xml:space="preserve"> en la medida que la normativa excluye la delimitación precisa de su identificativo; de manera tal que, a efecto de realizar la adecuada aplicación e identificación del interés en comento, se debe realizar la adecuada motivación que lo identifique en el caso en concreto</w:t>
      </w:r>
      <w:r w:rsidRPr="005475F3">
        <w:rPr>
          <w:rStyle w:val="Refdenotaalpie"/>
          <w:rFonts w:ascii="Arial" w:eastAsia="Arial Unicode MS" w:hAnsi="Arial" w:cs="Arial"/>
          <w:sz w:val="24"/>
          <w:szCs w:val="24"/>
          <w:lang w:eastAsia="es-ES"/>
        </w:rPr>
        <w:footnoteReference w:id="55"/>
      </w:r>
      <w:r w:rsidRPr="005475F3">
        <w:rPr>
          <w:rFonts w:ascii="Arial" w:eastAsia="Arial Unicode MS" w:hAnsi="Arial" w:cs="Arial"/>
          <w:sz w:val="24"/>
          <w:szCs w:val="24"/>
          <w:lang w:eastAsia="es-ES"/>
        </w:rPr>
        <w:t>.</w:t>
      </w:r>
    </w:p>
    <w:p w14:paraId="4F2A3BD7" w14:textId="77777777" w:rsidR="004246C0" w:rsidRPr="005475F3" w:rsidRDefault="004246C0" w:rsidP="004246C0">
      <w:pPr>
        <w:spacing w:after="0" w:line="360" w:lineRule="auto"/>
        <w:ind w:right="-93" w:firstLine="708"/>
        <w:jc w:val="both"/>
        <w:rPr>
          <w:rFonts w:ascii="Arial" w:eastAsia="Arial Unicode MS" w:hAnsi="Arial" w:cs="Arial"/>
          <w:sz w:val="24"/>
          <w:szCs w:val="24"/>
          <w:lang w:eastAsia="es-ES"/>
        </w:rPr>
      </w:pPr>
    </w:p>
    <w:p w14:paraId="224682BF" w14:textId="77777777" w:rsidR="004246C0" w:rsidRPr="005475F3" w:rsidRDefault="004246C0" w:rsidP="004246C0">
      <w:pPr>
        <w:spacing w:after="0" w:line="360" w:lineRule="auto"/>
        <w:ind w:right="-93" w:firstLine="708"/>
        <w:jc w:val="both"/>
        <w:rPr>
          <w:rFonts w:ascii="Arial" w:hAnsi="Arial" w:cs="Arial"/>
          <w:sz w:val="24"/>
          <w:szCs w:val="24"/>
          <w:shd w:val="clear" w:color="auto" w:fill="FFFFFF"/>
        </w:rPr>
      </w:pPr>
      <w:r w:rsidRPr="005475F3">
        <w:rPr>
          <w:rFonts w:ascii="Arial" w:eastAsia="Arial Unicode MS" w:hAnsi="Arial" w:cs="Arial"/>
          <w:sz w:val="24"/>
          <w:szCs w:val="24"/>
          <w:lang w:eastAsia="es-ES"/>
        </w:rPr>
        <w:t xml:space="preserve">Sobre lo tocante, el Cuarto Tribunal Colegiado en Materia Administrativa del Primer Circuito, </w:t>
      </w:r>
      <w:r w:rsidRPr="005475F3">
        <w:rPr>
          <w:rFonts w:ascii="Arial" w:hAnsi="Arial" w:cs="Arial"/>
          <w:sz w:val="24"/>
          <w:szCs w:val="24"/>
          <w:shd w:val="clear" w:color="auto" w:fill="FFFFFF"/>
        </w:rPr>
        <w:t>abordó lo correspondiente al Orden Público (por ser un concepto jurídico indeterminado) de la siguiente manera:</w:t>
      </w:r>
    </w:p>
    <w:p w14:paraId="0612927C" w14:textId="77777777" w:rsidR="004246C0" w:rsidRPr="005475F3" w:rsidRDefault="004246C0" w:rsidP="004246C0">
      <w:pPr>
        <w:spacing w:after="0" w:line="360" w:lineRule="auto"/>
        <w:ind w:right="-93" w:firstLine="708"/>
        <w:jc w:val="both"/>
        <w:rPr>
          <w:rFonts w:ascii="Arial" w:hAnsi="Arial" w:cs="Arial"/>
          <w:sz w:val="23"/>
          <w:szCs w:val="23"/>
          <w:shd w:val="clear" w:color="auto" w:fill="FFFFFF"/>
        </w:rPr>
      </w:pPr>
    </w:p>
    <w:p w14:paraId="118A6243" w14:textId="77777777" w:rsidR="004246C0" w:rsidRPr="005475F3" w:rsidRDefault="004246C0" w:rsidP="004246C0">
      <w:pPr>
        <w:shd w:val="clear" w:color="auto" w:fill="FFFFFF"/>
        <w:spacing w:after="0" w:line="240" w:lineRule="auto"/>
        <w:ind w:left="1134" w:right="1183"/>
        <w:jc w:val="both"/>
        <w:rPr>
          <w:rFonts w:ascii="Arial" w:eastAsia="Times New Roman" w:hAnsi="Arial" w:cs="Arial"/>
          <w:b/>
          <w:bCs/>
          <w:lang w:val="es-ES" w:eastAsia="es-ES_tradnl"/>
        </w:rPr>
      </w:pPr>
      <w:r w:rsidRPr="005475F3">
        <w:rPr>
          <w:rFonts w:ascii="Arial" w:eastAsia="Times New Roman" w:hAnsi="Arial" w:cs="Arial"/>
          <w:b/>
          <w:bCs/>
          <w:lang w:val="es-ES" w:eastAsia="es-ES_tradnl"/>
        </w:rPr>
        <w:t>ORDEN PÚBLICO. ES UN CONCEPTO JURÍDICO INDETERMINADO QUE DEBE SER PRECISADO Y VALORADO DEPENDIENDO DE LAS CIRCUNSTANCIAS ESPECÍFICAS DE CADA CASO CONCRETO.</w:t>
      </w:r>
    </w:p>
    <w:p w14:paraId="04E85532" w14:textId="77777777" w:rsidR="004246C0" w:rsidRPr="005475F3" w:rsidRDefault="004246C0" w:rsidP="004246C0">
      <w:pPr>
        <w:shd w:val="clear" w:color="auto" w:fill="FFFFFF"/>
        <w:spacing w:after="0" w:line="240" w:lineRule="auto"/>
        <w:ind w:left="1134" w:right="1183"/>
        <w:jc w:val="both"/>
        <w:rPr>
          <w:rFonts w:ascii="Arial" w:eastAsia="Times New Roman" w:hAnsi="Arial" w:cs="Arial"/>
          <w:lang w:val="es-ES" w:eastAsia="es-ES_tradnl"/>
        </w:rPr>
      </w:pPr>
      <w:r w:rsidRPr="005475F3">
        <w:rPr>
          <w:rFonts w:ascii="Arial" w:eastAsia="Times New Roman" w:hAnsi="Arial" w:cs="Arial"/>
          <w:lang w:val="es-ES" w:eastAsia="es-ES_tradnl"/>
        </w:rPr>
        <w:lastRenderedPageBreak/>
        <w:t>Hechos: En un juicio de amparo indirecto se solicitó la suspensión de los actos reclamados. Para concederla o negarla, el Juez de Distrito argumentó cuestiones de orden público e interés social.</w:t>
      </w:r>
    </w:p>
    <w:p w14:paraId="6019231F" w14:textId="77777777" w:rsidR="004246C0" w:rsidRPr="005475F3" w:rsidRDefault="004246C0" w:rsidP="004246C0">
      <w:pPr>
        <w:shd w:val="clear" w:color="auto" w:fill="FFFFFF"/>
        <w:spacing w:after="0" w:line="240" w:lineRule="auto"/>
        <w:ind w:left="1134" w:right="1183"/>
        <w:jc w:val="both"/>
        <w:rPr>
          <w:rFonts w:ascii="Arial" w:eastAsia="Times New Roman" w:hAnsi="Arial" w:cs="Arial"/>
          <w:b/>
          <w:bCs/>
          <w:lang w:val="es-ES" w:eastAsia="es-ES_tradnl"/>
        </w:rPr>
      </w:pPr>
      <w:r w:rsidRPr="005475F3">
        <w:rPr>
          <w:rFonts w:ascii="Arial" w:eastAsia="Times New Roman" w:hAnsi="Arial" w:cs="Arial"/>
          <w:lang w:val="es-ES" w:eastAsia="es-ES_tradnl"/>
        </w:rPr>
        <w:t>Criterio jurídico: Este Tribunal Colegiado de Circuito determina que</w:t>
      </w:r>
      <w:r w:rsidRPr="005475F3">
        <w:rPr>
          <w:rFonts w:ascii="Arial" w:eastAsia="Times New Roman" w:hAnsi="Arial" w:cs="Arial"/>
          <w:b/>
          <w:bCs/>
          <w:lang w:val="es-ES" w:eastAsia="es-ES_tradnl"/>
        </w:rPr>
        <w:t xml:space="preserve"> el orden público debe ser precisado y valorado dependiendo de las circunstancias específicas de cada caso concreto, al ser un concepto jurídico indeterminado.</w:t>
      </w:r>
    </w:p>
    <w:p w14:paraId="3F6552CC" w14:textId="77777777" w:rsidR="004246C0" w:rsidRPr="005475F3" w:rsidRDefault="004246C0" w:rsidP="004246C0">
      <w:pPr>
        <w:shd w:val="clear" w:color="auto" w:fill="FFFFFF"/>
        <w:spacing w:after="0" w:line="240" w:lineRule="auto"/>
        <w:ind w:left="1134" w:right="1183"/>
        <w:jc w:val="both"/>
        <w:rPr>
          <w:rFonts w:ascii="Arial" w:eastAsia="Times New Roman" w:hAnsi="Arial" w:cs="Arial"/>
          <w:lang w:val="es-ES" w:eastAsia="es-ES_tradnl"/>
        </w:rPr>
      </w:pPr>
      <w:r w:rsidRPr="005475F3">
        <w:rPr>
          <w:rFonts w:ascii="Arial" w:eastAsia="Times New Roman" w:hAnsi="Arial" w:cs="Arial"/>
          <w:lang w:val="es-ES" w:eastAsia="es-ES_tradnl"/>
        </w:rPr>
        <w:t xml:space="preserve">Justificación: Lo anterior, porque </w:t>
      </w:r>
      <w:r w:rsidRPr="005475F3">
        <w:rPr>
          <w:rFonts w:ascii="Arial" w:eastAsia="Times New Roman" w:hAnsi="Arial" w:cs="Arial"/>
          <w:u w:val="single"/>
          <w:lang w:val="es-ES" w:eastAsia="es-ES_tradnl"/>
        </w:rPr>
        <w:t>el orden público es la expresión de un valor, aplicado en casos concretos, determinando una mayor intervención o límite a derechos y libertades individuales o particulares en razón de proteger intereses de carácter colectivo</w:t>
      </w:r>
      <w:r w:rsidRPr="005475F3">
        <w:rPr>
          <w:rFonts w:ascii="Arial" w:eastAsia="Times New Roman" w:hAnsi="Arial" w:cs="Arial"/>
          <w:lang w:val="es-ES" w:eastAsia="es-ES_tradnl"/>
        </w:rPr>
        <w:t xml:space="preserve">; asimismo, </w:t>
      </w:r>
      <w:r w:rsidRPr="005475F3">
        <w:rPr>
          <w:rFonts w:ascii="Arial" w:eastAsia="Times New Roman" w:hAnsi="Arial" w:cs="Arial"/>
          <w:b/>
          <w:bCs/>
          <w:lang w:val="es-ES" w:eastAsia="es-ES_tradnl"/>
        </w:rPr>
        <w:t>es un concepto jurídico esencialmente indeterminado</w:t>
      </w:r>
      <w:r w:rsidRPr="005475F3">
        <w:rPr>
          <w:rFonts w:ascii="Arial" w:eastAsia="Times New Roman" w:hAnsi="Arial" w:cs="Arial"/>
          <w:lang w:val="es-ES" w:eastAsia="es-ES_tradnl"/>
        </w:rPr>
        <w:t xml:space="preserve"> que persigue cierto grado de armonía social y de eficacia del derecho, </w:t>
      </w:r>
      <w:r w:rsidRPr="005475F3">
        <w:rPr>
          <w:rFonts w:ascii="Arial" w:eastAsia="Times New Roman" w:hAnsi="Arial" w:cs="Arial"/>
          <w:b/>
          <w:bCs/>
          <w:lang w:val="es-ES" w:eastAsia="es-ES_tradnl"/>
        </w:rPr>
        <w:t>que se actualiza en cada caso concreto y acorde al marco normativo, cuyo contenido sólo puede ser delineado por las circunstancias de modo, tiempo y lugar que prevalezcan en el momento en que se realice la valoración o estudio del mismo</w:t>
      </w:r>
      <w:r w:rsidRPr="005475F3">
        <w:rPr>
          <w:rFonts w:ascii="Arial" w:eastAsia="Times New Roman" w:hAnsi="Arial" w:cs="Arial"/>
          <w:lang w:val="es-ES" w:eastAsia="es-ES_tradnl"/>
        </w:rPr>
        <w:t xml:space="preserve">. En ese contexto, </w:t>
      </w:r>
      <w:r w:rsidRPr="005475F3">
        <w:rPr>
          <w:rFonts w:ascii="Arial" w:eastAsia="Times New Roman" w:hAnsi="Arial" w:cs="Arial"/>
          <w:b/>
          <w:bCs/>
          <w:lang w:val="es-ES" w:eastAsia="es-ES_tradnl"/>
        </w:rPr>
        <w:t>su connotación debe ser consistente con circunstancias de casos concretos y con supuestos de afectación, por lo que no es posible predeterminar su alcance de manera genérica y anticipada con una pretensión de definición fija e inflexible</w:t>
      </w:r>
      <w:r w:rsidRPr="005475F3">
        <w:rPr>
          <w:rFonts w:ascii="Arial" w:eastAsia="Times New Roman" w:hAnsi="Arial" w:cs="Arial"/>
          <w:lang w:val="es-ES" w:eastAsia="es-ES_tradnl"/>
        </w:rPr>
        <w:t>. Por tanto, cuando tiene el propósito y consecuencia de restringir, al clausurar y reprimir el alcance de protección de los derechos fundamentales, debe controlarse y no dar un uso arbitrario o ajeno a los efectos concretos e innecesarios de su secuela limitadora.</w:t>
      </w:r>
      <w:r w:rsidRPr="005475F3">
        <w:rPr>
          <w:rStyle w:val="Refdenotaalpie"/>
          <w:rFonts w:ascii="Arial" w:eastAsia="Times New Roman" w:hAnsi="Arial" w:cs="Arial"/>
          <w:lang w:val="es-ES" w:eastAsia="es-ES_tradnl"/>
        </w:rPr>
        <w:footnoteReference w:id="56"/>
      </w:r>
    </w:p>
    <w:p w14:paraId="0BB12299" w14:textId="77777777" w:rsidR="00DB0379" w:rsidRPr="005475F3" w:rsidRDefault="00DB0379" w:rsidP="004246C0">
      <w:pPr>
        <w:spacing w:after="0" w:line="360" w:lineRule="auto"/>
        <w:ind w:right="-91" w:firstLine="709"/>
        <w:jc w:val="both"/>
        <w:rPr>
          <w:rFonts w:ascii="Arial" w:eastAsia="Arial Unicode MS" w:hAnsi="Arial" w:cs="Arial"/>
          <w:sz w:val="24"/>
          <w:szCs w:val="24"/>
          <w:lang w:val="es-ES" w:eastAsia="es-ES"/>
        </w:rPr>
      </w:pPr>
    </w:p>
    <w:p w14:paraId="2D264396" w14:textId="1631B31D" w:rsidR="004246C0" w:rsidRPr="005475F3" w:rsidRDefault="004246C0" w:rsidP="004246C0">
      <w:pPr>
        <w:spacing w:after="0" w:line="360" w:lineRule="auto"/>
        <w:ind w:right="-91" w:firstLine="709"/>
        <w:jc w:val="both"/>
        <w:rPr>
          <w:rFonts w:ascii="Arial" w:eastAsia="Arial Unicode MS" w:hAnsi="Arial" w:cs="Arial"/>
          <w:sz w:val="24"/>
          <w:szCs w:val="24"/>
          <w:lang w:val="es-ES" w:eastAsia="es-ES"/>
        </w:rPr>
      </w:pPr>
      <w:r w:rsidRPr="005475F3">
        <w:rPr>
          <w:rFonts w:ascii="Arial" w:eastAsia="Arial Unicode MS" w:hAnsi="Arial" w:cs="Arial"/>
          <w:sz w:val="24"/>
          <w:szCs w:val="24"/>
          <w:lang w:val="es-ES" w:eastAsia="es-ES"/>
        </w:rPr>
        <w:t xml:space="preserve">De esta forma, en lo aplicable por analogía, permite entender que </w:t>
      </w:r>
      <w:r w:rsidRPr="005475F3">
        <w:rPr>
          <w:rFonts w:ascii="Arial" w:eastAsia="Arial Unicode MS" w:hAnsi="Arial" w:cs="Arial"/>
          <w:b/>
          <w:sz w:val="24"/>
          <w:szCs w:val="24"/>
          <w:lang w:val="es-ES" w:eastAsia="es-ES"/>
        </w:rPr>
        <w:t>las autoridades que emitan resoluciones</w:t>
      </w:r>
      <w:r w:rsidRPr="005475F3">
        <w:rPr>
          <w:rFonts w:ascii="Arial" w:eastAsia="Arial Unicode MS" w:hAnsi="Arial" w:cs="Arial"/>
          <w:sz w:val="24"/>
          <w:szCs w:val="24"/>
          <w:lang w:val="es-ES" w:eastAsia="es-ES"/>
        </w:rPr>
        <w:t xml:space="preserve"> por las cuales se determine de manera definitiva una circunstancia jurídica </w:t>
      </w:r>
      <w:r w:rsidRPr="005475F3">
        <w:rPr>
          <w:rFonts w:ascii="Arial" w:eastAsia="Arial Unicode MS" w:hAnsi="Arial" w:cs="Arial"/>
          <w:b/>
          <w:sz w:val="24"/>
          <w:szCs w:val="24"/>
          <w:lang w:val="es-ES" w:eastAsia="es-ES"/>
        </w:rPr>
        <w:t>en la que se hagan presentes los conceptos jurídicos indeterminados</w:t>
      </w:r>
      <w:r w:rsidRPr="005475F3">
        <w:rPr>
          <w:rFonts w:ascii="Arial" w:eastAsia="Arial Unicode MS" w:hAnsi="Arial" w:cs="Arial"/>
          <w:sz w:val="24"/>
          <w:szCs w:val="24"/>
          <w:lang w:val="es-ES" w:eastAsia="es-ES"/>
        </w:rPr>
        <w:t xml:space="preserve">, </w:t>
      </w:r>
      <w:r w:rsidRPr="005475F3">
        <w:rPr>
          <w:rFonts w:ascii="Arial" w:eastAsia="Arial Unicode MS" w:hAnsi="Arial" w:cs="Arial"/>
          <w:b/>
          <w:sz w:val="24"/>
          <w:szCs w:val="24"/>
          <w:lang w:val="es-ES" w:eastAsia="es-ES"/>
        </w:rPr>
        <w:t>deberá valorar caso por caso, a través del estudio de las circunstancias específicas del momento, sin que su alcance se pueda determinar de manera genérica</w:t>
      </w:r>
      <w:r w:rsidRPr="005475F3">
        <w:rPr>
          <w:rFonts w:ascii="Arial" w:eastAsia="Arial Unicode MS" w:hAnsi="Arial" w:cs="Arial"/>
          <w:sz w:val="24"/>
          <w:szCs w:val="24"/>
          <w:lang w:val="es-ES" w:eastAsia="es-ES"/>
        </w:rPr>
        <w:t xml:space="preserve">. </w:t>
      </w:r>
    </w:p>
    <w:p w14:paraId="2FFBA56A" w14:textId="77777777" w:rsidR="004246C0" w:rsidRPr="005475F3" w:rsidRDefault="004246C0" w:rsidP="004246C0">
      <w:pPr>
        <w:spacing w:after="0" w:line="360" w:lineRule="auto"/>
        <w:ind w:right="-91" w:firstLine="709"/>
        <w:jc w:val="both"/>
        <w:rPr>
          <w:rFonts w:ascii="Arial" w:eastAsia="Arial Unicode MS" w:hAnsi="Arial" w:cs="Arial"/>
          <w:sz w:val="24"/>
          <w:szCs w:val="24"/>
          <w:lang w:eastAsia="es-ES"/>
        </w:rPr>
      </w:pPr>
    </w:p>
    <w:p w14:paraId="640597C4" w14:textId="3F575AA9" w:rsidR="004246C0" w:rsidRPr="005475F3" w:rsidRDefault="004246C0" w:rsidP="004246C0">
      <w:pPr>
        <w:spacing w:after="0" w:line="360" w:lineRule="auto"/>
        <w:ind w:right="-91" w:firstLine="709"/>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Así, es posible dilucidar que, en el asunto en concreto, al abordar lo concerniente a la existencia de un riesgo real, otro demostrable y un último identificable, se alude a la manifestación lógica que acredite, por el primero, un vínculo entre la divulgación de la información y el impacto directo existente </w:t>
      </w:r>
      <w:r w:rsidR="00B734D7" w:rsidRPr="005475F3">
        <w:rPr>
          <w:rFonts w:ascii="Arial" w:eastAsia="Arial Unicode MS" w:hAnsi="Arial" w:cs="Arial"/>
          <w:sz w:val="24"/>
          <w:szCs w:val="24"/>
          <w:lang w:eastAsia="es-ES"/>
        </w:rPr>
        <w:t>al interés público existente, por conservar los elementos que integran la carpeta de investigación, así como toda aquella información clasificada por ministerio de ley bajo la secrecía del Estado</w:t>
      </w:r>
      <w:r w:rsidRPr="005475F3">
        <w:rPr>
          <w:rFonts w:ascii="Arial" w:eastAsia="Arial Unicode MS" w:hAnsi="Arial" w:cs="Arial"/>
          <w:sz w:val="24"/>
          <w:szCs w:val="24"/>
          <w:lang w:eastAsia="es-ES"/>
        </w:rPr>
        <w:t xml:space="preserve">; por el segundo, los efectos causados en </w:t>
      </w:r>
      <w:r w:rsidR="00B734D7" w:rsidRPr="005475F3">
        <w:rPr>
          <w:rFonts w:ascii="Arial" w:eastAsia="Arial Unicode MS" w:hAnsi="Arial" w:cs="Arial"/>
          <w:sz w:val="24"/>
          <w:szCs w:val="24"/>
          <w:lang w:eastAsia="es-ES"/>
        </w:rPr>
        <w:t xml:space="preserve">la carpeta </w:t>
      </w:r>
      <w:r w:rsidR="00B734D7" w:rsidRPr="005475F3">
        <w:rPr>
          <w:rFonts w:ascii="Arial" w:eastAsia="Arial Unicode MS" w:hAnsi="Arial" w:cs="Arial"/>
          <w:sz w:val="24"/>
          <w:szCs w:val="24"/>
          <w:lang w:eastAsia="es-ES"/>
        </w:rPr>
        <w:lastRenderedPageBreak/>
        <w:t>de investigación, o en su caso, en los datos reservados por así considerarse por los dispositivos legales que los regulan</w:t>
      </w:r>
      <w:r w:rsidRPr="005475F3">
        <w:rPr>
          <w:rFonts w:ascii="Arial" w:eastAsia="Arial Unicode MS" w:hAnsi="Arial" w:cs="Arial"/>
          <w:sz w:val="24"/>
          <w:szCs w:val="24"/>
          <w:lang w:eastAsia="es-ES"/>
        </w:rPr>
        <w:t>; y, por último, la identificación del daño causado al interés Tutelado mediante la clasificación de la información, esto es, la precisión del daño final que se causa a</w:t>
      </w:r>
      <w:r w:rsidR="00B734D7" w:rsidRPr="005475F3">
        <w:rPr>
          <w:rFonts w:ascii="Arial" w:eastAsia="Arial Unicode MS" w:hAnsi="Arial" w:cs="Arial"/>
          <w:sz w:val="24"/>
          <w:szCs w:val="24"/>
          <w:lang w:eastAsia="es-ES"/>
        </w:rPr>
        <w:t xml:space="preserve"> </w:t>
      </w:r>
      <w:r w:rsidRPr="005475F3">
        <w:rPr>
          <w:rFonts w:ascii="Arial" w:eastAsia="Arial Unicode MS" w:hAnsi="Arial" w:cs="Arial"/>
          <w:sz w:val="24"/>
          <w:szCs w:val="24"/>
          <w:lang w:eastAsia="es-ES"/>
        </w:rPr>
        <w:t>l</w:t>
      </w:r>
      <w:r w:rsidR="00B734D7" w:rsidRPr="005475F3">
        <w:rPr>
          <w:rFonts w:ascii="Arial" w:eastAsia="Arial Unicode MS" w:hAnsi="Arial" w:cs="Arial"/>
          <w:sz w:val="24"/>
          <w:szCs w:val="24"/>
          <w:lang w:eastAsia="es-ES"/>
        </w:rPr>
        <w:t>a</w:t>
      </w:r>
      <w:r w:rsidRPr="005475F3">
        <w:rPr>
          <w:rFonts w:ascii="Arial" w:eastAsia="Arial Unicode MS" w:hAnsi="Arial" w:cs="Arial"/>
          <w:sz w:val="24"/>
          <w:szCs w:val="24"/>
          <w:lang w:eastAsia="es-ES"/>
        </w:rPr>
        <w:t xml:space="preserve"> </w:t>
      </w:r>
      <w:r w:rsidR="00B734D7" w:rsidRPr="005475F3">
        <w:rPr>
          <w:rFonts w:ascii="Arial" w:eastAsia="Arial Unicode MS" w:hAnsi="Arial" w:cs="Arial"/>
          <w:sz w:val="24"/>
          <w:szCs w:val="24"/>
          <w:lang w:eastAsia="es-ES"/>
        </w:rPr>
        <w:t>integración de la carpeta de investigación</w:t>
      </w:r>
      <w:r w:rsidR="000F1090" w:rsidRPr="005475F3">
        <w:rPr>
          <w:rFonts w:ascii="Arial" w:eastAsia="Arial Unicode MS" w:hAnsi="Arial" w:cs="Arial"/>
          <w:sz w:val="24"/>
          <w:szCs w:val="24"/>
          <w:lang w:eastAsia="es-ES"/>
        </w:rPr>
        <w:t>,  así como el interés público tutelado por la disposición normativa que así la clasifica</w:t>
      </w:r>
      <w:r w:rsidRPr="005475F3">
        <w:rPr>
          <w:rFonts w:ascii="Arial" w:eastAsia="Arial Unicode MS" w:hAnsi="Arial" w:cs="Arial"/>
          <w:sz w:val="24"/>
          <w:szCs w:val="24"/>
          <w:lang w:eastAsia="es-ES"/>
        </w:rPr>
        <w:t xml:space="preserve">; circunstancias que, como se observó a supra líneas, resulta en la adecuada circunstanciación del riesgo de daño que causaría con la publicación de la información en relación con el interés público. </w:t>
      </w:r>
    </w:p>
    <w:p w14:paraId="459C2640" w14:textId="77777777" w:rsidR="004246C0" w:rsidRPr="005475F3" w:rsidRDefault="004246C0" w:rsidP="004246C0">
      <w:pPr>
        <w:spacing w:after="0" w:line="360" w:lineRule="auto"/>
        <w:ind w:right="-93" w:firstLine="708"/>
        <w:jc w:val="both"/>
        <w:rPr>
          <w:rFonts w:ascii="Arial" w:eastAsia="Arial Unicode MS" w:hAnsi="Arial" w:cs="Arial"/>
          <w:sz w:val="24"/>
          <w:szCs w:val="24"/>
          <w:lang w:eastAsia="es-ES"/>
        </w:rPr>
      </w:pPr>
    </w:p>
    <w:p w14:paraId="113223C1" w14:textId="2C412CFC" w:rsidR="00820BA6" w:rsidRPr="005475F3" w:rsidRDefault="00820BA6" w:rsidP="004246C0">
      <w:pPr>
        <w:spacing w:after="0" w:line="360" w:lineRule="auto"/>
        <w:ind w:right="-93" w:firstLine="708"/>
        <w:jc w:val="both"/>
        <w:rPr>
          <w:rFonts w:ascii="Arial" w:eastAsia="Arial Unicode MS" w:hAnsi="Arial" w:cs="Arial"/>
          <w:b/>
          <w:sz w:val="24"/>
          <w:szCs w:val="24"/>
          <w:lang w:eastAsia="es-ES"/>
        </w:rPr>
      </w:pPr>
      <w:r w:rsidRPr="005475F3">
        <w:rPr>
          <w:rFonts w:ascii="Arial" w:eastAsia="Arial Unicode MS" w:hAnsi="Arial" w:cs="Arial"/>
          <w:b/>
          <w:sz w:val="24"/>
          <w:szCs w:val="24"/>
          <w:lang w:eastAsia="es-ES"/>
        </w:rPr>
        <w:t>a.2.1. Determinación de la naturaleza de la información solicitada por la ahora parte recurrente.</w:t>
      </w:r>
    </w:p>
    <w:p w14:paraId="783968AF" w14:textId="77777777" w:rsidR="00820BA6" w:rsidRPr="005475F3" w:rsidRDefault="00820BA6" w:rsidP="004246C0">
      <w:pPr>
        <w:spacing w:after="0" w:line="360" w:lineRule="auto"/>
        <w:ind w:right="-93" w:firstLine="708"/>
        <w:jc w:val="both"/>
        <w:rPr>
          <w:rFonts w:ascii="Arial" w:eastAsia="Arial Unicode MS" w:hAnsi="Arial" w:cs="Arial"/>
          <w:sz w:val="24"/>
          <w:szCs w:val="24"/>
          <w:lang w:eastAsia="es-ES"/>
        </w:rPr>
      </w:pPr>
    </w:p>
    <w:p w14:paraId="603B679E" w14:textId="7B6F6F84" w:rsidR="00820BA6" w:rsidRPr="005475F3" w:rsidRDefault="004246C0" w:rsidP="004246C0">
      <w:pPr>
        <w:spacing w:after="0" w:line="360" w:lineRule="auto"/>
        <w:ind w:right="-93"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Ahora bien</w:t>
      </w:r>
      <w:r w:rsidR="00820BA6" w:rsidRPr="005475F3">
        <w:rPr>
          <w:rFonts w:ascii="Arial" w:eastAsia="Arial Unicode MS" w:hAnsi="Arial" w:cs="Arial"/>
          <w:sz w:val="24"/>
          <w:szCs w:val="24"/>
          <w:lang w:eastAsia="es-ES"/>
        </w:rPr>
        <w:t>, en atención a las circunstancias específicas del caso, es necesario observar la naturaleza precisa de lo solicitado por la ahora parte recurrente, por lo cual, para mayor facilidad se reproduce la porción de interés como sigue:</w:t>
      </w:r>
    </w:p>
    <w:p w14:paraId="7D161A7A" w14:textId="0BD09F73" w:rsidR="00820BA6" w:rsidRPr="005475F3" w:rsidRDefault="00820BA6" w:rsidP="004246C0">
      <w:pPr>
        <w:spacing w:after="0" w:line="360" w:lineRule="auto"/>
        <w:ind w:right="-93" w:firstLine="708"/>
        <w:jc w:val="both"/>
        <w:rPr>
          <w:rFonts w:ascii="Arial" w:eastAsia="Arial Unicode MS" w:hAnsi="Arial" w:cs="Arial"/>
          <w:sz w:val="24"/>
          <w:szCs w:val="24"/>
          <w:lang w:eastAsia="es-ES"/>
        </w:rPr>
      </w:pPr>
    </w:p>
    <w:p w14:paraId="6CE527C1" w14:textId="557D5146" w:rsidR="00820BA6" w:rsidRPr="005475F3" w:rsidRDefault="00820BA6" w:rsidP="00820BA6">
      <w:pPr>
        <w:spacing w:after="0" w:line="240" w:lineRule="auto"/>
        <w:ind w:left="1134" w:right="1183"/>
        <w:jc w:val="both"/>
        <w:rPr>
          <w:rFonts w:ascii="Arial" w:hAnsi="Arial" w:cs="Arial"/>
        </w:rPr>
      </w:pPr>
      <w:r w:rsidRPr="005475F3">
        <w:rPr>
          <w:rFonts w:ascii="Arial" w:hAnsi="Arial" w:cs="Arial"/>
        </w:rPr>
        <w:t xml:space="preserve">1.-[…] el estatus de la averiguación previa o carpeta de investigación, que inició la Fiscalía de Justicia del Estado tras el asesinato de la madre buscadora Aida Karina Juárez Jacobo[…]. </w:t>
      </w:r>
    </w:p>
    <w:p w14:paraId="2C12DF32" w14:textId="77777777" w:rsidR="00820BA6" w:rsidRPr="005475F3" w:rsidRDefault="00820BA6" w:rsidP="00820BA6">
      <w:pPr>
        <w:spacing w:after="0" w:line="240" w:lineRule="auto"/>
        <w:ind w:left="1134" w:right="1183"/>
        <w:jc w:val="both"/>
        <w:rPr>
          <w:rFonts w:ascii="Arial" w:hAnsi="Arial" w:cs="Arial"/>
        </w:rPr>
      </w:pPr>
      <w:r w:rsidRPr="005475F3">
        <w:rPr>
          <w:rFonts w:ascii="Arial" w:hAnsi="Arial" w:cs="Arial"/>
        </w:rPr>
        <w:t xml:space="preserve">2.-Quiero saber si la fiscalía de San Luis Potosí inició una carpeta de investigación por este caso y el estatus del mismo, así como el delito o delitos que se investigaron. </w:t>
      </w:r>
    </w:p>
    <w:p w14:paraId="3EBE24D4" w14:textId="66125026" w:rsidR="00820BA6" w:rsidRPr="005475F3" w:rsidRDefault="00820BA6" w:rsidP="00820BA6">
      <w:pPr>
        <w:spacing w:after="0" w:line="240" w:lineRule="auto"/>
        <w:ind w:left="1134" w:right="1183"/>
        <w:jc w:val="both"/>
        <w:rPr>
          <w:rFonts w:ascii="Arial" w:hAnsi="Arial" w:cs="Arial"/>
        </w:rPr>
      </w:pPr>
      <w:r w:rsidRPr="005475F3">
        <w:rPr>
          <w:rFonts w:ascii="Arial" w:hAnsi="Arial" w:cs="Arial"/>
        </w:rPr>
        <w:t xml:space="preserve">3.-[…] si el expediente de la investigación fue determinado, informando en qué fecha fue determinado y especificando qué tipo de determinación tuvo el expediente. </w:t>
      </w:r>
    </w:p>
    <w:p w14:paraId="3AC72637" w14:textId="1BBAEADC" w:rsidR="00820BA6" w:rsidRPr="005475F3" w:rsidRDefault="00820BA6" w:rsidP="00820BA6">
      <w:pPr>
        <w:spacing w:after="0" w:line="240" w:lineRule="auto"/>
        <w:ind w:left="1134" w:right="1183"/>
        <w:jc w:val="both"/>
        <w:rPr>
          <w:rFonts w:ascii="Arial" w:hAnsi="Arial" w:cs="Arial"/>
        </w:rPr>
      </w:pPr>
      <w:r w:rsidRPr="005475F3">
        <w:rPr>
          <w:rFonts w:ascii="Arial" w:hAnsi="Arial" w:cs="Arial"/>
        </w:rPr>
        <w:t xml:space="preserve">4.-[…] cuántas personas han sido detenidas […] relacionadas a la investigación. </w:t>
      </w:r>
    </w:p>
    <w:p w14:paraId="5D81C3EF" w14:textId="788FAC05" w:rsidR="00820BA6" w:rsidRPr="005475F3" w:rsidRDefault="00820BA6" w:rsidP="00820BA6">
      <w:pPr>
        <w:spacing w:after="0" w:line="240" w:lineRule="auto"/>
        <w:ind w:left="1134" w:right="1183"/>
        <w:jc w:val="both"/>
        <w:rPr>
          <w:rFonts w:ascii="Arial" w:eastAsia="Arial Unicode MS" w:hAnsi="Arial" w:cs="Arial"/>
          <w:sz w:val="24"/>
          <w:szCs w:val="24"/>
          <w:lang w:eastAsia="es-ES"/>
        </w:rPr>
      </w:pPr>
      <w:r w:rsidRPr="005475F3">
        <w:rPr>
          <w:rFonts w:ascii="Arial" w:hAnsi="Arial" w:cs="Arial"/>
        </w:rPr>
        <w:t>5.-También me gustaría que me informara si esa fiscalía logró alguna sentencia ante el poder judicial, informando en qué consistió la sentencia</w:t>
      </w:r>
    </w:p>
    <w:p w14:paraId="4B19EDAF" w14:textId="77777777" w:rsidR="00820BA6" w:rsidRPr="005475F3" w:rsidRDefault="00820BA6" w:rsidP="004246C0">
      <w:pPr>
        <w:spacing w:after="0" w:line="360" w:lineRule="auto"/>
        <w:ind w:right="-93" w:firstLine="708"/>
        <w:jc w:val="both"/>
        <w:rPr>
          <w:rFonts w:ascii="Arial" w:eastAsia="Arial Unicode MS" w:hAnsi="Arial" w:cs="Arial"/>
          <w:sz w:val="24"/>
          <w:szCs w:val="24"/>
          <w:lang w:eastAsia="es-ES"/>
        </w:rPr>
      </w:pPr>
    </w:p>
    <w:p w14:paraId="12743C3F" w14:textId="0243852A" w:rsidR="004246C0" w:rsidRPr="005475F3" w:rsidRDefault="00820BA6" w:rsidP="004246C0">
      <w:pPr>
        <w:spacing w:after="0" w:line="360" w:lineRule="auto"/>
        <w:ind w:right="-93" w:firstLine="708"/>
        <w:jc w:val="both"/>
        <w:rPr>
          <w:rFonts w:ascii="Arial" w:hAnsi="Arial" w:cs="Arial"/>
          <w:b/>
          <w:bCs/>
          <w:sz w:val="24"/>
          <w:szCs w:val="24"/>
        </w:rPr>
      </w:pPr>
      <w:r w:rsidRPr="005475F3">
        <w:rPr>
          <w:rFonts w:ascii="Arial" w:eastAsia="Arial Unicode MS" w:hAnsi="Arial" w:cs="Arial"/>
          <w:sz w:val="24"/>
          <w:szCs w:val="24"/>
          <w:lang w:eastAsia="es-ES"/>
        </w:rPr>
        <w:t>Es por lo anterior que</w:t>
      </w:r>
      <w:r w:rsidR="004246C0" w:rsidRPr="005475F3">
        <w:rPr>
          <w:rFonts w:ascii="Arial" w:eastAsia="Arial Unicode MS" w:hAnsi="Arial" w:cs="Arial"/>
          <w:sz w:val="24"/>
          <w:szCs w:val="24"/>
          <w:lang w:eastAsia="es-ES"/>
        </w:rPr>
        <w:t xml:space="preserve">, </w:t>
      </w:r>
      <w:r w:rsidR="004246C0" w:rsidRPr="005475F3">
        <w:rPr>
          <w:rFonts w:ascii="Arial" w:eastAsia="Arial Unicode MS" w:hAnsi="Arial" w:cs="Arial"/>
          <w:sz w:val="24"/>
          <w:szCs w:val="24"/>
          <w:u w:val="single"/>
          <w:lang w:eastAsia="es-ES"/>
        </w:rPr>
        <w:t>en atención al principio de buena fé administrativa</w:t>
      </w:r>
      <w:r w:rsidR="004246C0" w:rsidRPr="005475F3">
        <w:rPr>
          <w:rFonts w:ascii="Arial" w:eastAsia="Arial Unicode MS" w:hAnsi="Arial" w:cs="Arial"/>
          <w:sz w:val="24"/>
          <w:szCs w:val="24"/>
          <w:lang w:eastAsia="es-ES"/>
        </w:rPr>
        <w:t>, contemplado en el párrafo segundo del artículo 175,</w:t>
      </w:r>
      <w:r w:rsidR="004246C0" w:rsidRPr="005475F3">
        <w:rPr>
          <w:rStyle w:val="Refdenotaalpie"/>
          <w:rFonts w:ascii="Arial" w:eastAsia="Arial Unicode MS" w:hAnsi="Arial" w:cs="Arial"/>
          <w:sz w:val="24"/>
          <w:szCs w:val="24"/>
          <w:lang w:eastAsia="es-ES"/>
        </w:rPr>
        <w:footnoteReference w:id="57"/>
      </w:r>
      <w:r w:rsidR="004246C0" w:rsidRPr="005475F3">
        <w:rPr>
          <w:rFonts w:ascii="Arial" w:eastAsia="Arial Unicode MS" w:hAnsi="Arial" w:cs="Arial"/>
          <w:sz w:val="24"/>
          <w:szCs w:val="24"/>
          <w:lang w:eastAsia="es-ES"/>
        </w:rPr>
        <w:t xml:space="preserve"> del Código Procesal Administrativo para el Estado de San Luis Potosí, por el cual, las manifestaciones de las partes se tendrán por ciertas, salvo prueba en contrario, </w:t>
      </w:r>
      <w:r w:rsidR="004246C0" w:rsidRPr="005475F3">
        <w:rPr>
          <w:rFonts w:ascii="Arial" w:eastAsia="Arial Unicode MS" w:hAnsi="Arial" w:cs="Arial"/>
          <w:sz w:val="24"/>
          <w:szCs w:val="24"/>
          <w:u w:val="single"/>
          <w:lang w:eastAsia="es-ES"/>
        </w:rPr>
        <w:t xml:space="preserve">se presume cierta </w:t>
      </w:r>
      <w:r w:rsidR="004246C0" w:rsidRPr="005475F3">
        <w:rPr>
          <w:rFonts w:ascii="Arial" w:eastAsia="Arial Unicode MS" w:hAnsi="Arial" w:cs="Arial"/>
          <w:sz w:val="24"/>
          <w:szCs w:val="24"/>
          <w:u w:val="single"/>
          <w:lang w:eastAsia="es-ES"/>
        </w:rPr>
        <w:lastRenderedPageBreak/>
        <w:t xml:space="preserve">la existencia de </w:t>
      </w:r>
      <w:r w:rsidR="00475298" w:rsidRPr="005475F3">
        <w:rPr>
          <w:rFonts w:ascii="Arial" w:eastAsia="Arial Unicode MS" w:hAnsi="Arial" w:cs="Arial"/>
          <w:sz w:val="24"/>
          <w:szCs w:val="24"/>
          <w:u w:val="single"/>
          <w:lang w:eastAsia="es-ES"/>
        </w:rPr>
        <w:t xml:space="preserve">la carpeta de investigación </w:t>
      </w:r>
      <w:r w:rsidR="00F3006C" w:rsidRPr="005475F3">
        <w:rPr>
          <w:rFonts w:ascii="Arial" w:eastAsia="Arial Unicode MS" w:hAnsi="Arial" w:cs="Arial"/>
          <w:sz w:val="24"/>
          <w:szCs w:val="24"/>
          <w:u w:val="single"/>
          <w:lang w:eastAsia="es-ES"/>
        </w:rPr>
        <w:t>instrumentada por la Fiscalía General del Estado con motivo de la privación de la vida de la madre buscadora Aida Karina Juárez Jacobo</w:t>
      </w:r>
      <w:r w:rsidR="004246C0" w:rsidRPr="005475F3">
        <w:rPr>
          <w:rFonts w:ascii="Arial" w:eastAsia="Arial Unicode MS" w:hAnsi="Arial" w:cs="Arial"/>
          <w:sz w:val="24"/>
          <w:szCs w:val="24"/>
          <w:lang w:eastAsia="es-ES"/>
        </w:rPr>
        <w:t xml:space="preserve">, </w:t>
      </w:r>
      <w:r w:rsidR="00F3006C" w:rsidRPr="005475F3">
        <w:rPr>
          <w:rFonts w:ascii="Arial" w:eastAsia="Arial Unicode MS" w:hAnsi="Arial" w:cs="Arial"/>
          <w:sz w:val="24"/>
          <w:szCs w:val="24"/>
          <w:lang w:eastAsia="es-ES"/>
        </w:rPr>
        <w:t>respecto de la cual, la ahora parte recurrente solicitó</w:t>
      </w:r>
      <w:r w:rsidRPr="005475F3">
        <w:rPr>
          <w:rFonts w:ascii="Arial" w:eastAsia="Arial Unicode MS" w:hAnsi="Arial" w:cs="Arial"/>
          <w:sz w:val="24"/>
          <w:szCs w:val="24"/>
          <w:lang w:eastAsia="es-ES"/>
        </w:rPr>
        <w:t>, a groso modo</w:t>
      </w:r>
      <w:r w:rsidR="00F3006C" w:rsidRPr="005475F3">
        <w:rPr>
          <w:rFonts w:ascii="Arial" w:eastAsia="Arial Unicode MS" w:hAnsi="Arial" w:cs="Arial"/>
          <w:sz w:val="24"/>
          <w:szCs w:val="24"/>
          <w:lang w:eastAsia="es-ES"/>
        </w:rPr>
        <w:t>:</w:t>
      </w:r>
      <w:r w:rsidR="00E11E76" w:rsidRPr="005475F3">
        <w:rPr>
          <w:rFonts w:ascii="Arial" w:eastAsia="Arial Unicode MS" w:hAnsi="Arial" w:cs="Arial"/>
          <w:sz w:val="24"/>
          <w:szCs w:val="24"/>
          <w:lang w:eastAsia="es-ES"/>
        </w:rPr>
        <w:t xml:space="preserve"> 1) Estado Procesal que guarda la Carpeta de Investigación; 2) El delito o Delitos que se investigan (Teoría del Caso); 3) Fecha y tipo de determinación que ha obtenido (en su caso</w:t>
      </w:r>
      <w:r w:rsidR="00472463" w:rsidRPr="005475F3">
        <w:rPr>
          <w:rFonts w:ascii="Arial" w:eastAsia="Arial Unicode MS" w:hAnsi="Arial" w:cs="Arial"/>
          <w:sz w:val="24"/>
          <w:szCs w:val="24"/>
          <w:lang w:eastAsia="es-ES"/>
        </w:rPr>
        <w:t>: a) Ejercicio de la acción penal; b)No ejercicio de acción penal; c) Aplicación del Criterio de Oportunidad; o, d) Archivo de la Carpeta de Investigación</w:t>
      </w:r>
      <w:r w:rsidR="00E11E76" w:rsidRPr="005475F3">
        <w:rPr>
          <w:rFonts w:ascii="Arial" w:eastAsia="Arial Unicode MS" w:hAnsi="Arial" w:cs="Arial"/>
          <w:sz w:val="24"/>
          <w:szCs w:val="24"/>
          <w:lang w:eastAsia="es-ES"/>
        </w:rPr>
        <w:t>) e</w:t>
      </w:r>
      <w:r w:rsidRPr="005475F3">
        <w:rPr>
          <w:rFonts w:ascii="Arial" w:eastAsia="Arial Unicode MS" w:hAnsi="Arial" w:cs="Arial"/>
          <w:sz w:val="24"/>
          <w:szCs w:val="24"/>
          <w:lang w:eastAsia="es-ES"/>
        </w:rPr>
        <w:t>l expediente de investigación;</w:t>
      </w:r>
      <w:r w:rsidR="00E11E76" w:rsidRPr="005475F3">
        <w:rPr>
          <w:rFonts w:ascii="Arial" w:eastAsia="Arial Unicode MS" w:hAnsi="Arial" w:cs="Arial"/>
          <w:sz w:val="24"/>
          <w:szCs w:val="24"/>
          <w:lang w:eastAsia="es-ES"/>
        </w:rPr>
        <w:t xml:space="preserve"> 4) Número de detenciones asociadas a la investigación</w:t>
      </w:r>
      <w:r w:rsidRPr="005475F3">
        <w:rPr>
          <w:rFonts w:ascii="Arial" w:eastAsia="Arial Unicode MS" w:hAnsi="Arial" w:cs="Arial"/>
          <w:sz w:val="24"/>
          <w:szCs w:val="24"/>
          <w:lang w:eastAsia="es-ES"/>
        </w:rPr>
        <w:t>; y, 5) si esta ha sido judicializada, la sentencia dictada sobre dicho asunto</w:t>
      </w:r>
      <w:r w:rsidR="004246C0" w:rsidRPr="005475F3">
        <w:rPr>
          <w:rFonts w:ascii="Arial" w:hAnsi="Arial" w:cs="Arial"/>
          <w:b/>
          <w:bCs/>
          <w:sz w:val="24"/>
          <w:szCs w:val="24"/>
        </w:rPr>
        <w:t>.</w:t>
      </w:r>
    </w:p>
    <w:p w14:paraId="1037EBF2" w14:textId="77777777" w:rsidR="004246C0" w:rsidRPr="005475F3" w:rsidRDefault="004246C0" w:rsidP="004246C0">
      <w:pPr>
        <w:spacing w:after="0" w:line="360" w:lineRule="auto"/>
        <w:ind w:right="-93"/>
        <w:jc w:val="both"/>
        <w:rPr>
          <w:rFonts w:ascii="Arial" w:eastAsia="Arial Unicode MS" w:hAnsi="Arial" w:cs="Arial"/>
          <w:sz w:val="24"/>
          <w:szCs w:val="24"/>
          <w:lang w:eastAsia="es-ES"/>
        </w:rPr>
      </w:pPr>
    </w:p>
    <w:p w14:paraId="4C635916" w14:textId="4F3DEABC" w:rsidR="004246C0" w:rsidRPr="005475F3" w:rsidRDefault="004246C0" w:rsidP="004246C0">
      <w:pPr>
        <w:spacing w:after="0" w:line="360" w:lineRule="auto"/>
        <w:ind w:right="-93" w:firstLine="708"/>
        <w:jc w:val="both"/>
        <w:rPr>
          <w:rFonts w:ascii="Arial" w:hAnsi="Arial" w:cs="Arial"/>
          <w:sz w:val="24"/>
          <w:szCs w:val="24"/>
        </w:rPr>
      </w:pPr>
      <w:r w:rsidRPr="005475F3">
        <w:rPr>
          <w:rFonts w:ascii="Arial" w:eastAsia="Arial Unicode MS" w:hAnsi="Arial" w:cs="Arial"/>
          <w:sz w:val="24"/>
          <w:szCs w:val="24"/>
          <w:lang w:eastAsia="es-ES"/>
        </w:rPr>
        <w:t>Con base en lo anterior, se hace factible analizar la naturaleza de la documentación de interés de la persona recurrente, como susceptible de actualizar la</w:t>
      </w:r>
      <w:r w:rsidR="00F44775" w:rsidRPr="005475F3">
        <w:rPr>
          <w:rFonts w:ascii="Arial" w:eastAsia="Arial Unicode MS" w:hAnsi="Arial" w:cs="Arial"/>
          <w:sz w:val="24"/>
          <w:szCs w:val="24"/>
          <w:lang w:eastAsia="es-ES"/>
        </w:rPr>
        <w:t>s</w:t>
      </w:r>
      <w:r w:rsidRPr="005475F3">
        <w:rPr>
          <w:rFonts w:ascii="Arial" w:eastAsia="Arial Unicode MS" w:hAnsi="Arial" w:cs="Arial"/>
          <w:sz w:val="24"/>
          <w:szCs w:val="24"/>
          <w:lang w:eastAsia="es-ES"/>
        </w:rPr>
        <w:t xml:space="preserve"> causal</w:t>
      </w:r>
      <w:r w:rsidR="00F44775" w:rsidRPr="005475F3">
        <w:rPr>
          <w:rFonts w:ascii="Arial" w:eastAsia="Arial Unicode MS" w:hAnsi="Arial" w:cs="Arial"/>
          <w:sz w:val="24"/>
          <w:szCs w:val="24"/>
          <w:lang w:eastAsia="es-ES"/>
        </w:rPr>
        <w:t>es</w:t>
      </w:r>
      <w:r w:rsidRPr="005475F3">
        <w:rPr>
          <w:rFonts w:ascii="Arial" w:eastAsia="Arial Unicode MS" w:hAnsi="Arial" w:cs="Arial"/>
          <w:sz w:val="24"/>
          <w:szCs w:val="24"/>
          <w:lang w:eastAsia="es-ES"/>
        </w:rPr>
        <w:t xml:space="preserve"> de excepción contemplada</w:t>
      </w:r>
      <w:r w:rsidR="00F44775" w:rsidRPr="005475F3">
        <w:rPr>
          <w:rFonts w:ascii="Arial" w:eastAsia="Arial Unicode MS" w:hAnsi="Arial" w:cs="Arial"/>
          <w:sz w:val="24"/>
          <w:szCs w:val="24"/>
          <w:lang w:eastAsia="es-ES"/>
        </w:rPr>
        <w:t>s</w:t>
      </w:r>
      <w:r w:rsidRPr="005475F3">
        <w:rPr>
          <w:rFonts w:ascii="Arial" w:eastAsia="Arial Unicode MS" w:hAnsi="Arial" w:cs="Arial"/>
          <w:sz w:val="24"/>
          <w:szCs w:val="24"/>
          <w:lang w:eastAsia="es-ES"/>
        </w:rPr>
        <w:t xml:space="preserve"> </w:t>
      </w:r>
      <w:r w:rsidRPr="005475F3">
        <w:rPr>
          <w:rFonts w:ascii="Arial" w:hAnsi="Arial" w:cs="Arial"/>
          <w:sz w:val="24"/>
          <w:szCs w:val="24"/>
        </w:rPr>
        <w:t>en la</w:t>
      </w:r>
      <w:r w:rsidR="00F44775" w:rsidRPr="005475F3">
        <w:rPr>
          <w:rFonts w:ascii="Arial" w:hAnsi="Arial" w:cs="Arial"/>
          <w:sz w:val="24"/>
          <w:szCs w:val="24"/>
        </w:rPr>
        <w:t>s fraccio</w:t>
      </w:r>
      <w:r w:rsidRPr="005475F3">
        <w:rPr>
          <w:rFonts w:ascii="Arial" w:hAnsi="Arial" w:cs="Arial"/>
          <w:sz w:val="24"/>
          <w:szCs w:val="24"/>
        </w:rPr>
        <w:t>n</w:t>
      </w:r>
      <w:r w:rsidR="00F44775" w:rsidRPr="005475F3">
        <w:rPr>
          <w:rFonts w:ascii="Arial" w:hAnsi="Arial" w:cs="Arial"/>
          <w:sz w:val="24"/>
          <w:szCs w:val="24"/>
        </w:rPr>
        <w:t>es</w:t>
      </w:r>
      <w:r w:rsidRPr="005475F3">
        <w:rPr>
          <w:rFonts w:ascii="Arial" w:hAnsi="Arial" w:cs="Arial"/>
          <w:sz w:val="24"/>
          <w:szCs w:val="24"/>
        </w:rPr>
        <w:t xml:space="preserve"> X</w:t>
      </w:r>
      <w:r w:rsidR="00E11E76" w:rsidRPr="005475F3">
        <w:rPr>
          <w:rFonts w:ascii="Arial" w:hAnsi="Arial" w:cs="Arial"/>
          <w:sz w:val="24"/>
          <w:szCs w:val="24"/>
        </w:rPr>
        <w:t>I</w:t>
      </w:r>
      <w:r w:rsidRPr="005475F3">
        <w:rPr>
          <w:rStyle w:val="Refdenotaalpie"/>
          <w:rFonts w:ascii="Arial" w:hAnsi="Arial" w:cs="Arial"/>
          <w:sz w:val="24"/>
          <w:szCs w:val="24"/>
        </w:rPr>
        <w:footnoteReference w:id="58"/>
      </w:r>
      <w:r w:rsidR="00F44775" w:rsidRPr="005475F3">
        <w:rPr>
          <w:rFonts w:ascii="Arial" w:hAnsi="Arial" w:cs="Arial"/>
          <w:sz w:val="24"/>
          <w:szCs w:val="24"/>
        </w:rPr>
        <w:t xml:space="preserve"> y XII</w:t>
      </w:r>
      <w:r w:rsidR="00F44775" w:rsidRPr="005475F3">
        <w:rPr>
          <w:rStyle w:val="Refdenotaalpie"/>
          <w:rFonts w:ascii="Arial" w:hAnsi="Arial" w:cs="Arial"/>
          <w:sz w:val="24"/>
          <w:szCs w:val="24"/>
        </w:rPr>
        <w:footnoteReference w:id="59"/>
      </w:r>
      <w:r w:rsidRPr="005475F3">
        <w:rPr>
          <w:rFonts w:ascii="Arial" w:hAnsi="Arial" w:cs="Arial"/>
          <w:sz w:val="24"/>
          <w:szCs w:val="24"/>
        </w:rPr>
        <w:t>, del artículo 129</w:t>
      </w:r>
      <w:r w:rsidRPr="005475F3">
        <w:rPr>
          <w:rStyle w:val="Refdenotaalpie"/>
          <w:rFonts w:ascii="Arial" w:hAnsi="Arial" w:cs="Arial"/>
          <w:sz w:val="24"/>
          <w:szCs w:val="24"/>
        </w:rPr>
        <w:footnoteReference w:id="60"/>
      </w:r>
      <w:r w:rsidRPr="005475F3">
        <w:rPr>
          <w:rFonts w:ascii="Arial" w:hAnsi="Arial" w:cs="Arial"/>
          <w:sz w:val="24"/>
          <w:szCs w:val="24"/>
        </w:rPr>
        <w:t xml:space="preserve"> de la Ley Local de la Materia, o su</w:t>
      </w:r>
      <w:r w:rsidR="00F44775" w:rsidRPr="005475F3">
        <w:rPr>
          <w:rFonts w:ascii="Arial" w:hAnsi="Arial" w:cs="Arial"/>
          <w:sz w:val="24"/>
          <w:szCs w:val="24"/>
        </w:rPr>
        <w:t>s</w:t>
      </w:r>
      <w:r w:rsidRPr="005475F3">
        <w:rPr>
          <w:rFonts w:ascii="Arial" w:hAnsi="Arial" w:cs="Arial"/>
          <w:sz w:val="24"/>
          <w:szCs w:val="24"/>
        </w:rPr>
        <w:t xml:space="preserve"> homóloga</w:t>
      </w:r>
      <w:r w:rsidR="00F44775" w:rsidRPr="005475F3">
        <w:rPr>
          <w:rFonts w:ascii="Arial" w:hAnsi="Arial" w:cs="Arial"/>
          <w:sz w:val="24"/>
          <w:szCs w:val="24"/>
        </w:rPr>
        <w:t>s, fraccio</w:t>
      </w:r>
      <w:r w:rsidRPr="005475F3">
        <w:rPr>
          <w:rFonts w:ascii="Arial" w:hAnsi="Arial" w:cs="Arial"/>
          <w:sz w:val="24"/>
          <w:szCs w:val="24"/>
        </w:rPr>
        <w:t>n</w:t>
      </w:r>
      <w:r w:rsidR="00F44775" w:rsidRPr="005475F3">
        <w:rPr>
          <w:rFonts w:ascii="Arial" w:hAnsi="Arial" w:cs="Arial"/>
          <w:sz w:val="24"/>
          <w:szCs w:val="24"/>
        </w:rPr>
        <w:t>es</w:t>
      </w:r>
      <w:r w:rsidRPr="005475F3">
        <w:rPr>
          <w:rFonts w:ascii="Arial" w:hAnsi="Arial" w:cs="Arial"/>
          <w:sz w:val="24"/>
          <w:szCs w:val="24"/>
        </w:rPr>
        <w:t xml:space="preserve"> XI</w:t>
      </w:r>
      <w:r w:rsidR="00F44775" w:rsidRPr="005475F3">
        <w:rPr>
          <w:rFonts w:ascii="Arial" w:hAnsi="Arial" w:cs="Arial"/>
          <w:sz w:val="24"/>
          <w:szCs w:val="24"/>
        </w:rPr>
        <w:t>I y XVII</w:t>
      </w:r>
      <w:r w:rsidRPr="005475F3">
        <w:rPr>
          <w:rFonts w:ascii="Arial" w:hAnsi="Arial" w:cs="Arial"/>
          <w:sz w:val="24"/>
          <w:szCs w:val="24"/>
        </w:rPr>
        <w:t xml:space="preserve">, del artículo 112 de la Ley General de Transparencia Vigente, por lo que, en primer término, esta Comisión procede con la identificación del interés público tutelado, en los términos siguientes: </w:t>
      </w:r>
    </w:p>
    <w:p w14:paraId="1A5D8759" w14:textId="77777777" w:rsidR="004246C0" w:rsidRPr="005475F3" w:rsidRDefault="004246C0" w:rsidP="004246C0">
      <w:pPr>
        <w:spacing w:after="0" w:line="360" w:lineRule="auto"/>
        <w:ind w:right="-93" w:firstLine="708"/>
        <w:jc w:val="both"/>
        <w:rPr>
          <w:rFonts w:ascii="Arial" w:hAnsi="Arial" w:cs="Arial"/>
          <w:sz w:val="24"/>
          <w:szCs w:val="24"/>
        </w:rPr>
      </w:pPr>
    </w:p>
    <w:p w14:paraId="111E1975" w14:textId="3FCC1166" w:rsidR="004246C0" w:rsidRPr="005475F3" w:rsidRDefault="004246C0" w:rsidP="004246C0">
      <w:pPr>
        <w:spacing w:after="0" w:line="360" w:lineRule="auto"/>
        <w:ind w:right="-93" w:firstLine="708"/>
        <w:jc w:val="both"/>
        <w:rPr>
          <w:rFonts w:ascii="Arial" w:hAnsi="Arial" w:cs="Arial"/>
          <w:sz w:val="24"/>
          <w:szCs w:val="24"/>
        </w:rPr>
      </w:pPr>
      <w:r w:rsidRPr="005475F3">
        <w:rPr>
          <w:rFonts w:ascii="Arial" w:hAnsi="Arial" w:cs="Arial"/>
          <w:sz w:val="24"/>
          <w:szCs w:val="24"/>
        </w:rPr>
        <w:t>La referida fracción X</w:t>
      </w:r>
      <w:r w:rsidR="00F44775" w:rsidRPr="005475F3">
        <w:rPr>
          <w:rFonts w:ascii="Arial" w:hAnsi="Arial" w:cs="Arial"/>
          <w:sz w:val="24"/>
          <w:szCs w:val="24"/>
        </w:rPr>
        <w:t>I</w:t>
      </w:r>
      <w:r w:rsidRPr="005475F3">
        <w:rPr>
          <w:rFonts w:ascii="Arial" w:hAnsi="Arial" w:cs="Arial"/>
          <w:sz w:val="24"/>
          <w:szCs w:val="24"/>
        </w:rPr>
        <w:t xml:space="preserve">, del artículo 129, de la Ley de Transparencia y Acceso a la Información Pública del Estado de San Luis Potosí, contempla como información susceptible de restringirse para su entrega, aquella que, </w:t>
      </w:r>
      <w:r w:rsidR="00FA34E5" w:rsidRPr="005475F3">
        <w:rPr>
          <w:rFonts w:ascii="Arial" w:hAnsi="Arial" w:cs="Arial"/>
          <w:b/>
          <w:sz w:val="24"/>
          <w:szCs w:val="24"/>
          <w:u w:val="single"/>
        </w:rPr>
        <w:t xml:space="preserve">se encuentre contenida dentro de las investigaciones de hechos que la ley señala como delitos y se tramiten ante el ministerio público, </w:t>
      </w:r>
      <w:r w:rsidR="00E342A6" w:rsidRPr="005475F3">
        <w:rPr>
          <w:rFonts w:ascii="Arial" w:hAnsi="Arial" w:cs="Arial"/>
          <w:b/>
          <w:sz w:val="24"/>
          <w:szCs w:val="24"/>
          <w:u w:val="single"/>
        </w:rPr>
        <w:t>asimismo, cuando</w:t>
      </w:r>
      <w:r w:rsidR="00FA34E5" w:rsidRPr="005475F3">
        <w:rPr>
          <w:rFonts w:ascii="Arial" w:hAnsi="Arial" w:cs="Arial"/>
          <w:b/>
          <w:sz w:val="24"/>
          <w:szCs w:val="24"/>
          <w:u w:val="single"/>
        </w:rPr>
        <w:t xml:space="preserve"> se encuentren reservadas por disposición legal</w:t>
      </w:r>
      <w:r w:rsidRPr="005475F3">
        <w:rPr>
          <w:rFonts w:ascii="Arial" w:hAnsi="Arial" w:cs="Arial"/>
          <w:b/>
          <w:sz w:val="24"/>
          <w:szCs w:val="24"/>
        </w:rPr>
        <w:t>;</w:t>
      </w:r>
      <w:r w:rsidRPr="005475F3">
        <w:rPr>
          <w:rFonts w:ascii="Arial" w:hAnsi="Arial" w:cs="Arial"/>
          <w:sz w:val="24"/>
          <w:szCs w:val="24"/>
        </w:rPr>
        <w:t xml:space="preserve"> lo anterior, guarda identidad con lo previsto en la</w:t>
      </w:r>
      <w:r w:rsidR="00E342A6" w:rsidRPr="005475F3">
        <w:rPr>
          <w:rFonts w:ascii="Arial" w:hAnsi="Arial" w:cs="Arial"/>
          <w:sz w:val="24"/>
          <w:szCs w:val="24"/>
        </w:rPr>
        <w:t>s</w:t>
      </w:r>
      <w:r w:rsidRPr="005475F3">
        <w:rPr>
          <w:rFonts w:ascii="Arial" w:hAnsi="Arial" w:cs="Arial"/>
          <w:sz w:val="24"/>
          <w:szCs w:val="24"/>
        </w:rPr>
        <w:t xml:space="preserve"> fracci</w:t>
      </w:r>
      <w:r w:rsidR="00E342A6" w:rsidRPr="005475F3">
        <w:rPr>
          <w:rFonts w:ascii="Arial" w:hAnsi="Arial" w:cs="Arial"/>
          <w:sz w:val="24"/>
          <w:szCs w:val="24"/>
        </w:rPr>
        <w:t>ones</w:t>
      </w:r>
      <w:r w:rsidRPr="005475F3">
        <w:rPr>
          <w:rFonts w:ascii="Arial" w:hAnsi="Arial" w:cs="Arial"/>
          <w:sz w:val="24"/>
          <w:szCs w:val="24"/>
        </w:rPr>
        <w:t xml:space="preserve"> XI</w:t>
      </w:r>
      <w:r w:rsidR="00E342A6" w:rsidRPr="005475F3">
        <w:rPr>
          <w:rFonts w:ascii="Arial" w:hAnsi="Arial" w:cs="Arial"/>
          <w:sz w:val="24"/>
          <w:szCs w:val="24"/>
        </w:rPr>
        <w:t>I y XVIII</w:t>
      </w:r>
      <w:r w:rsidRPr="005475F3">
        <w:rPr>
          <w:rFonts w:ascii="Arial" w:hAnsi="Arial" w:cs="Arial"/>
          <w:sz w:val="24"/>
          <w:szCs w:val="24"/>
        </w:rPr>
        <w:t>, del artículo 112 de la Ley General de Transparencia vigente.</w:t>
      </w:r>
    </w:p>
    <w:p w14:paraId="4AC352DA" w14:textId="77777777" w:rsidR="004246C0" w:rsidRPr="005475F3" w:rsidRDefault="004246C0" w:rsidP="004246C0">
      <w:pPr>
        <w:spacing w:after="0" w:line="360" w:lineRule="auto"/>
        <w:ind w:right="-93" w:firstLine="708"/>
        <w:jc w:val="both"/>
        <w:rPr>
          <w:rFonts w:ascii="Arial" w:hAnsi="Arial" w:cs="Arial"/>
          <w:sz w:val="24"/>
          <w:szCs w:val="24"/>
        </w:rPr>
      </w:pPr>
    </w:p>
    <w:p w14:paraId="62CA8A1E" w14:textId="77C9F55C" w:rsidR="00E342A6" w:rsidRPr="005475F3" w:rsidRDefault="00E342A6" w:rsidP="004246C0">
      <w:pPr>
        <w:spacing w:after="0" w:line="360" w:lineRule="auto"/>
        <w:ind w:right="-93" w:firstLine="708"/>
        <w:jc w:val="both"/>
        <w:rPr>
          <w:rFonts w:ascii="Arial" w:hAnsi="Arial" w:cs="Arial"/>
          <w:b/>
          <w:sz w:val="24"/>
          <w:szCs w:val="24"/>
        </w:rPr>
      </w:pPr>
      <w:r w:rsidRPr="005475F3">
        <w:rPr>
          <w:rFonts w:ascii="Arial" w:hAnsi="Arial" w:cs="Arial"/>
          <w:b/>
          <w:sz w:val="24"/>
          <w:szCs w:val="24"/>
        </w:rPr>
        <w:t>a.2.</w:t>
      </w:r>
      <w:r w:rsidR="00820BA6" w:rsidRPr="005475F3">
        <w:rPr>
          <w:rFonts w:ascii="Arial" w:hAnsi="Arial" w:cs="Arial"/>
          <w:b/>
          <w:sz w:val="24"/>
          <w:szCs w:val="24"/>
        </w:rPr>
        <w:t>2</w:t>
      </w:r>
      <w:r w:rsidRPr="005475F3">
        <w:rPr>
          <w:rFonts w:ascii="Arial" w:hAnsi="Arial" w:cs="Arial"/>
          <w:b/>
          <w:sz w:val="24"/>
          <w:szCs w:val="24"/>
        </w:rPr>
        <w:t>. Delimitación del interés público tutelado, por la excepción en el ejercicio del derecho de acceso a la información pública.</w:t>
      </w:r>
    </w:p>
    <w:p w14:paraId="65F896E2" w14:textId="77777777" w:rsidR="00C74D95" w:rsidRPr="005475F3" w:rsidRDefault="00C74D95" w:rsidP="004246C0">
      <w:pPr>
        <w:spacing w:after="0" w:line="360" w:lineRule="auto"/>
        <w:ind w:right="-93" w:firstLine="708"/>
        <w:jc w:val="both"/>
        <w:rPr>
          <w:rFonts w:ascii="Arial" w:hAnsi="Arial" w:cs="Arial"/>
          <w:sz w:val="24"/>
          <w:szCs w:val="24"/>
        </w:rPr>
      </w:pPr>
    </w:p>
    <w:p w14:paraId="06A2A6AA" w14:textId="05F9E02B" w:rsidR="00E342A6" w:rsidRPr="005475F3" w:rsidRDefault="00AF1E38" w:rsidP="004246C0">
      <w:pPr>
        <w:spacing w:after="0" w:line="360" w:lineRule="auto"/>
        <w:ind w:right="-93" w:firstLine="708"/>
        <w:jc w:val="both"/>
        <w:rPr>
          <w:rFonts w:ascii="Arial" w:hAnsi="Arial" w:cs="Arial"/>
          <w:sz w:val="24"/>
          <w:szCs w:val="24"/>
        </w:rPr>
      </w:pPr>
      <w:r w:rsidRPr="005475F3">
        <w:rPr>
          <w:rFonts w:ascii="Arial" w:hAnsi="Arial" w:cs="Arial"/>
          <w:sz w:val="24"/>
          <w:szCs w:val="24"/>
        </w:rPr>
        <w:lastRenderedPageBreak/>
        <w:t>L</w:t>
      </w:r>
      <w:r w:rsidR="00E342A6" w:rsidRPr="005475F3">
        <w:rPr>
          <w:rFonts w:ascii="Arial" w:hAnsi="Arial" w:cs="Arial"/>
          <w:sz w:val="24"/>
          <w:szCs w:val="24"/>
        </w:rPr>
        <w:t xml:space="preserve">as causales de excepción hechas valer por el sujeto obligado, consisten en la necesidad de conservar bajo recelo del Estado, la información contenida en las carpetas de investigación instrumentadas por </w:t>
      </w:r>
      <w:r w:rsidR="007144E3" w:rsidRPr="005475F3">
        <w:rPr>
          <w:rFonts w:ascii="Arial" w:hAnsi="Arial" w:cs="Arial"/>
          <w:sz w:val="24"/>
          <w:szCs w:val="24"/>
        </w:rPr>
        <w:t>algún ministerio público, así como aquella información reservada por disposición expresa de una Ley, en correlación con el numeral 218</w:t>
      </w:r>
      <w:r w:rsidR="003A7898" w:rsidRPr="005475F3">
        <w:rPr>
          <w:rStyle w:val="Refdenotaalpie"/>
          <w:rFonts w:ascii="Arial" w:hAnsi="Arial" w:cs="Arial"/>
          <w:sz w:val="24"/>
          <w:szCs w:val="24"/>
        </w:rPr>
        <w:footnoteReference w:id="61"/>
      </w:r>
      <w:r w:rsidR="007144E3" w:rsidRPr="005475F3">
        <w:rPr>
          <w:rFonts w:ascii="Arial" w:hAnsi="Arial" w:cs="Arial"/>
          <w:sz w:val="24"/>
          <w:szCs w:val="24"/>
        </w:rPr>
        <w:t>, del Código Nacional de P</w:t>
      </w:r>
      <w:r w:rsidR="00C22E74" w:rsidRPr="005475F3">
        <w:rPr>
          <w:rFonts w:ascii="Arial" w:hAnsi="Arial" w:cs="Arial"/>
          <w:sz w:val="24"/>
          <w:szCs w:val="24"/>
        </w:rPr>
        <w:t>rocedimientos Penales, mismo que</w:t>
      </w:r>
      <w:r w:rsidRPr="005475F3">
        <w:rPr>
          <w:rFonts w:ascii="Arial" w:hAnsi="Arial" w:cs="Arial"/>
          <w:sz w:val="24"/>
          <w:szCs w:val="24"/>
        </w:rPr>
        <w:t>,</w:t>
      </w:r>
      <w:r w:rsidR="00C22E74" w:rsidRPr="005475F3">
        <w:rPr>
          <w:rFonts w:ascii="Arial" w:hAnsi="Arial" w:cs="Arial"/>
          <w:sz w:val="24"/>
          <w:szCs w:val="24"/>
        </w:rPr>
        <w:t xml:space="preserve"> para mayor entendimiento</w:t>
      </w:r>
      <w:r w:rsidRPr="005475F3">
        <w:rPr>
          <w:rFonts w:ascii="Arial" w:hAnsi="Arial" w:cs="Arial"/>
          <w:sz w:val="24"/>
          <w:szCs w:val="24"/>
        </w:rPr>
        <w:t>,</w:t>
      </w:r>
      <w:r w:rsidR="00C22E74" w:rsidRPr="005475F3">
        <w:rPr>
          <w:rFonts w:ascii="Arial" w:hAnsi="Arial" w:cs="Arial"/>
          <w:sz w:val="24"/>
          <w:szCs w:val="24"/>
        </w:rPr>
        <w:t xml:space="preserve"> se inserta a continuación:</w:t>
      </w:r>
    </w:p>
    <w:p w14:paraId="450992F6" w14:textId="47F0FAE7" w:rsidR="00E342A6" w:rsidRPr="005475F3" w:rsidRDefault="00E342A6" w:rsidP="004246C0">
      <w:pPr>
        <w:spacing w:after="0" w:line="360" w:lineRule="auto"/>
        <w:ind w:right="-93" w:firstLine="708"/>
        <w:jc w:val="both"/>
        <w:rPr>
          <w:rFonts w:ascii="Arial" w:hAnsi="Arial" w:cs="Arial"/>
          <w:sz w:val="24"/>
          <w:szCs w:val="24"/>
        </w:rPr>
      </w:pPr>
    </w:p>
    <w:p w14:paraId="764905CE" w14:textId="77777777" w:rsidR="00C22E74" w:rsidRPr="005475F3" w:rsidRDefault="00C22E74" w:rsidP="00C22E74">
      <w:pPr>
        <w:pStyle w:val="Estilo"/>
        <w:ind w:left="1134" w:right="1185"/>
        <w:rPr>
          <w:rFonts w:cs="Arial"/>
          <w:sz w:val="22"/>
        </w:rPr>
      </w:pPr>
      <w:r w:rsidRPr="005475F3">
        <w:rPr>
          <w:rFonts w:cs="Arial"/>
          <w:sz w:val="22"/>
        </w:rPr>
        <w:t>Artículo 218. Reserva de los actos de investigación</w:t>
      </w:r>
    </w:p>
    <w:p w14:paraId="6A7095F6" w14:textId="77777777" w:rsidR="00C22E74" w:rsidRPr="005475F3" w:rsidRDefault="00C22E74" w:rsidP="00C22E74">
      <w:pPr>
        <w:pStyle w:val="Estilo"/>
        <w:ind w:left="1134" w:right="1185"/>
        <w:rPr>
          <w:rFonts w:cs="Arial"/>
          <w:sz w:val="22"/>
        </w:rPr>
      </w:pPr>
      <w:r w:rsidRPr="005475F3">
        <w:rPr>
          <w:rFonts w:cs="Arial"/>
          <w:sz w:val="22"/>
          <w:u w:val="single"/>
        </w:rPr>
        <w:t>Los registros de la investigación, así como todos los documentos, independientemente de su contenido o naturaleza, los objetos, los registros de voz e imágenes o cosas que le estén relacionados, son estrictamente reservados</w:t>
      </w:r>
      <w:r w:rsidRPr="005475F3">
        <w:rPr>
          <w:rFonts w:cs="Arial"/>
          <w:sz w:val="22"/>
        </w:rPr>
        <w:t>, por lo que únicamente las partes, podrán tener acceso a los mismos, con las limitaciones establecidas en este Código y demás disposiciones aplicables.</w:t>
      </w:r>
    </w:p>
    <w:p w14:paraId="7C35EE62" w14:textId="77777777" w:rsidR="00C22E74" w:rsidRPr="005475F3" w:rsidRDefault="00C22E74" w:rsidP="00C22E74">
      <w:pPr>
        <w:pStyle w:val="Estilo"/>
        <w:ind w:left="1134" w:right="1185"/>
        <w:rPr>
          <w:rFonts w:cs="Arial"/>
          <w:sz w:val="22"/>
        </w:rPr>
      </w:pPr>
      <w:r w:rsidRPr="005475F3">
        <w:rPr>
          <w:rFonts w:cs="Arial"/>
          <w:sz w:val="22"/>
        </w:rPr>
        <w:t>La víctima u ofendido y su Asesor Jurídico podrán tener acceso a los registros de la investigación en cualquier momento.</w:t>
      </w:r>
    </w:p>
    <w:p w14:paraId="3C0714A5" w14:textId="77777777" w:rsidR="00C22E74" w:rsidRPr="005475F3" w:rsidRDefault="00C22E74" w:rsidP="00C22E74">
      <w:pPr>
        <w:pStyle w:val="Estilo"/>
        <w:ind w:left="1134" w:right="1185"/>
        <w:rPr>
          <w:rFonts w:cs="Arial"/>
          <w:sz w:val="22"/>
        </w:rPr>
      </w:pPr>
      <w:r w:rsidRPr="005475F3">
        <w:rPr>
          <w:rFonts w:cs="Arial"/>
          <w:sz w:val="22"/>
        </w:rPr>
        <w:t>El imputado y su defensor podrán tener acceso a ellos cuando se encuentre detenido, sea citado para comparecer como imputado o sea sujeto de un acto de molestia y se pretenda recibir su entrevista, a partir de este momento ya no podrán mantenerse en reserva los registros para el imputado o su Defensor a fin de no afectar su derecho de defensa. Para los efectos de este párrafo, se entenderá como acto de molestia lo dispuesto en el artículo 266 de este Código.</w:t>
      </w:r>
    </w:p>
    <w:p w14:paraId="76AFDF45" w14:textId="77777777" w:rsidR="00C22E74" w:rsidRPr="005475F3" w:rsidRDefault="00C22E74" w:rsidP="00C22E74">
      <w:pPr>
        <w:pStyle w:val="Estilo"/>
        <w:ind w:left="1134" w:right="1185"/>
        <w:rPr>
          <w:rFonts w:cs="Arial"/>
          <w:sz w:val="22"/>
        </w:rPr>
      </w:pPr>
      <w:r w:rsidRPr="005475F3">
        <w:rPr>
          <w:rFonts w:cs="Arial"/>
          <w:sz w:val="22"/>
          <w:u w:val="single"/>
        </w:rPr>
        <w:t>En ningún caso la reserva de los registros podrá hacerse valer en perjuicio del imputado y su Defensor</w:t>
      </w:r>
      <w:r w:rsidRPr="005475F3">
        <w:rPr>
          <w:rFonts w:cs="Arial"/>
          <w:sz w:val="22"/>
        </w:rPr>
        <w:t>, una vez dictado el auto de vinculación a proceso, salvo lo previsto en este Código o en las leyes especiales.</w:t>
      </w:r>
    </w:p>
    <w:p w14:paraId="02D641AB" w14:textId="54155865" w:rsidR="00C22E74" w:rsidRPr="005475F3" w:rsidRDefault="00C22E74" w:rsidP="00C22E74">
      <w:pPr>
        <w:spacing w:after="0" w:line="240" w:lineRule="auto"/>
        <w:ind w:left="1134" w:right="1185"/>
        <w:jc w:val="both"/>
        <w:rPr>
          <w:rFonts w:ascii="Arial" w:hAnsi="Arial" w:cs="Arial"/>
          <w:sz w:val="36"/>
          <w:szCs w:val="24"/>
        </w:rPr>
      </w:pPr>
      <w:r w:rsidRPr="005475F3">
        <w:rPr>
          <w:rFonts w:ascii="Arial" w:hAnsi="Arial" w:cs="Arial"/>
          <w:u w:val="single"/>
        </w:rPr>
        <w:t>Para efectos de acceso a la información pública gubernamental, el Ministerio Público únicamente deberá proporcionar una versión pública de las determinaciones de no ejercicio de la acción penal, archivo temporal o de aplicación de un criterio de oportunidad, siempre que haya transcurrido un plazo igual al de prescripción de los delitos de que se trate</w:t>
      </w:r>
      <w:r w:rsidRPr="005475F3">
        <w:rPr>
          <w:rFonts w:ascii="Arial" w:hAnsi="Arial" w:cs="Arial"/>
        </w:rPr>
        <w:t xml:space="preserve">, de conformidad con lo dispuesto en el Código Penal Federal o estatal correspondiente, </w:t>
      </w:r>
      <w:r w:rsidRPr="005475F3">
        <w:rPr>
          <w:rFonts w:ascii="Arial" w:hAnsi="Arial" w:cs="Arial"/>
          <w:u w:val="single"/>
        </w:rPr>
        <w:t>sin que pueda ser menor de tres años, ni mayor de doce años, contado a partir de que dicha determinación haya quedado firme</w:t>
      </w:r>
      <w:r w:rsidRPr="005475F3">
        <w:rPr>
          <w:rFonts w:ascii="Arial" w:hAnsi="Arial" w:cs="Arial"/>
        </w:rPr>
        <w:t>.</w:t>
      </w:r>
    </w:p>
    <w:p w14:paraId="64056B4E" w14:textId="77777777" w:rsidR="00C22E74" w:rsidRPr="005475F3" w:rsidRDefault="00C22E74" w:rsidP="004246C0">
      <w:pPr>
        <w:spacing w:after="0" w:line="360" w:lineRule="auto"/>
        <w:ind w:right="-93" w:firstLine="708"/>
        <w:jc w:val="both"/>
        <w:rPr>
          <w:rFonts w:ascii="Arial" w:hAnsi="Arial" w:cs="Arial"/>
          <w:sz w:val="24"/>
          <w:szCs w:val="24"/>
        </w:rPr>
      </w:pPr>
    </w:p>
    <w:p w14:paraId="6556704F" w14:textId="1D4E0735" w:rsidR="00C22E74" w:rsidRPr="005475F3" w:rsidRDefault="00AF1E38" w:rsidP="004246C0">
      <w:pPr>
        <w:spacing w:after="0" w:line="360" w:lineRule="auto"/>
        <w:ind w:right="-93" w:firstLine="708"/>
        <w:jc w:val="both"/>
        <w:rPr>
          <w:rFonts w:ascii="Arial" w:hAnsi="Arial" w:cs="Arial"/>
          <w:sz w:val="24"/>
          <w:szCs w:val="24"/>
        </w:rPr>
      </w:pPr>
      <w:r w:rsidRPr="005475F3">
        <w:rPr>
          <w:rFonts w:ascii="Arial" w:hAnsi="Arial" w:cs="Arial"/>
          <w:sz w:val="24"/>
          <w:szCs w:val="24"/>
        </w:rPr>
        <w:t>Entonces</w:t>
      </w:r>
      <w:r w:rsidR="00C22E74" w:rsidRPr="005475F3">
        <w:rPr>
          <w:rFonts w:ascii="Arial" w:hAnsi="Arial" w:cs="Arial"/>
          <w:sz w:val="24"/>
          <w:szCs w:val="24"/>
        </w:rPr>
        <w:t>,</w:t>
      </w:r>
      <w:r w:rsidRPr="005475F3">
        <w:rPr>
          <w:rFonts w:ascii="Arial" w:hAnsi="Arial" w:cs="Arial"/>
          <w:sz w:val="24"/>
          <w:szCs w:val="24"/>
        </w:rPr>
        <w:t xml:space="preserve"> en el presente asunto,</w:t>
      </w:r>
      <w:r w:rsidR="00C22E74" w:rsidRPr="005475F3">
        <w:rPr>
          <w:rFonts w:ascii="Arial" w:hAnsi="Arial" w:cs="Arial"/>
          <w:sz w:val="24"/>
          <w:szCs w:val="24"/>
        </w:rPr>
        <w:t xml:space="preserve"> existe un estrecho vínculo entre las causales hechas valer por el sujeto obligado, al momento de clasificar la información solicitada por la ahora parte recurrente, con el carácter de información reservada, pues ambas causales refieren al “Deber de reserva de los actos de investigación”</w:t>
      </w:r>
      <w:r w:rsidRPr="005475F3">
        <w:rPr>
          <w:rFonts w:ascii="Arial" w:hAnsi="Arial" w:cs="Arial"/>
          <w:sz w:val="24"/>
          <w:szCs w:val="24"/>
        </w:rPr>
        <w:t xml:space="preserve">, por así determinarse de manera expresa por diversos </w:t>
      </w:r>
      <w:r w:rsidRPr="005475F3">
        <w:rPr>
          <w:rFonts w:ascii="Arial" w:hAnsi="Arial" w:cs="Arial"/>
          <w:sz w:val="24"/>
          <w:szCs w:val="24"/>
        </w:rPr>
        <w:lastRenderedPageBreak/>
        <w:t>ordenamientos jurídicos (tanto normativas de Transparencia en los diversos niveles de Gobierno, como en la norma adjetiva en materia penal)</w:t>
      </w:r>
      <w:r w:rsidR="00C22E74" w:rsidRPr="005475F3">
        <w:rPr>
          <w:rFonts w:ascii="Arial" w:hAnsi="Arial" w:cs="Arial"/>
          <w:sz w:val="24"/>
          <w:szCs w:val="24"/>
        </w:rPr>
        <w:t>.</w:t>
      </w:r>
    </w:p>
    <w:p w14:paraId="46AE199F" w14:textId="37512126" w:rsidR="00C22E74" w:rsidRPr="005475F3" w:rsidRDefault="00C22E74" w:rsidP="004246C0">
      <w:pPr>
        <w:spacing w:after="0" w:line="360" w:lineRule="auto"/>
        <w:ind w:right="-93" w:firstLine="708"/>
        <w:jc w:val="both"/>
        <w:rPr>
          <w:rFonts w:ascii="Arial" w:hAnsi="Arial" w:cs="Arial"/>
          <w:sz w:val="24"/>
          <w:szCs w:val="24"/>
        </w:rPr>
      </w:pPr>
    </w:p>
    <w:p w14:paraId="2E23BD9A" w14:textId="57C18416" w:rsidR="00ED4552" w:rsidRPr="005475F3" w:rsidRDefault="00ED4552" w:rsidP="00ED4552">
      <w:pPr>
        <w:spacing w:after="0" w:line="360" w:lineRule="auto"/>
        <w:ind w:right="-93" w:firstLine="708"/>
        <w:jc w:val="both"/>
        <w:rPr>
          <w:rFonts w:ascii="Arial" w:hAnsi="Arial" w:cs="Arial"/>
          <w:sz w:val="24"/>
          <w:szCs w:val="24"/>
        </w:rPr>
      </w:pPr>
      <w:r w:rsidRPr="005475F3">
        <w:rPr>
          <w:rFonts w:ascii="Arial" w:hAnsi="Arial" w:cs="Arial"/>
          <w:sz w:val="24"/>
          <w:szCs w:val="24"/>
        </w:rPr>
        <w:t>Ahora bien, previo al desarrollo del presente punto de estudio, es menester dejar esclarecido que, de la interpretación armónica de los artículos 21</w:t>
      </w:r>
      <w:r w:rsidR="00BA7B7E" w:rsidRPr="005475F3">
        <w:rPr>
          <w:rStyle w:val="Refdenotaalpie"/>
          <w:rFonts w:ascii="Arial" w:hAnsi="Arial" w:cs="Arial"/>
          <w:sz w:val="24"/>
          <w:szCs w:val="24"/>
        </w:rPr>
        <w:footnoteReference w:id="62"/>
      </w:r>
      <w:r w:rsidR="00BA7B7E" w:rsidRPr="005475F3">
        <w:rPr>
          <w:rFonts w:ascii="Arial" w:hAnsi="Arial" w:cs="Arial"/>
          <w:sz w:val="24"/>
          <w:szCs w:val="24"/>
        </w:rPr>
        <w:t xml:space="preserve"> y 102</w:t>
      </w:r>
      <w:r w:rsidR="00BA7B7E" w:rsidRPr="005475F3">
        <w:rPr>
          <w:rStyle w:val="Refdenotaalpie"/>
          <w:rFonts w:ascii="Arial" w:hAnsi="Arial" w:cs="Arial"/>
          <w:sz w:val="24"/>
          <w:szCs w:val="24"/>
        </w:rPr>
        <w:footnoteReference w:id="63"/>
      </w:r>
      <w:r w:rsidR="00BA7B7E" w:rsidRPr="005475F3">
        <w:rPr>
          <w:rFonts w:ascii="Arial" w:hAnsi="Arial" w:cs="Arial"/>
          <w:sz w:val="24"/>
          <w:szCs w:val="24"/>
        </w:rPr>
        <w:t>, apartado A, fracción VI, Segundo párrafo,</w:t>
      </w:r>
      <w:r w:rsidRPr="005475F3">
        <w:rPr>
          <w:rFonts w:ascii="Arial" w:hAnsi="Arial" w:cs="Arial"/>
          <w:sz w:val="24"/>
          <w:szCs w:val="24"/>
        </w:rPr>
        <w:t xml:space="preserve"> de la Constitución Política de los Estados Unidos Mexicanos, 217</w:t>
      </w:r>
      <w:r w:rsidRPr="005475F3">
        <w:rPr>
          <w:rStyle w:val="Refdenotaalpie"/>
          <w:rFonts w:ascii="Arial" w:hAnsi="Arial" w:cs="Arial"/>
          <w:sz w:val="24"/>
          <w:szCs w:val="24"/>
        </w:rPr>
        <w:footnoteReference w:id="64"/>
      </w:r>
      <w:r w:rsidRPr="005475F3">
        <w:rPr>
          <w:rFonts w:ascii="Arial" w:hAnsi="Arial" w:cs="Arial"/>
          <w:sz w:val="24"/>
          <w:szCs w:val="24"/>
        </w:rPr>
        <w:t>, 260</w:t>
      </w:r>
      <w:r w:rsidRPr="005475F3">
        <w:rPr>
          <w:rStyle w:val="Refdenotaalpie"/>
          <w:rFonts w:ascii="Arial" w:hAnsi="Arial" w:cs="Arial"/>
          <w:sz w:val="24"/>
          <w:szCs w:val="24"/>
        </w:rPr>
        <w:footnoteReference w:id="65"/>
      </w:r>
      <w:r w:rsidRPr="005475F3">
        <w:rPr>
          <w:rFonts w:ascii="Arial" w:hAnsi="Arial" w:cs="Arial"/>
          <w:sz w:val="24"/>
          <w:szCs w:val="24"/>
        </w:rPr>
        <w:t xml:space="preserve"> y 261</w:t>
      </w:r>
      <w:r w:rsidRPr="005475F3">
        <w:rPr>
          <w:rStyle w:val="Refdenotaalpie"/>
          <w:rFonts w:ascii="Arial" w:hAnsi="Arial" w:cs="Arial"/>
          <w:sz w:val="24"/>
          <w:szCs w:val="24"/>
        </w:rPr>
        <w:footnoteReference w:id="66"/>
      </w:r>
      <w:r w:rsidRPr="005475F3">
        <w:rPr>
          <w:rFonts w:ascii="Arial" w:hAnsi="Arial" w:cs="Arial"/>
          <w:sz w:val="24"/>
          <w:szCs w:val="24"/>
        </w:rPr>
        <w:t xml:space="preserve"> del Código Nacional de Procedimientos Penales, en el sistema jurídico mexicano, “carpeta de investigación” refiere al conjunto ordenado, categorizado y estandarizado, en el cual se conservan los antecedentes y registros obtenidos por el Ministerio Público</w:t>
      </w:r>
      <w:r w:rsidR="00BA7B7E" w:rsidRPr="005475F3">
        <w:rPr>
          <w:rFonts w:ascii="Arial" w:hAnsi="Arial" w:cs="Arial"/>
          <w:sz w:val="24"/>
          <w:szCs w:val="24"/>
        </w:rPr>
        <w:t xml:space="preserve"> (como institución encargada de la persecución de los delitos)</w:t>
      </w:r>
      <w:r w:rsidRPr="005475F3">
        <w:rPr>
          <w:rFonts w:ascii="Arial" w:hAnsi="Arial" w:cs="Arial"/>
          <w:sz w:val="24"/>
          <w:szCs w:val="24"/>
        </w:rPr>
        <w:t>, con el auxilio de los intervinientes en el transcurso de una investigación de hechos presuntamente constitutivos de un ilícito; mismos que, por su naturaleza, podrán ser designados como:</w:t>
      </w:r>
    </w:p>
    <w:p w14:paraId="2C2D7B10" w14:textId="77777777" w:rsidR="00ED4552" w:rsidRPr="005475F3" w:rsidRDefault="00ED4552" w:rsidP="00ED4552">
      <w:pPr>
        <w:spacing w:after="0" w:line="360" w:lineRule="auto"/>
        <w:ind w:right="-93" w:firstLine="708"/>
        <w:jc w:val="both"/>
        <w:rPr>
          <w:rFonts w:ascii="Arial" w:hAnsi="Arial" w:cs="Arial"/>
          <w:sz w:val="24"/>
          <w:szCs w:val="24"/>
        </w:rPr>
      </w:pPr>
    </w:p>
    <w:p w14:paraId="67D6DE8A" w14:textId="77777777" w:rsidR="00ED4552" w:rsidRPr="005475F3" w:rsidRDefault="00ED4552" w:rsidP="00ED4552">
      <w:pPr>
        <w:spacing w:after="0" w:line="240" w:lineRule="auto"/>
        <w:ind w:left="1134" w:right="1183"/>
        <w:jc w:val="both"/>
        <w:rPr>
          <w:rFonts w:ascii="Arial" w:hAnsi="Arial" w:cs="Arial"/>
          <w:sz w:val="24"/>
          <w:szCs w:val="24"/>
        </w:rPr>
      </w:pPr>
      <w:r w:rsidRPr="005475F3">
        <w:rPr>
          <w:rFonts w:ascii="Arial" w:hAnsi="Arial" w:cs="Arial"/>
          <w:sz w:val="24"/>
          <w:szCs w:val="24"/>
        </w:rPr>
        <w:t xml:space="preserve">1. Dato de prueba, esto es: el medio de convicción no desahogado ante un órgano jurisdiccional que permite establecer razonablemente la existencia de un hecho delictivo y la probable participación del imputado); </w:t>
      </w:r>
    </w:p>
    <w:p w14:paraId="39244A25" w14:textId="77777777" w:rsidR="00ED4552" w:rsidRPr="005475F3" w:rsidRDefault="00ED4552" w:rsidP="00ED4552">
      <w:pPr>
        <w:spacing w:after="0" w:line="240" w:lineRule="auto"/>
        <w:ind w:left="1134" w:right="1183"/>
        <w:jc w:val="both"/>
        <w:rPr>
          <w:rFonts w:ascii="Arial" w:hAnsi="Arial" w:cs="Arial"/>
          <w:sz w:val="24"/>
          <w:szCs w:val="24"/>
        </w:rPr>
      </w:pPr>
      <w:r w:rsidRPr="005475F3">
        <w:rPr>
          <w:rFonts w:ascii="Arial" w:hAnsi="Arial" w:cs="Arial"/>
          <w:sz w:val="24"/>
          <w:szCs w:val="24"/>
        </w:rPr>
        <w:lastRenderedPageBreak/>
        <w:t xml:space="preserve">2. Medio de Prueba, es decir: toda fuente de información que permite reconstruir los hechos, respetando las formalidades procedimentales previstas para cada uno de ellos; o, </w:t>
      </w:r>
    </w:p>
    <w:p w14:paraId="403D4A81" w14:textId="77777777" w:rsidR="00ED4552" w:rsidRPr="005475F3" w:rsidRDefault="00ED4552" w:rsidP="00ED4552">
      <w:pPr>
        <w:spacing w:after="0" w:line="240" w:lineRule="auto"/>
        <w:ind w:left="1134" w:right="1183"/>
        <w:jc w:val="both"/>
        <w:rPr>
          <w:rFonts w:ascii="Arial" w:hAnsi="Arial" w:cs="Arial"/>
          <w:sz w:val="24"/>
          <w:szCs w:val="24"/>
        </w:rPr>
      </w:pPr>
      <w:r w:rsidRPr="005475F3">
        <w:rPr>
          <w:rFonts w:ascii="Arial" w:hAnsi="Arial" w:cs="Arial"/>
          <w:sz w:val="24"/>
          <w:szCs w:val="24"/>
        </w:rPr>
        <w:t>3. Prueba, definida como: todo conocimiento cierto o probable sobre un hecho, que ingresando al proceso como medio de prueba en una audiencia y desahogada bajo los principios de inmediación y contradicción, sirve al Tribunal de enjuiciamiento como elemento de juicio para llegar a una conclusión cierta sobre los hechos materia de la acusación.</w:t>
      </w:r>
    </w:p>
    <w:p w14:paraId="6F5D30B5" w14:textId="77777777" w:rsidR="00ED4552" w:rsidRPr="005475F3" w:rsidRDefault="00ED4552" w:rsidP="004246C0">
      <w:pPr>
        <w:spacing w:after="0" w:line="360" w:lineRule="auto"/>
        <w:ind w:right="-93" w:firstLine="708"/>
        <w:jc w:val="both"/>
        <w:rPr>
          <w:rFonts w:ascii="Arial" w:hAnsi="Arial" w:cs="Arial"/>
          <w:sz w:val="24"/>
          <w:szCs w:val="24"/>
        </w:rPr>
      </w:pPr>
    </w:p>
    <w:p w14:paraId="6A249773" w14:textId="490E1501" w:rsidR="007C65B4" w:rsidRPr="005475F3" w:rsidRDefault="00AF1E38" w:rsidP="004246C0">
      <w:pPr>
        <w:spacing w:after="0" w:line="360" w:lineRule="auto"/>
        <w:ind w:right="-93" w:firstLine="708"/>
        <w:jc w:val="both"/>
        <w:rPr>
          <w:rFonts w:ascii="Arial" w:hAnsi="Arial" w:cs="Arial"/>
          <w:sz w:val="24"/>
          <w:szCs w:val="24"/>
        </w:rPr>
      </w:pPr>
      <w:r w:rsidRPr="005475F3">
        <w:rPr>
          <w:rFonts w:ascii="Arial" w:hAnsi="Arial" w:cs="Arial"/>
          <w:sz w:val="24"/>
          <w:szCs w:val="24"/>
        </w:rPr>
        <w:t>Así, se colige que la carpeta de investigación, como instrumento del Ministerio Público de frente al Sistema Penal Acusatorio, se encuentra delimitado únicamente a la preservación de únicamente los datos informativos recabados, con la finalidad de que el Estado Mexicano esté en condiciones de “perseguir” y “penar” los hechos de apariencia ilícita; pudiendo contener, entre otras circunstancias, elementos de identificación de personas que por acción u omisión, se encontraran directa o indirectamente vinculadas a dicho hecho.</w:t>
      </w:r>
    </w:p>
    <w:p w14:paraId="458ECB76" w14:textId="5515BA39" w:rsidR="007C65B4" w:rsidRPr="005475F3" w:rsidRDefault="007C65B4" w:rsidP="004246C0">
      <w:pPr>
        <w:spacing w:after="0" w:line="360" w:lineRule="auto"/>
        <w:ind w:right="-93" w:firstLine="708"/>
        <w:jc w:val="both"/>
        <w:rPr>
          <w:rFonts w:ascii="Arial" w:hAnsi="Arial" w:cs="Arial"/>
          <w:sz w:val="24"/>
          <w:szCs w:val="24"/>
        </w:rPr>
      </w:pPr>
    </w:p>
    <w:p w14:paraId="6D1E828B" w14:textId="715ADAF5" w:rsidR="00ED4552" w:rsidRPr="005475F3" w:rsidRDefault="00ED4552" w:rsidP="004246C0">
      <w:pPr>
        <w:spacing w:after="0" w:line="360" w:lineRule="auto"/>
        <w:ind w:right="-93" w:firstLine="708"/>
        <w:jc w:val="both"/>
        <w:rPr>
          <w:rFonts w:ascii="Arial" w:hAnsi="Arial" w:cs="Arial"/>
          <w:sz w:val="24"/>
          <w:szCs w:val="24"/>
        </w:rPr>
      </w:pPr>
      <w:r w:rsidRPr="005475F3">
        <w:rPr>
          <w:rFonts w:ascii="Arial" w:hAnsi="Arial" w:cs="Arial"/>
          <w:sz w:val="24"/>
          <w:szCs w:val="24"/>
        </w:rPr>
        <w:t>Entonces,</w:t>
      </w:r>
      <w:r w:rsidR="004246C0" w:rsidRPr="005475F3">
        <w:rPr>
          <w:rFonts w:ascii="Arial" w:hAnsi="Arial" w:cs="Arial"/>
          <w:sz w:val="24"/>
          <w:szCs w:val="24"/>
        </w:rPr>
        <w:t xml:space="preserve"> es posible dilucidar que, la pretensión del Legislador, al momento de establecer la excepción al derecho de acceso a la información, cuando </w:t>
      </w:r>
      <w:r w:rsidR="00E342A6" w:rsidRPr="005475F3">
        <w:rPr>
          <w:rFonts w:ascii="Arial" w:hAnsi="Arial" w:cs="Arial"/>
          <w:sz w:val="24"/>
          <w:szCs w:val="24"/>
        </w:rPr>
        <w:t xml:space="preserve">lo solicitado </w:t>
      </w:r>
      <w:r w:rsidR="003A7898" w:rsidRPr="005475F3">
        <w:rPr>
          <w:rFonts w:ascii="Arial" w:hAnsi="Arial" w:cs="Arial"/>
          <w:sz w:val="24"/>
          <w:szCs w:val="24"/>
        </w:rPr>
        <w:t>verse sobre información que se encuentre contenido en las carpetas de investigación</w:t>
      </w:r>
      <w:r w:rsidR="007A00FF" w:rsidRPr="005475F3">
        <w:rPr>
          <w:rFonts w:ascii="Arial" w:hAnsi="Arial" w:cs="Arial"/>
          <w:sz w:val="24"/>
          <w:szCs w:val="24"/>
        </w:rPr>
        <w:t>,</w:t>
      </w:r>
      <w:r w:rsidR="003A7898" w:rsidRPr="005475F3">
        <w:rPr>
          <w:rFonts w:ascii="Arial" w:hAnsi="Arial" w:cs="Arial"/>
          <w:sz w:val="24"/>
          <w:szCs w:val="24"/>
        </w:rPr>
        <w:t xml:space="preserve"> </w:t>
      </w:r>
      <w:r w:rsidR="007A00FF" w:rsidRPr="005475F3">
        <w:rPr>
          <w:rFonts w:ascii="Arial" w:hAnsi="Arial" w:cs="Arial"/>
          <w:sz w:val="24"/>
          <w:szCs w:val="24"/>
        </w:rPr>
        <w:t xml:space="preserve">posee diversos intereses, siendo estos: </w:t>
      </w:r>
    </w:p>
    <w:p w14:paraId="5B23AA1A" w14:textId="77777777" w:rsidR="00ED4552" w:rsidRPr="005475F3" w:rsidRDefault="00ED4552" w:rsidP="004246C0">
      <w:pPr>
        <w:spacing w:after="0" w:line="360" w:lineRule="auto"/>
        <w:ind w:right="-93" w:firstLine="708"/>
        <w:jc w:val="both"/>
        <w:rPr>
          <w:rFonts w:ascii="Arial" w:hAnsi="Arial" w:cs="Arial"/>
          <w:sz w:val="24"/>
          <w:szCs w:val="24"/>
        </w:rPr>
      </w:pPr>
    </w:p>
    <w:p w14:paraId="7B16E779" w14:textId="2EE64258" w:rsidR="00615B5E" w:rsidRPr="005475F3" w:rsidRDefault="007A00FF" w:rsidP="00ED4552">
      <w:pPr>
        <w:spacing w:after="0" w:line="240" w:lineRule="auto"/>
        <w:ind w:left="1134" w:right="1183"/>
        <w:jc w:val="both"/>
        <w:rPr>
          <w:rFonts w:ascii="Arial" w:hAnsi="Arial" w:cs="Arial"/>
          <w:sz w:val="24"/>
          <w:szCs w:val="24"/>
        </w:rPr>
      </w:pPr>
      <w:r w:rsidRPr="005475F3">
        <w:rPr>
          <w:rFonts w:ascii="Arial" w:hAnsi="Arial" w:cs="Arial"/>
          <w:sz w:val="24"/>
          <w:szCs w:val="24"/>
        </w:rPr>
        <w:t xml:space="preserve">a) </w:t>
      </w:r>
      <w:r w:rsidR="00615B5E" w:rsidRPr="005475F3">
        <w:rPr>
          <w:rFonts w:ascii="Arial" w:hAnsi="Arial" w:cs="Arial"/>
          <w:sz w:val="24"/>
          <w:szCs w:val="24"/>
        </w:rPr>
        <w:t>La adecuada instrumentación de la carpeta de investigación, esto es, que el Ministerio Público, así como sus auxiliares en el desarrollo de la recopilación y registro de datos que robustezcan el esclarecimiento de los hechos.</w:t>
      </w:r>
    </w:p>
    <w:p w14:paraId="72361979" w14:textId="7C2EADF0" w:rsidR="00ED4552" w:rsidRPr="005475F3" w:rsidRDefault="00615B5E" w:rsidP="00ED4552">
      <w:pPr>
        <w:spacing w:after="0" w:line="240" w:lineRule="auto"/>
        <w:ind w:left="1134" w:right="1183"/>
        <w:jc w:val="both"/>
        <w:rPr>
          <w:rFonts w:ascii="Arial" w:hAnsi="Arial" w:cs="Arial"/>
          <w:sz w:val="24"/>
          <w:szCs w:val="24"/>
        </w:rPr>
      </w:pPr>
      <w:r w:rsidRPr="005475F3">
        <w:rPr>
          <w:rFonts w:ascii="Arial" w:hAnsi="Arial" w:cs="Arial"/>
          <w:sz w:val="24"/>
          <w:szCs w:val="24"/>
        </w:rPr>
        <w:t xml:space="preserve">b) </w:t>
      </w:r>
      <w:r w:rsidR="007A00FF" w:rsidRPr="005475F3">
        <w:rPr>
          <w:rFonts w:ascii="Arial" w:hAnsi="Arial" w:cs="Arial"/>
          <w:sz w:val="24"/>
          <w:szCs w:val="24"/>
        </w:rPr>
        <w:t xml:space="preserve">La conservación de </w:t>
      </w:r>
      <w:r w:rsidR="00C74D95" w:rsidRPr="005475F3">
        <w:rPr>
          <w:rFonts w:ascii="Arial" w:hAnsi="Arial" w:cs="Arial"/>
          <w:sz w:val="24"/>
          <w:szCs w:val="24"/>
        </w:rPr>
        <w:t>los derechos</w:t>
      </w:r>
      <w:r w:rsidR="007A00FF" w:rsidRPr="005475F3">
        <w:rPr>
          <w:rFonts w:ascii="Arial" w:hAnsi="Arial" w:cs="Arial"/>
          <w:sz w:val="24"/>
          <w:szCs w:val="24"/>
        </w:rPr>
        <w:t xml:space="preserve"> de las partes involucradas</w:t>
      </w:r>
      <w:r w:rsidRPr="005475F3">
        <w:rPr>
          <w:rFonts w:ascii="Arial" w:hAnsi="Arial" w:cs="Arial"/>
          <w:sz w:val="24"/>
          <w:szCs w:val="24"/>
        </w:rPr>
        <w:t>; sean presuntos responsables, víctimas u ofendidos</w:t>
      </w:r>
      <w:r w:rsidR="00C74D95" w:rsidRPr="005475F3">
        <w:rPr>
          <w:rFonts w:ascii="Arial" w:hAnsi="Arial" w:cs="Arial"/>
          <w:sz w:val="24"/>
          <w:szCs w:val="24"/>
        </w:rPr>
        <w:t xml:space="preserve"> (al honor, la privacidad, la presunción de inocencia y la adecuada Administración de Justicia)</w:t>
      </w:r>
      <w:r w:rsidR="007A00FF" w:rsidRPr="005475F3">
        <w:rPr>
          <w:rFonts w:ascii="Arial" w:hAnsi="Arial" w:cs="Arial"/>
          <w:sz w:val="24"/>
          <w:szCs w:val="24"/>
        </w:rPr>
        <w:t xml:space="preserve">; </w:t>
      </w:r>
      <w:r w:rsidR="00C74D95" w:rsidRPr="005475F3">
        <w:rPr>
          <w:rFonts w:ascii="Arial" w:hAnsi="Arial" w:cs="Arial"/>
          <w:sz w:val="24"/>
          <w:szCs w:val="24"/>
        </w:rPr>
        <w:t xml:space="preserve">y, </w:t>
      </w:r>
    </w:p>
    <w:p w14:paraId="424E5B9F" w14:textId="4B3CE8B2" w:rsidR="004246C0" w:rsidRPr="005475F3" w:rsidRDefault="00615B5E" w:rsidP="00ED4552">
      <w:pPr>
        <w:spacing w:after="0" w:line="240" w:lineRule="auto"/>
        <w:ind w:left="1134" w:right="1183"/>
        <w:jc w:val="both"/>
        <w:rPr>
          <w:rFonts w:ascii="Arial" w:hAnsi="Arial" w:cs="Arial"/>
          <w:sz w:val="24"/>
          <w:szCs w:val="24"/>
        </w:rPr>
      </w:pPr>
      <w:r w:rsidRPr="005475F3">
        <w:rPr>
          <w:rFonts w:ascii="Arial" w:hAnsi="Arial" w:cs="Arial"/>
          <w:sz w:val="24"/>
          <w:szCs w:val="24"/>
        </w:rPr>
        <w:t>c</w:t>
      </w:r>
      <w:r w:rsidR="007A00FF" w:rsidRPr="005475F3">
        <w:rPr>
          <w:rFonts w:ascii="Arial" w:hAnsi="Arial" w:cs="Arial"/>
          <w:sz w:val="24"/>
          <w:szCs w:val="24"/>
        </w:rPr>
        <w:t xml:space="preserve">) </w:t>
      </w:r>
      <w:r w:rsidR="00C74D95" w:rsidRPr="005475F3">
        <w:rPr>
          <w:rFonts w:ascii="Arial" w:hAnsi="Arial" w:cs="Arial"/>
          <w:sz w:val="24"/>
          <w:szCs w:val="24"/>
        </w:rPr>
        <w:t>L</w:t>
      </w:r>
      <w:r w:rsidR="007A00FF" w:rsidRPr="005475F3">
        <w:rPr>
          <w:rFonts w:ascii="Arial" w:hAnsi="Arial" w:cs="Arial"/>
          <w:sz w:val="24"/>
          <w:szCs w:val="24"/>
        </w:rPr>
        <w:t xml:space="preserve">a garantía del debido proceso penal; </w:t>
      </w:r>
    </w:p>
    <w:p w14:paraId="531DC837" w14:textId="393D9778" w:rsidR="004246C0" w:rsidRPr="005475F3" w:rsidRDefault="004246C0" w:rsidP="004246C0">
      <w:pPr>
        <w:spacing w:after="0" w:line="360" w:lineRule="auto"/>
        <w:ind w:right="-93" w:firstLine="708"/>
        <w:jc w:val="both"/>
        <w:rPr>
          <w:rFonts w:ascii="Arial" w:hAnsi="Arial" w:cs="Arial"/>
          <w:sz w:val="24"/>
          <w:szCs w:val="24"/>
        </w:rPr>
      </w:pPr>
    </w:p>
    <w:p w14:paraId="55B5DCB9" w14:textId="0D08B4FC" w:rsidR="005155ED" w:rsidRPr="005475F3" w:rsidRDefault="00564B53" w:rsidP="005155ED">
      <w:pPr>
        <w:spacing w:after="0" w:line="360" w:lineRule="auto"/>
        <w:ind w:right="-93" w:firstLine="708"/>
        <w:jc w:val="both"/>
        <w:rPr>
          <w:rFonts w:ascii="Arial" w:hAnsi="Arial" w:cs="Arial"/>
          <w:sz w:val="24"/>
          <w:szCs w:val="24"/>
        </w:rPr>
      </w:pPr>
      <w:r w:rsidRPr="005475F3">
        <w:rPr>
          <w:rFonts w:ascii="Arial" w:hAnsi="Arial" w:cs="Arial"/>
          <w:sz w:val="24"/>
          <w:szCs w:val="24"/>
        </w:rPr>
        <w:t xml:space="preserve">En concordancia con lo anterior, </w:t>
      </w:r>
      <w:r w:rsidR="005155ED" w:rsidRPr="005475F3">
        <w:rPr>
          <w:rFonts w:ascii="Arial" w:hAnsi="Arial" w:cs="Arial"/>
          <w:sz w:val="24"/>
          <w:szCs w:val="24"/>
        </w:rPr>
        <w:t>la Primera Sala de la Suprema Corte de Justicia de la Naci</w:t>
      </w:r>
      <w:r w:rsidRPr="005475F3">
        <w:rPr>
          <w:rFonts w:ascii="Arial" w:hAnsi="Arial" w:cs="Arial"/>
          <w:sz w:val="24"/>
          <w:szCs w:val="24"/>
        </w:rPr>
        <w:t xml:space="preserve">ón, al emitir </w:t>
      </w:r>
      <w:r w:rsidR="005155ED" w:rsidRPr="005475F3">
        <w:rPr>
          <w:rFonts w:ascii="Arial" w:hAnsi="Arial" w:cs="Arial"/>
          <w:sz w:val="24"/>
          <w:szCs w:val="24"/>
        </w:rPr>
        <w:t>resolución definitiva</w:t>
      </w:r>
      <w:r w:rsidRPr="005475F3">
        <w:rPr>
          <w:rFonts w:ascii="Arial" w:hAnsi="Arial" w:cs="Arial"/>
          <w:sz w:val="24"/>
          <w:szCs w:val="24"/>
        </w:rPr>
        <w:t xml:space="preserve"> en</w:t>
      </w:r>
      <w:r w:rsidR="005155ED" w:rsidRPr="005475F3">
        <w:rPr>
          <w:rFonts w:ascii="Arial" w:hAnsi="Arial" w:cs="Arial"/>
          <w:sz w:val="24"/>
          <w:szCs w:val="24"/>
        </w:rPr>
        <w:t xml:space="preserve"> el Amparo en Revisión número 173/2012</w:t>
      </w:r>
      <w:r w:rsidRPr="005475F3">
        <w:rPr>
          <w:rStyle w:val="Refdenotaalpie"/>
          <w:rFonts w:ascii="Arial" w:hAnsi="Arial" w:cs="Arial"/>
          <w:sz w:val="24"/>
          <w:szCs w:val="24"/>
        </w:rPr>
        <w:footnoteReference w:id="67"/>
      </w:r>
      <w:r w:rsidR="005155ED" w:rsidRPr="005475F3">
        <w:rPr>
          <w:rFonts w:ascii="Arial" w:hAnsi="Arial" w:cs="Arial"/>
          <w:sz w:val="24"/>
          <w:szCs w:val="24"/>
        </w:rPr>
        <w:t>,</w:t>
      </w:r>
      <w:r w:rsidR="00C22141" w:rsidRPr="005475F3">
        <w:rPr>
          <w:rFonts w:ascii="Arial" w:hAnsi="Arial" w:cs="Arial"/>
          <w:sz w:val="24"/>
          <w:szCs w:val="24"/>
        </w:rPr>
        <w:t xml:space="preserve"> </w:t>
      </w:r>
      <w:r w:rsidR="005155ED" w:rsidRPr="005475F3">
        <w:rPr>
          <w:rFonts w:ascii="Arial" w:hAnsi="Arial" w:cs="Arial"/>
          <w:sz w:val="24"/>
          <w:szCs w:val="24"/>
        </w:rPr>
        <w:t>abordó lo tocante a la</w:t>
      </w:r>
      <w:r w:rsidR="00C31133" w:rsidRPr="005475F3">
        <w:rPr>
          <w:rFonts w:ascii="Arial" w:hAnsi="Arial" w:cs="Arial"/>
          <w:sz w:val="24"/>
          <w:szCs w:val="24"/>
        </w:rPr>
        <w:t xml:space="preserve"> constitucionalidad de la</w:t>
      </w:r>
      <w:r w:rsidR="005155ED" w:rsidRPr="005475F3">
        <w:rPr>
          <w:rFonts w:ascii="Arial" w:hAnsi="Arial" w:cs="Arial"/>
          <w:sz w:val="24"/>
          <w:szCs w:val="24"/>
        </w:rPr>
        <w:t xml:space="preserve"> clasificación de información, con el carácter de reservada, cuando ésta obrara como parte de las </w:t>
      </w:r>
      <w:r w:rsidR="005155ED" w:rsidRPr="005475F3">
        <w:rPr>
          <w:rFonts w:ascii="Arial" w:hAnsi="Arial" w:cs="Arial"/>
          <w:sz w:val="24"/>
          <w:szCs w:val="24"/>
        </w:rPr>
        <w:lastRenderedPageBreak/>
        <w:t xml:space="preserve">“Averiguaciones Previas”, instrumentadas por los Ministerios Públicos, en el </w:t>
      </w:r>
      <w:r w:rsidR="00C22141" w:rsidRPr="005475F3">
        <w:rPr>
          <w:rFonts w:ascii="Arial" w:hAnsi="Arial" w:cs="Arial"/>
          <w:sz w:val="24"/>
          <w:szCs w:val="24"/>
        </w:rPr>
        <w:t>anterior sistema Penal Mexicano, preponderantemente Inquisitivo y formalista.</w:t>
      </w:r>
    </w:p>
    <w:p w14:paraId="0AE8B7B4" w14:textId="5FCBDCFD" w:rsidR="005155ED" w:rsidRPr="005475F3" w:rsidRDefault="005155ED" w:rsidP="004246C0">
      <w:pPr>
        <w:spacing w:after="0" w:line="360" w:lineRule="auto"/>
        <w:ind w:right="-93" w:firstLine="708"/>
        <w:jc w:val="both"/>
        <w:rPr>
          <w:rFonts w:ascii="Arial" w:hAnsi="Arial" w:cs="Arial"/>
          <w:sz w:val="24"/>
          <w:szCs w:val="24"/>
        </w:rPr>
      </w:pPr>
    </w:p>
    <w:p w14:paraId="2AE9BEF6" w14:textId="423A01E5" w:rsidR="005155ED" w:rsidRPr="005475F3" w:rsidRDefault="00564B53" w:rsidP="004246C0">
      <w:pPr>
        <w:spacing w:after="0" w:line="360" w:lineRule="auto"/>
        <w:ind w:right="-93" w:firstLine="708"/>
        <w:jc w:val="both"/>
        <w:rPr>
          <w:rFonts w:ascii="Arial" w:hAnsi="Arial" w:cs="Arial"/>
          <w:sz w:val="24"/>
          <w:szCs w:val="24"/>
        </w:rPr>
      </w:pPr>
      <w:r w:rsidRPr="005475F3">
        <w:rPr>
          <w:rFonts w:ascii="Arial" w:hAnsi="Arial" w:cs="Arial"/>
          <w:sz w:val="24"/>
          <w:szCs w:val="24"/>
        </w:rPr>
        <w:t xml:space="preserve">En la referida ejecutoria, la Sala se pronunció en el sentido de declarar que la reserva de información </w:t>
      </w:r>
      <w:r w:rsidR="00025290" w:rsidRPr="005475F3">
        <w:rPr>
          <w:rFonts w:ascii="Arial" w:hAnsi="Arial" w:cs="Arial"/>
          <w:sz w:val="24"/>
          <w:szCs w:val="24"/>
        </w:rPr>
        <w:t>por contenerse</w:t>
      </w:r>
      <w:r w:rsidRPr="005475F3">
        <w:rPr>
          <w:rFonts w:ascii="Arial" w:hAnsi="Arial" w:cs="Arial"/>
          <w:sz w:val="24"/>
          <w:szCs w:val="24"/>
        </w:rPr>
        <w:t xml:space="preserve"> en las Averiguaciones </w:t>
      </w:r>
      <w:r w:rsidR="00025290" w:rsidRPr="005475F3">
        <w:rPr>
          <w:rFonts w:ascii="Arial" w:hAnsi="Arial" w:cs="Arial"/>
          <w:sz w:val="24"/>
          <w:szCs w:val="24"/>
        </w:rPr>
        <w:t xml:space="preserve">Previas, conserva una finalidad e interés legítimo, en concordancia con lo estudiado a supra líneas, conservando la necesidad de </w:t>
      </w:r>
      <w:r w:rsidR="00472463" w:rsidRPr="005475F3">
        <w:rPr>
          <w:rFonts w:ascii="Arial" w:hAnsi="Arial" w:cs="Arial"/>
          <w:sz w:val="24"/>
          <w:szCs w:val="24"/>
        </w:rPr>
        <w:t xml:space="preserve">proporcionalidad; en relación con la restricción menos lesiva, esto es, el estudio casuístico de la documentación a reservar, a fin de otorgar certeza en que se actúa por excepción y no así por </w:t>
      </w:r>
      <w:r w:rsidR="00820BA6" w:rsidRPr="005475F3">
        <w:rPr>
          <w:rFonts w:ascii="Arial" w:hAnsi="Arial" w:cs="Arial"/>
          <w:sz w:val="24"/>
          <w:szCs w:val="24"/>
        </w:rPr>
        <w:t>regla general</w:t>
      </w:r>
      <w:r w:rsidR="00472463" w:rsidRPr="005475F3">
        <w:rPr>
          <w:rFonts w:ascii="Arial" w:hAnsi="Arial" w:cs="Arial"/>
          <w:sz w:val="24"/>
          <w:szCs w:val="24"/>
        </w:rPr>
        <w:t>.</w:t>
      </w:r>
    </w:p>
    <w:p w14:paraId="6998D3B9" w14:textId="77777777" w:rsidR="00C22141" w:rsidRPr="005475F3" w:rsidRDefault="00C22141" w:rsidP="004246C0">
      <w:pPr>
        <w:spacing w:after="0" w:line="360" w:lineRule="auto"/>
        <w:ind w:right="-93" w:firstLine="708"/>
        <w:jc w:val="both"/>
        <w:rPr>
          <w:rFonts w:ascii="Arial" w:hAnsi="Arial" w:cs="Arial"/>
          <w:sz w:val="24"/>
          <w:szCs w:val="24"/>
        </w:rPr>
      </w:pPr>
    </w:p>
    <w:p w14:paraId="4719AD6C" w14:textId="0904023D" w:rsidR="00AF1E38" w:rsidRPr="005475F3" w:rsidRDefault="003A5D68" w:rsidP="004246C0">
      <w:pPr>
        <w:spacing w:after="0" w:line="360" w:lineRule="auto"/>
        <w:ind w:right="-93" w:firstLine="708"/>
        <w:jc w:val="both"/>
        <w:rPr>
          <w:rFonts w:ascii="Arial" w:hAnsi="Arial" w:cs="Arial"/>
          <w:b/>
          <w:sz w:val="24"/>
          <w:szCs w:val="24"/>
        </w:rPr>
      </w:pPr>
      <w:r w:rsidRPr="005475F3">
        <w:rPr>
          <w:rFonts w:ascii="Arial" w:hAnsi="Arial" w:cs="Arial"/>
          <w:b/>
          <w:sz w:val="24"/>
          <w:szCs w:val="24"/>
        </w:rPr>
        <w:t>a.2.</w:t>
      </w:r>
      <w:r w:rsidR="00C31133" w:rsidRPr="005475F3">
        <w:rPr>
          <w:rFonts w:ascii="Arial" w:hAnsi="Arial" w:cs="Arial"/>
          <w:b/>
          <w:sz w:val="24"/>
          <w:szCs w:val="24"/>
        </w:rPr>
        <w:t>3</w:t>
      </w:r>
      <w:r w:rsidRPr="005475F3">
        <w:rPr>
          <w:rFonts w:ascii="Arial" w:hAnsi="Arial" w:cs="Arial"/>
          <w:b/>
          <w:sz w:val="24"/>
          <w:szCs w:val="24"/>
        </w:rPr>
        <w:t xml:space="preserve">. análisis de la </w:t>
      </w:r>
      <w:r w:rsidR="00861372" w:rsidRPr="005475F3">
        <w:rPr>
          <w:rFonts w:ascii="Arial" w:hAnsi="Arial" w:cs="Arial"/>
          <w:b/>
          <w:sz w:val="24"/>
          <w:szCs w:val="24"/>
        </w:rPr>
        <w:t>motivación</w:t>
      </w:r>
      <w:r w:rsidRPr="005475F3">
        <w:rPr>
          <w:rFonts w:ascii="Arial" w:hAnsi="Arial" w:cs="Arial"/>
          <w:b/>
          <w:sz w:val="24"/>
          <w:szCs w:val="24"/>
        </w:rPr>
        <w:t xml:space="preserve"> realizada por el sujeto obligado, al aplicar la prueba de daño.</w:t>
      </w:r>
    </w:p>
    <w:p w14:paraId="61A50411" w14:textId="77777777" w:rsidR="00C31133" w:rsidRPr="005475F3" w:rsidRDefault="00C31133" w:rsidP="004246C0">
      <w:pPr>
        <w:spacing w:after="0" w:line="360" w:lineRule="auto"/>
        <w:ind w:right="-93" w:firstLine="708"/>
        <w:jc w:val="both"/>
        <w:rPr>
          <w:rFonts w:ascii="Arial" w:hAnsi="Arial" w:cs="Arial"/>
          <w:b/>
          <w:sz w:val="24"/>
          <w:szCs w:val="24"/>
        </w:rPr>
      </w:pPr>
    </w:p>
    <w:p w14:paraId="7F3A7AF4" w14:textId="6F1E538E" w:rsidR="003A5D68" w:rsidRPr="005475F3" w:rsidRDefault="00C31133" w:rsidP="004246C0">
      <w:pPr>
        <w:spacing w:after="0" w:line="360" w:lineRule="auto"/>
        <w:ind w:right="-93" w:firstLine="708"/>
        <w:jc w:val="both"/>
        <w:rPr>
          <w:rFonts w:ascii="Arial" w:hAnsi="Arial" w:cs="Arial"/>
          <w:sz w:val="24"/>
          <w:szCs w:val="24"/>
        </w:rPr>
      </w:pPr>
      <w:r w:rsidRPr="005475F3">
        <w:rPr>
          <w:rFonts w:ascii="Arial" w:hAnsi="Arial" w:cs="Arial"/>
          <w:sz w:val="24"/>
          <w:szCs w:val="24"/>
        </w:rPr>
        <w:t>Establecido lo anterior, se procede a verificar el actuar del sujeto obligado, al momento de realizar la prueba de daño como elemento material de la Reserva de Información, a que hace referencia el artículo 118 de la Ley de Transparencia y Acceso a la Información Pública.</w:t>
      </w:r>
    </w:p>
    <w:p w14:paraId="79785CBA" w14:textId="014FE593" w:rsidR="00C31133" w:rsidRPr="005475F3" w:rsidRDefault="00C31133" w:rsidP="004246C0">
      <w:pPr>
        <w:spacing w:after="0" w:line="360" w:lineRule="auto"/>
        <w:ind w:right="-93" w:firstLine="708"/>
        <w:jc w:val="both"/>
        <w:rPr>
          <w:rFonts w:ascii="Arial" w:hAnsi="Arial" w:cs="Arial"/>
          <w:sz w:val="24"/>
          <w:szCs w:val="24"/>
        </w:rPr>
      </w:pPr>
    </w:p>
    <w:p w14:paraId="5A5BFA73" w14:textId="77777777" w:rsidR="00C31133" w:rsidRPr="005475F3" w:rsidRDefault="00C31133" w:rsidP="00C31133">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 lo correspondiente, el sujeto obligado, al aplicar la prueba de daño, dentro de la resolución por la cual confirmó la reserva de la información, realizó lo siguiente:</w:t>
      </w:r>
    </w:p>
    <w:p w14:paraId="15A3F8DA" w14:textId="77777777" w:rsidR="00C31133" w:rsidRPr="005475F3" w:rsidRDefault="00C31133" w:rsidP="00C31133">
      <w:pPr>
        <w:spacing w:after="0" w:line="360" w:lineRule="auto"/>
        <w:jc w:val="both"/>
        <w:rPr>
          <w:rFonts w:ascii="Arial" w:eastAsia="Arial Unicode MS" w:hAnsi="Arial" w:cs="Arial"/>
          <w:sz w:val="24"/>
          <w:szCs w:val="24"/>
          <w:lang w:val="es-ES_tradnl" w:eastAsia="es-ES"/>
        </w:rPr>
      </w:pPr>
    </w:p>
    <w:p w14:paraId="4E8E8C53" w14:textId="77777777" w:rsidR="00C31133" w:rsidRPr="005475F3" w:rsidRDefault="00C31133" w:rsidP="00552FC8">
      <w:pPr>
        <w:autoSpaceDE w:val="0"/>
        <w:autoSpaceDN w:val="0"/>
        <w:adjustRightInd w:val="0"/>
        <w:spacing w:after="0" w:line="240" w:lineRule="auto"/>
        <w:ind w:left="1134" w:right="1185"/>
        <w:jc w:val="both"/>
        <w:rPr>
          <w:rFonts w:ascii="Arial" w:hAnsi="Arial" w:cs="Arial"/>
        </w:rPr>
      </w:pPr>
      <w:r w:rsidRPr="005475F3">
        <w:rPr>
          <w:rFonts w:ascii="Arial" w:hAnsi="Arial" w:cs="Arial"/>
        </w:rPr>
        <w:t>“[...]</w:t>
      </w:r>
      <w:r w:rsidRPr="005475F3">
        <w:rPr>
          <w:rFonts w:ascii="Arial" w:hAnsi="Arial" w:cs="Arial"/>
          <w:bCs/>
        </w:rPr>
        <w:t xml:space="preserve">En </w:t>
      </w:r>
      <w:r w:rsidRPr="005475F3">
        <w:rPr>
          <w:rFonts w:ascii="Arial" w:hAnsi="Arial" w:cs="Arial"/>
        </w:rPr>
        <w:t>cuanto a la aplicación de la prueba de daño a la que hace referencia el artículo 104 de la Ley General de Transparencia y Acceso a la información Pública, en correlación con el</w:t>
      </w:r>
      <w:r w:rsidRPr="005475F3">
        <w:rPr>
          <w:rFonts w:ascii="Arial" w:eastAsia="Times New Roman" w:hAnsi="Arial" w:cs="Arial"/>
          <w:i/>
          <w:lang w:eastAsia="es-ES"/>
        </w:rPr>
        <w:t xml:space="preserve"> Trigésimo primero trigésimo segundo de </w:t>
      </w:r>
      <w:r w:rsidRPr="005475F3">
        <w:rPr>
          <w:rFonts w:ascii="Arial" w:hAnsi="Arial" w:cs="Arial"/>
        </w:rPr>
        <w:t xml:space="preserve">los lineamientos generales para reservar la información los sujetos obligados atenderán lo siguiente: </w:t>
      </w:r>
    </w:p>
    <w:p w14:paraId="4DAA30C8" w14:textId="77777777" w:rsidR="00C31133" w:rsidRPr="005475F3" w:rsidRDefault="00C31133" w:rsidP="00552FC8">
      <w:pPr>
        <w:spacing w:after="0" w:line="240" w:lineRule="auto"/>
        <w:ind w:left="1134" w:right="1185"/>
        <w:jc w:val="both"/>
        <w:rPr>
          <w:rFonts w:ascii="Arial" w:hAnsi="Arial" w:cs="Arial"/>
          <w:i/>
        </w:rPr>
      </w:pPr>
      <w:r w:rsidRPr="005475F3">
        <w:rPr>
          <w:rFonts w:ascii="Arial" w:eastAsia="Times New Roman" w:hAnsi="Arial" w:cs="Arial"/>
          <w:i/>
          <w:lang w:eastAsia="es-ES"/>
        </w:rPr>
        <w:t xml:space="preserve">Trigésimo primero. </w:t>
      </w:r>
      <w:r w:rsidRPr="005475F3">
        <w:rPr>
          <w:rFonts w:ascii="Arial" w:hAnsi="Arial" w:cs="Arial"/>
          <w:i/>
        </w:rPr>
        <w:t xml:space="preserve">De conformidad con el artículo 113, fracción XII de la Ley General, podrá considerarse como información reservada, aquella que forme parte de las averiguaciones previas o carpetas de investigación que resulte de la etapa de investigación, durante la cual, de conformidad con la normativa en materia penal, el Ministerio Público o su equivalente reúne indicios para el esclarecimiento de los hechos y, en su caso, los datos de prueba para sustentar el ejercicio o no de la acción penal, la acusación contra el imputado y la reparación del daño, </w:t>
      </w:r>
      <w:r w:rsidRPr="005475F3">
        <w:rPr>
          <w:rFonts w:ascii="Arial" w:hAnsi="Arial" w:cs="Arial"/>
          <w:b/>
          <w:i/>
        </w:rPr>
        <w:t xml:space="preserve">en este caso ha quedado demostrado la existencia de una carpeta de investigación, cuyo contenido es de carácter </w:t>
      </w:r>
      <w:r w:rsidRPr="005475F3">
        <w:rPr>
          <w:rFonts w:ascii="Arial" w:hAnsi="Arial" w:cs="Arial"/>
          <w:b/>
          <w:i/>
          <w:u w:val="single"/>
        </w:rPr>
        <w:t>confidencial</w:t>
      </w:r>
      <w:r w:rsidRPr="005475F3">
        <w:rPr>
          <w:rFonts w:ascii="Arial" w:hAnsi="Arial" w:cs="Arial"/>
          <w:i/>
        </w:rPr>
        <w:t xml:space="preserve"> y sólo las partes podrán tener acceso a ello, concluyendo que ningún tercero tiene la facultad de conocer el contenido que se inmersa dentro de la investigación por no </w:t>
      </w:r>
      <w:r w:rsidRPr="005475F3">
        <w:rPr>
          <w:rFonts w:ascii="Arial" w:hAnsi="Arial" w:cs="Arial"/>
          <w:i/>
        </w:rPr>
        <w:lastRenderedPageBreak/>
        <w:t xml:space="preserve">resultar un carácter legitimo para ello </w:t>
      </w:r>
      <w:r w:rsidRPr="005475F3">
        <w:rPr>
          <w:rFonts w:ascii="Arial" w:hAnsi="Arial" w:cs="Arial"/>
          <w:i/>
          <w:u w:val="single"/>
        </w:rPr>
        <w:t>como lo establece el propio numeral 218 de la Ley Adjetiva Nacional Penal</w:t>
      </w:r>
      <w:r w:rsidRPr="005475F3">
        <w:rPr>
          <w:rFonts w:ascii="Arial" w:hAnsi="Arial" w:cs="Arial"/>
          <w:i/>
        </w:rPr>
        <w:t>.</w:t>
      </w:r>
    </w:p>
    <w:p w14:paraId="151E4053" w14:textId="77777777" w:rsidR="00C31133" w:rsidRPr="005475F3" w:rsidRDefault="00C31133" w:rsidP="00552FC8">
      <w:pPr>
        <w:spacing w:after="0" w:line="240" w:lineRule="auto"/>
        <w:ind w:left="1134" w:right="1185"/>
        <w:jc w:val="both"/>
        <w:rPr>
          <w:rFonts w:ascii="Arial" w:hAnsi="Arial" w:cs="Arial"/>
        </w:rPr>
      </w:pPr>
    </w:p>
    <w:p w14:paraId="4496778F" w14:textId="77777777" w:rsidR="00C31133" w:rsidRPr="005475F3" w:rsidRDefault="00C31133" w:rsidP="00552FC8">
      <w:pPr>
        <w:autoSpaceDE w:val="0"/>
        <w:autoSpaceDN w:val="0"/>
        <w:adjustRightInd w:val="0"/>
        <w:spacing w:after="0" w:line="240" w:lineRule="auto"/>
        <w:ind w:left="1134" w:right="1185"/>
        <w:jc w:val="both"/>
        <w:rPr>
          <w:rFonts w:ascii="Arial" w:hAnsi="Arial" w:cs="Arial"/>
          <w:i/>
        </w:rPr>
      </w:pPr>
      <w:r w:rsidRPr="005475F3">
        <w:rPr>
          <w:rFonts w:ascii="Arial" w:hAnsi="Arial" w:cs="Arial"/>
          <w:i/>
        </w:rPr>
        <w:t xml:space="preserve">Trigésimo segundo. De conformidad con el artículo 113, fracción XIII de la Ley General, podrá considerarse como información reservada, aquella que por disposición expresa de una ley le otorgue tal carácter siempre que no se contravengan las bases, principios y disposiciones establecidas en la Ley General o las previstas en los tratados internacionales de los que el Estado mexicano sea parte y en este caso se actualiza dicho lineamiento al estar contemplado en el artículo 218 del Código Nacional de Procedimientos Penales en el que se establece: 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w:t>
      </w:r>
    </w:p>
    <w:p w14:paraId="5B7586C2" w14:textId="77777777" w:rsidR="00C31133" w:rsidRPr="005475F3" w:rsidRDefault="00C31133" w:rsidP="00552FC8">
      <w:pPr>
        <w:spacing w:after="0" w:line="240" w:lineRule="auto"/>
        <w:ind w:left="1134" w:right="1185"/>
        <w:jc w:val="both"/>
        <w:rPr>
          <w:rFonts w:ascii="Arial" w:hAnsi="Arial" w:cs="Arial"/>
          <w:i/>
        </w:rPr>
      </w:pPr>
    </w:p>
    <w:p w14:paraId="46BFAA33" w14:textId="77777777" w:rsidR="00C31133" w:rsidRPr="005475F3" w:rsidRDefault="00C31133" w:rsidP="00552FC8">
      <w:pPr>
        <w:spacing w:after="0" w:line="240" w:lineRule="auto"/>
        <w:ind w:left="1134" w:right="1185"/>
        <w:jc w:val="both"/>
        <w:rPr>
          <w:rFonts w:ascii="Arial" w:hAnsi="Arial" w:cs="Arial"/>
        </w:rPr>
      </w:pPr>
      <w:r w:rsidRPr="005475F3">
        <w:rPr>
          <w:rFonts w:ascii="Arial" w:hAnsi="Arial" w:cs="Arial"/>
        </w:rPr>
        <w:t xml:space="preserve">Por lo tanto, </w:t>
      </w:r>
      <w:r w:rsidRPr="005475F3">
        <w:rPr>
          <w:rFonts w:ascii="Arial" w:hAnsi="Arial" w:cs="Arial"/>
          <w:b/>
        </w:rPr>
        <w:t xml:space="preserve">la </w:t>
      </w:r>
      <w:r w:rsidRPr="005475F3">
        <w:rPr>
          <w:rStyle w:val="Textoennegrita"/>
          <w:rFonts w:ascii="Arial" w:hAnsi="Arial" w:cs="Arial"/>
        </w:rPr>
        <w:t>reserva de la información solicitada</w:t>
      </w:r>
      <w:r w:rsidRPr="005475F3">
        <w:rPr>
          <w:rFonts w:ascii="Arial" w:hAnsi="Arial" w:cs="Arial"/>
          <w:b/>
        </w:rPr>
        <w:t xml:space="preserve"> es </w:t>
      </w:r>
      <w:r w:rsidRPr="005475F3">
        <w:rPr>
          <w:rStyle w:val="Textoennegrita"/>
          <w:rFonts w:ascii="Arial" w:hAnsi="Arial" w:cs="Arial"/>
        </w:rPr>
        <w:t>proporcional y necesaria</w:t>
      </w:r>
      <w:r w:rsidRPr="005475F3">
        <w:rPr>
          <w:rFonts w:ascii="Arial" w:hAnsi="Arial" w:cs="Arial"/>
        </w:rPr>
        <w:t xml:space="preserve"> </w:t>
      </w:r>
      <w:r w:rsidRPr="005475F3">
        <w:rPr>
          <w:rFonts w:ascii="Arial" w:hAnsi="Arial" w:cs="Arial"/>
          <w:b/>
        </w:rPr>
        <w:t>para garantizar la correcta</w:t>
      </w:r>
      <w:r w:rsidRPr="005475F3">
        <w:rPr>
          <w:rFonts w:ascii="Arial" w:hAnsi="Arial" w:cs="Arial"/>
        </w:rPr>
        <w:t xml:space="preserve"> </w:t>
      </w:r>
      <w:r w:rsidRPr="005475F3">
        <w:rPr>
          <w:rStyle w:val="Textoennegrita"/>
          <w:rFonts w:ascii="Arial" w:hAnsi="Arial" w:cs="Arial"/>
        </w:rPr>
        <w:t>administración de justicia</w:t>
      </w:r>
      <w:r w:rsidRPr="005475F3">
        <w:rPr>
          <w:rFonts w:ascii="Arial" w:hAnsi="Arial" w:cs="Arial"/>
        </w:rPr>
        <w:t>,</w:t>
      </w:r>
      <w:r w:rsidRPr="005475F3">
        <w:rPr>
          <w:rFonts w:ascii="Arial" w:hAnsi="Arial" w:cs="Arial"/>
          <w:b/>
        </w:rPr>
        <w:t xml:space="preserve"> proteger la </w:t>
      </w:r>
      <w:r w:rsidRPr="005475F3">
        <w:rPr>
          <w:rStyle w:val="Textoennegrita"/>
          <w:rFonts w:ascii="Arial" w:hAnsi="Arial" w:cs="Arial"/>
        </w:rPr>
        <w:t>integridad de las pruebas</w:t>
      </w:r>
      <w:r w:rsidRPr="005475F3">
        <w:rPr>
          <w:rFonts w:ascii="Arial" w:hAnsi="Arial" w:cs="Arial"/>
          <w:b/>
        </w:rPr>
        <w:t xml:space="preserve"> y salvaguardar el </w:t>
      </w:r>
      <w:r w:rsidRPr="005475F3">
        <w:rPr>
          <w:rStyle w:val="Textoennegrita"/>
          <w:rFonts w:ascii="Arial" w:hAnsi="Arial" w:cs="Arial"/>
        </w:rPr>
        <w:t xml:space="preserve">debido proceso penal y cumplir con la taxatividad de la norma penal </w:t>
      </w:r>
      <w:r w:rsidRPr="005475F3">
        <w:rPr>
          <w:rStyle w:val="Textoennegrita"/>
          <w:rFonts w:ascii="Arial" w:hAnsi="Arial" w:cs="Arial"/>
          <w:b w:val="0"/>
        </w:rPr>
        <w:t xml:space="preserve">y las disposiciones aplicables para la información que puede reservarse, en este caso nos encontramos bajo los supuestos de que </w:t>
      </w:r>
      <w:r w:rsidRPr="005475F3">
        <w:rPr>
          <w:rStyle w:val="Textoennegrita"/>
          <w:rFonts w:ascii="Arial" w:hAnsi="Arial" w:cs="Arial"/>
          <w:b w:val="0"/>
          <w:u w:val="single"/>
        </w:rPr>
        <w:t>esta información se encuentra contenida en una carpeta de investigación y cuyo carácter de parte no le asiste al solicitante</w:t>
      </w:r>
      <w:r w:rsidRPr="005475F3">
        <w:rPr>
          <w:rFonts w:ascii="Arial" w:hAnsi="Arial" w:cs="Arial"/>
          <w:u w:val="single"/>
        </w:rPr>
        <w:t>, cumpliendo con la normativa de guardar secrecía para quienes no son partes de este proceso</w:t>
      </w:r>
      <w:r w:rsidRPr="005475F3">
        <w:rPr>
          <w:rFonts w:ascii="Arial" w:hAnsi="Arial" w:cs="Arial"/>
        </w:rPr>
        <w:t xml:space="preserve"> En este contexto, la negativa a compartir dicha información no solo es legalmente justificada, sino también compatible con los </w:t>
      </w:r>
      <w:r w:rsidRPr="005475F3">
        <w:rPr>
          <w:rStyle w:val="Textoennegrita"/>
          <w:rFonts w:ascii="Arial" w:hAnsi="Arial" w:cs="Arial"/>
          <w:b w:val="0"/>
        </w:rPr>
        <w:t>principios internacionales de derechos humanos</w:t>
      </w:r>
      <w:r w:rsidRPr="005475F3">
        <w:rPr>
          <w:rFonts w:ascii="Arial" w:hAnsi="Arial" w:cs="Arial"/>
        </w:rPr>
        <w:t xml:space="preserve"> que protegen a los individuos contra la exposición prematura y la posible manipulación de la justicia.</w:t>
      </w:r>
    </w:p>
    <w:p w14:paraId="41F14BAE" w14:textId="77777777" w:rsidR="00C31133" w:rsidRPr="005475F3" w:rsidRDefault="00C31133" w:rsidP="00552FC8">
      <w:pPr>
        <w:autoSpaceDE w:val="0"/>
        <w:autoSpaceDN w:val="0"/>
        <w:adjustRightInd w:val="0"/>
        <w:spacing w:after="0" w:line="240" w:lineRule="auto"/>
        <w:ind w:left="1134" w:right="1185"/>
        <w:jc w:val="both"/>
        <w:rPr>
          <w:rFonts w:ascii="Arial" w:hAnsi="Arial" w:cs="Arial"/>
          <w:bCs/>
        </w:rPr>
      </w:pPr>
    </w:p>
    <w:p w14:paraId="60F1344A" w14:textId="77777777" w:rsidR="00C31133" w:rsidRPr="005475F3" w:rsidRDefault="00C31133" w:rsidP="00552FC8">
      <w:pPr>
        <w:autoSpaceDE w:val="0"/>
        <w:autoSpaceDN w:val="0"/>
        <w:adjustRightInd w:val="0"/>
        <w:spacing w:after="0" w:line="240" w:lineRule="auto"/>
        <w:ind w:left="1134" w:right="1185"/>
        <w:jc w:val="both"/>
        <w:rPr>
          <w:rFonts w:ascii="Arial" w:hAnsi="Arial" w:cs="Arial"/>
          <w:bCs/>
        </w:rPr>
      </w:pPr>
      <w:r w:rsidRPr="005475F3">
        <w:rPr>
          <w:rFonts w:ascii="Arial" w:hAnsi="Arial" w:cs="Arial"/>
          <w:bCs/>
        </w:rPr>
        <w:t xml:space="preserve">Para la aplicación de la prueba de daño a la que hace referencia el artículo 104 de Ley General, concatenado con el artículo 118 de la </w:t>
      </w:r>
      <w:r w:rsidRPr="005475F3">
        <w:rPr>
          <w:rFonts w:ascii="Arial" w:hAnsi="Arial" w:cs="Arial"/>
        </w:rPr>
        <w:t xml:space="preserve">LTAIPSLP, </w:t>
      </w:r>
      <w:r w:rsidRPr="005475F3">
        <w:rPr>
          <w:rFonts w:ascii="Arial" w:hAnsi="Arial" w:cs="Arial"/>
          <w:bCs/>
        </w:rPr>
        <w:t>los sujetos obligados atenderán lo siguiente:</w:t>
      </w:r>
    </w:p>
    <w:p w14:paraId="206FF22C" w14:textId="77777777" w:rsidR="00C31133" w:rsidRPr="005475F3" w:rsidRDefault="00C31133" w:rsidP="00552FC8">
      <w:pPr>
        <w:autoSpaceDE w:val="0"/>
        <w:autoSpaceDN w:val="0"/>
        <w:adjustRightInd w:val="0"/>
        <w:spacing w:after="0" w:line="240" w:lineRule="auto"/>
        <w:ind w:left="1134" w:right="1185"/>
        <w:jc w:val="both"/>
        <w:rPr>
          <w:rFonts w:ascii="Arial" w:hAnsi="Arial" w:cs="Arial"/>
          <w:bCs/>
        </w:rPr>
      </w:pPr>
    </w:p>
    <w:p w14:paraId="01AA3C0F" w14:textId="77777777" w:rsidR="00C31133" w:rsidRPr="005475F3" w:rsidRDefault="00C31133" w:rsidP="00552FC8">
      <w:pPr>
        <w:pStyle w:val="Prrafodelista"/>
        <w:numPr>
          <w:ilvl w:val="0"/>
          <w:numId w:val="36"/>
        </w:numPr>
        <w:autoSpaceDE w:val="0"/>
        <w:autoSpaceDN w:val="0"/>
        <w:adjustRightInd w:val="0"/>
        <w:spacing w:after="0" w:line="240" w:lineRule="auto"/>
        <w:ind w:left="1134" w:right="1185" w:firstLine="0"/>
        <w:jc w:val="both"/>
        <w:rPr>
          <w:rFonts w:ascii="Arial" w:hAnsi="Arial" w:cs="Arial"/>
          <w:bCs/>
          <w:i/>
        </w:rPr>
      </w:pPr>
      <w:r w:rsidRPr="005475F3">
        <w:rPr>
          <w:rFonts w:ascii="Arial" w:hAnsi="Arial" w:cs="Arial"/>
          <w:bCs/>
          <w:i/>
        </w:rPr>
        <w:t>Se deberá citar la fracción y, en su caso, la causal aplicable del artículo 113 de la Ley General, vinculándola con el Lineamiento específico del presente ordenamiento y, cuando corresponda, el supuesto normativo que expresamente le otorga el carácter de información reservada;</w:t>
      </w:r>
      <w:r w:rsidRPr="005475F3">
        <w:rPr>
          <w:rFonts w:ascii="Arial" w:hAnsi="Arial" w:cs="Arial"/>
        </w:rPr>
        <w:t xml:space="preserve"> </w:t>
      </w:r>
    </w:p>
    <w:p w14:paraId="7ACEB628" w14:textId="77777777" w:rsidR="00C31133" w:rsidRPr="005475F3" w:rsidRDefault="00C31133" w:rsidP="00552FC8">
      <w:pPr>
        <w:pStyle w:val="Prrafodelista"/>
        <w:numPr>
          <w:ilvl w:val="0"/>
          <w:numId w:val="36"/>
        </w:numPr>
        <w:autoSpaceDE w:val="0"/>
        <w:autoSpaceDN w:val="0"/>
        <w:adjustRightInd w:val="0"/>
        <w:spacing w:after="0" w:line="240" w:lineRule="auto"/>
        <w:ind w:left="1134" w:right="1185" w:firstLine="0"/>
        <w:jc w:val="both"/>
        <w:rPr>
          <w:rFonts w:ascii="Arial" w:hAnsi="Arial" w:cs="Arial"/>
          <w:bCs/>
          <w:i/>
        </w:rPr>
      </w:pPr>
      <w:bookmarkStart w:id="3" w:name="_Hlk158375877"/>
      <w:r w:rsidRPr="005475F3">
        <w:rPr>
          <w:rFonts w:ascii="Arial" w:hAnsi="Arial" w:cs="Arial"/>
          <w:bCs/>
          <w:i/>
        </w:rPr>
        <w:t>Se deberá motivar la clasificación, señalando las circunstancias de modo, tiempo y lugar que acrediten el vínculo entre la difusión de la información y la afectación al interés público o a la seguridad nacional</w:t>
      </w:r>
      <w:bookmarkEnd w:id="3"/>
      <w:r w:rsidRPr="005475F3">
        <w:rPr>
          <w:rFonts w:ascii="Arial" w:hAnsi="Arial" w:cs="Arial"/>
          <w:bCs/>
          <w:i/>
        </w:rPr>
        <w:t xml:space="preserve">; </w:t>
      </w:r>
    </w:p>
    <w:p w14:paraId="672F0AE6" w14:textId="77777777" w:rsidR="00C31133" w:rsidRPr="005475F3" w:rsidRDefault="00C31133" w:rsidP="00552FC8">
      <w:pPr>
        <w:pStyle w:val="Prrafodelista"/>
        <w:numPr>
          <w:ilvl w:val="0"/>
          <w:numId w:val="36"/>
        </w:numPr>
        <w:autoSpaceDE w:val="0"/>
        <w:autoSpaceDN w:val="0"/>
        <w:adjustRightInd w:val="0"/>
        <w:spacing w:after="0" w:line="240" w:lineRule="auto"/>
        <w:ind w:left="1134" w:right="1185" w:firstLine="0"/>
        <w:jc w:val="both"/>
        <w:rPr>
          <w:rFonts w:ascii="Arial" w:hAnsi="Arial" w:cs="Arial"/>
          <w:bCs/>
          <w:i/>
        </w:rPr>
      </w:pPr>
      <w:bookmarkStart w:id="4" w:name="_Hlk158375888"/>
      <w:r w:rsidRPr="005475F3">
        <w:rPr>
          <w:rFonts w:ascii="Arial" w:hAnsi="Arial" w:cs="Arial"/>
          <w:bCs/>
          <w:i/>
        </w:rPr>
        <w:t>Se deberán precisar las razones objetivas por las que la apertura de la información generaría un riesgo de perjuicio real, demostrable e identificable al interés jurídico tutelado de que se trate</w:t>
      </w:r>
    </w:p>
    <w:p w14:paraId="12C2145E" w14:textId="77777777" w:rsidR="00C31133" w:rsidRPr="005475F3" w:rsidRDefault="00C31133" w:rsidP="00552FC8">
      <w:pPr>
        <w:pStyle w:val="Prrafodelista"/>
        <w:numPr>
          <w:ilvl w:val="0"/>
          <w:numId w:val="36"/>
        </w:numPr>
        <w:autoSpaceDE w:val="0"/>
        <w:autoSpaceDN w:val="0"/>
        <w:adjustRightInd w:val="0"/>
        <w:spacing w:after="0" w:line="240" w:lineRule="auto"/>
        <w:ind w:left="1134" w:right="1185" w:firstLine="0"/>
        <w:jc w:val="both"/>
        <w:rPr>
          <w:rFonts w:ascii="Arial" w:hAnsi="Arial" w:cs="Arial"/>
          <w:bCs/>
          <w:i/>
        </w:rPr>
      </w:pPr>
      <w:bookmarkStart w:id="5" w:name="_Hlk158375949"/>
      <w:bookmarkEnd w:id="4"/>
      <w:r w:rsidRPr="005475F3">
        <w:rPr>
          <w:rFonts w:ascii="Arial" w:hAnsi="Arial" w:cs="Arial"/>
          <w:bCs/>
          <w:i/>
        </w:rPr>
        <w:t xml:space="preserve">Mediante una ponderación entre la medida restrictiva y el derecho de acceso a la información, deberán justificar y probar objetivamente mediante los elementos señalados en la fracción anterior, que la publicidad de la información solicitada generaría </w:t>
      </w:r>
      <w:r w:rsidRPr="005475F3">
        <w:rPr>
          <w:rFonts w:ascii="Arial" w:hAnsi="Arial" w:cs="Arial"/>
          <w:bCs/>
          <w:i/>
        </w:rPr>
        <w:lastRenderedPageBreak/>
        <w:t xml:space="preserve">un riesgo de perjuicio que supera al interés público de que la información se difunda; </w:t>
      </w:r>
    </w:p>
    <w:p w14:paraId="3A940276" w14:textId="77777777" w:rsidR="00C31133" w:rsidRPr="005475F3" w:rsidRDefault="00C31133" w:rsidP="00552FC8">
      <w:pPr>
        <w:pStyle w:val="Prrafodelista"/>
        <w:numPr>
          <w:ilvl w:val="0"/>
          <w:numId w:val="36"/>
        </w:numPr>
        <w:autoSpaceDE w:val="0"/>
        <w:autoSpaceDN w:val="0"/>
        <w:adjustRightInd w:val="0"/>
        <w:spacing w:after="0" w:line="240" w:lineRule="auto"/>
        <w:ind w:left="1134" w:right="1185" w:firstLine="0"/>
        <w:jc w:val="both"/>
        <w:rPr>
          <w:rFonts w:ascii="Arial" w:hAnsi="Arial" w:cs="Arial"/>
          <w:bCs/>
          <w:i/>
        </w:rPr>
      </w:pPr>
      <w:r w:rsidRPr="005475F3">
        <w:rPr>
          <w:rFonts w:ascii="Arial" w:hAnsi="Arial" w:cs="Arial"/>
          <w:bCs/>
          <w:i/>
        </w:rPr>
        <w:t xml:space="preserve">Deberán elegir y justificar la opción de excepción al derecho de acceso a la información que menos lo restrinja y que sea adecuada y proporcional para evitar el perjuicio al interés público, evitando siempre que sea posible la reserva absoluta de documentos o expedientes; y </w:t>
      </w:r>
    </w:p>
    <w:p w14:paraId="5B2F3811" w14:textId="77777777" w:rsidR="00C31133" w:rsidRPr="005475F3" w:rsidRDefault="00C31133" w:rsidP="00552FC8">
      <w:pPr>
        <w:pStyle w:val="Prrafodelista"/>
        <w:numPr>
          <w:ilvl w:val="0"/>
          <w:numId w:val="36"/>
        </w:numPr>
        <w:autoSpaceDE w:val="0"/>
        <w:autoSpaceDN w:val="0"/>
        <w:adjustRightInd w:val="0"/>
        <w:spacing w:after="0" w:line="240" w:lineRule="auto"/>
        <w:ind w:left="1134" w:right="1185" w:firstLine="0"/>
        <w:jc w:val="both"/>
        <w:rPr>
          <w:rFonts w:ascii="Arial" w:hAnsi="Arial" w:cs="Arial"/>
          <w:bCs/>
          <w:i/>
        </w:rPr>
      </w:pPr>
      <w:r w:rsidRPr="005475F3">
        <w:rPr>
          <w:rFonts w:ascii="Arial" w:hAnsi="Arial" w:cs="Arial"/>
          <w:bCs/>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bookmarkEnd w:id="5"/>
    <w:p w14:paraId="3D86BDCA" w14:textId="77777777" w:rsidR="00C31133" w:rsidRPr="005475F3" w:rsidRDefault="00C31133" w:rsidP="00552FC8">
      <w:pPr>
        <w:autoSpaceDE w:val="0"/>
        <w:autoSpaceDN w:val="0"/>
        <w:adjustRightInd w:val="0"/>
        <w:spacing w:after="0" w:line="240" w:lineRule="auto"/>
        <w:ind w:left="1134" w:right="1185"/>
        <w:jc w:val="both"/>
        <w:rPr>
          <w:rFonts w:ascii="Arial" w:hAnsi="Arial" w:cs="Arial"/>
          <w:bCs/>
          <w:i/>
        </w:rPr>
      </w:pPr>
    </w:p>
    <w:p w14:paraId="752BD183" w14:textId="77777777" w:rsidR="00C31133" w:rsidRPr="005475F3" w:rsidRDefault="00C31133" w:rsidP="00552FC8">
      <w:pPr>
        <w:autoSpaceDE w:val="0"/>
        <w:autoSpaceDN w:val="0"/>
        <w:adjustRightInd w:val="0"/>
        <w:spacing w:after="0" w:line="240" w:lineRule="auto"/>
        <w:ind w:left="1134" w:right="1185"/>
        <w:jc w:val="both"/>
        <w:rPr>
          <w:rFonts w:ascii="Arial" w:hAnsi="Arial" w:cs="Arial"/>
          <w:bCs/>
        </w:rPr>
      </w:pPr>
      <w:r w:rsidRPr="005475F3">
        <w:rPr>
          <w:rFonts w:ascii="Arial" w:hAnsi="Arial" w:cs="Arial"/>
          <w:bCs/>
        </w:rPr>
        <w:t xml:space="preserve">Aplicando la prueba del daño preciso las razones objetivas por las que divulgar la información causa un daño mayor que el interés de conocerla: </w:t>
      </w:r>
    </w:p>
    <w:p w14:paraId="2D117458" w14:textId="77777777" w:rsidR="00C31133" w:rsidRPr="005475F3" w:rsidRDefault="00C31133" w:rsidP="00552FC8">
      <w:pPr>
        <w:autoSpaceDE w:val="0"/>
        <w:autoSpaceDN w:val="0"/>
        <w:adjustRightInd w:val="0"/>
        <w:spacing w:after="0" w:line="240" w:lineRule="auto"/>
        <w:ind w:left="1134" w:right="1185"/>
        <w:jc w:val="both"/>
        <w:rPr>
          <w:rFonts w:ascii="Arial" w:hAnsi="Arial" w:cs="Arial"/>
          <w:bCs/>
          <w:i/>
        </w:rPr>
      </w:pPr>
    </w:p>
    <w:p w14:paraId="11A92139" w14:textId="77777777" w:rsidR="00C31133" w:rsidRPr="005475F3" w:rsidRDefault="00C31133" w:rsidP="00552FC8">
      <w:pPr>
        <w:autoSpaceDE w:val="0"/>
        <w:autoSpaceDN w:val="0"/>
        <w:adjustRightInd w:val="0"/>
        <w:spacing w:after="0" w:line="240" w:lineRule="auto"/>
        <w:ind w:left="1134" w:right="1185"/>
        <w:jc w:val="both"/>
        <w:rPr>
          <w:rFonts w:ascii="Arial" w:hAnsi="Arial" w:cs="Arial"/>
          <w:bCs/>
          <w:i/>
        </w:rPr>
      </w:pPr>
      <w:r w:rsidRPr="005475F3">
        <w:rPr>
          <w:rFonts w:ascii="Arial" w:hAnsi="Arial" w:cs="Arial"/>
          <w:bCs/>
          <w:i/>
        </w:rPr>
        <w:t xml:space="preserve">Lineamiento Trigésimo tercero fracción </w:t>
      </w:r>
      <w:r w:rsidRPr="005475F3">
        <w:rPr>
          <w:rFonts w:ascii="Arial" w:hAnsi="Arial" w:cs="Arial"/>
          <w:i/>
        </w:rPr>
        <w:t xml:space="preserve">I.- </w:t>
      </w:r>
      <w:r w:rsidRPr="005475F3">
        <w:rPr>
          <w:rFonts w:ascii="Arial" w:hAnsi="Arial" w:cs="Arial"/>
          <w:bCs/>
          <w:i/>
        </w:rPr>
        <w:t xml:space="preserve">Se deberá citar la fracción y, en su caso, la causal aplicable del artículo 113 de la Ley General, vinculándola con el Lineamiento específico del presente ordenamiento y, cuando corresponda, el supuesto normativo que expresamente le otorga el carácter de información reservada: </w:t>
      </w:r>
      <w:r w:rsidRPr="005475F3">
        <w:rPr>
          <w:rFonts w:ascii="Arial" w:eastAsia="Times New Roman" w:hAnsi="Arial" w:cs="Arial"/>
          <w:i/>
          <w:u w:val="single"/>
          <w:lang w:eastAsia="es-ES"/>
        </w:rPr>
        <w:t xml:space="preserve">Vigésimo Tercero, Vigésimo noveno y </w:t>
      </w:r>
      <w:r w:rsidRPr="005475F3">
        <w:rPr>
          <w:rFonts w:ascii="Arial" w:hAnsi="Arial" w:cs="Arial"/>
          <w:bCs/>
          <w:i/>
          <w:u w:val="single"/>
        </w:rPr>
        <w:t>Trigésimo primero</w:t>
      </w:r>
      <w:r w:rsidRPr="005475F3">
        <w:rPr>
          <w:rFonts w:ascii="Arial" w:eastAsia="Times New Roman" w:hAnsi="Arial" w:cs="Arial"/>
          <w:i/>
          <w:u w:val="single"/>
          <w:lang w:eastAsia="es-ES"/>
        </w:rPr>
        <w:t>.</w:t>
      </w:r>
      <w:r w:rsidRPr="005475F3">
        <w:rPr>
          <w:rFonts w:ascii="Arial" w:hAnsi="Arial" w:cs="Arial"/>
          <w:i/>
          <w:u w:val="single"/>
        </w:rPr>
        <w:t xml:space="preserve"> </w:t>
      </w:r>
      <w:r w:rsidRPr="005475F3">
        <w:rPr>
          <w:rFonts w:ascii="Arial" w:eastAsia="Times New Roman" w:hAnsi="Arial" w:cs="Arial"/>
          <w:i/>
          <w:u w:val="single"/>
          <w:lang w:eastAsia="es-ES"/>
        </w:rPr>
        <w:t xml:space="preserve">De conformidad con el artículo 113 fracción V y X de la Ley General, podrá considerarse como información reservada: </w:t>
      </w:r>
      <w:r w:rsidRPr="005475F3">
        <w:rPr>
          <w:rFonts w:ascii="Arial" w:hAnsi="Arial" w:cs="Arial"/>
          <w:i/>
          <w:u w:val="single"/>
        </w:rPr>
        <w:t>Pueda poner en riesgo la vida, seguridad o salud de una persona física; Afecte los derechos del debido proceso;</w:t>
      </w:r>
      <w:r w:rsidRPr="005475F3">
        <w:rPr>
          <w:rFonts w:ascii="Arial" w:eastAsia="Times New Roman" w:hAnsi="Arial" w:cs="Arial"/>
          <w:i/>
          <w:u w:val="single"/>
          <w:lang w:eastAsia="es-ES"/>
        </w:rPr>
        <w:t xml:space="preserve"> concatenado con el numeral 129 fracción XI y XII</w:t>
      </w:r>
      <w:r w:rsidRPr="005475F3">
        <w:rPr>
          <w:rFonts w:ascii="Arial" w:eastAsia="Times New Roman" w:hAnsi="Arial" w:cs="Arial"/>
          <w:i/>
          <w:lang w:eastAsia="es-ES"/>
        </w:rPr>
        <w:t xml:space="preserve">.  </w:t>
      </w:r>
    </w:p>
    <w:p w14:paraId="206C459A" w14:textId="77777777" w:rsidR="00C31133" w:rsidRPr="005475F3" w:rsidRDefault="00C31133" w:rsidP="00552FC8">
      <w:pPr>
        <w:autoSpaceDE w:val="0"/>
        <w:autoSpaceDN w:val="0"/>
        <w:adjustRightInd w:val="0"/>
        <w:spacing w:after="0" w:line="240" w:lineRule="auto"/>
        <w:ind w:left="1134" w:right="1185"/>
        <w:jc w:val="both"/>
        <w:rPr>
          <w:rFonts w:ascii="Arial" w:hAnsi="Arial" w:cs="Arial"/>
          <w:bCs/>
          <w:i/>
        </w:rPr>
      </w:pPr>
    </w:p>
    <w:p w14:paraId="74B6D9C4" w14:textId="77777777" w:rsidR="00C31133" w:rsidRPr="005475F3" w:rsidRDefault="00C31133" w:rsidP="00552FC8">
      <w:pPr>
        <w:autoSpaceDE w:val="0"/>
        <w:autoSpaceDN w:val="0"/>
        <w:adjustRightInd w:val="0"/>
        <w:spacing w:after="0" w:line="240" w:lineRule="auto"/>
        <w:ind w:left="1134" w:right="1185"/>
        <w:jc w:val="both"/>
        <w:rPr>
          <w:rFonts w:ascii="Arial" w:hAnsi="Arial" w:cs="Arial"/>
          <w:bCs/>
          <w:i/>
        </w:rPr>
      </w:pPr>
    </w:p>
    <w:p w14:paraId="25CD3695" w14:textId="77777777" w:rsidR="00C31133" w:rsidRPr="005475F3" w:rsidRDefault="00C31133" w:rsidP="00552FC8">
      <w:pPr>
        <w:autoSpaceDE w:val="0"/>
        <w:autoSpaceDN w:val="0"/>
        <w:adjustRightInd w:val="0"/>
        <w:spacing w:after="0" w:line="240" w:lineRule="auto"/>
        <w:ind w:left="1134" w:right="1185"/>
        <w:jc w:val="both"/>
        <w:rPr>
          <w:rFonts w:ascii="Arial" w:hAnsi="Arial" w:cs="Arial"/>
          <w:i/>
        </w:rPr>
      </w:pPr>
      <w:r w:rsidRPr="005475F3">
        <w:rPr>
          <w:rFonts w:ascii="Arial" w:hAnsi="Arial" w:cs="Arial"/>
          <w:bCs/>
          <w:i/>
        </w:rPr>
        <w:t xml:space="preserve">Lineamiento Trigésimo tercero fracción </w:t>
      </w:r>
      <w:r w:rsidRPr="005475F3">
        <w:rPr>
          <w:rFonts w:ascii="Arial" w:hAnsi="Arial" w:cs="Arial"/>
          <w:i/>
        </w:rPr>
        <w:t>II</w:t>
      </w:r>
      <w:r w:rsidRPr="005475F3">
        <w:rPr>
          <w:rFonts w:ascii="Arial" w:hAnsi="Arial" w:cs="Arial"/>
          <w:bCs/>
          <w:i/>
        </w:rPr>
        <w:t xml:space="preserve">.- “Se deberá motivar la clasificación, señalando las circunstancias de modo, tiempo y lugar que acrediten el vínculo entre la difusión de la información y la afectación al interés público o a la seguridad nacional” se expone lo siguiente respecto a: </w:t>
      </w:r>
    </w:p>
    <w:p w14:paraId="4CB3A7B4" w14:textId="77777777" w:rsidR="00C31133" w:rsidRPr="005475F3" w:rsidRDefault="00C31133" w:rsidP="00552FC8">
      <w:pPr>
        <w:autoSpaceDE w:val="0"/>
        <w:autoSpaceDN w:val="0"/>
        <w:adjustRightInd w:val="0"/>
        <w:spacing w:after="0" w:line="240" w:lineRule="auto"/>
        <w:ind w:left="1134" w:right="1185"/>
        <w:jc w:val="both"/>
        <w:rPr>
          <w:rFonts w:ascii="Arial" w:hAnsi="Arial" w:cs="Arial"/>
          <w:i/>
        </w:rPr>
      </w:pPr>
      <w:r w:rsidRPr="005475F3">
        <w:rPr>
          <w:rFonts w:ascii="Arial" w:hAnsi="Arial" w:cs="Arial"/>
          <w:b/>
          <w:bCs/>
          <w:i/>
        </w:rPr>
        <w:t xml:space="preserve">Circunstancias de </w:t>
      </w:r>
      <w:r w:rsidRPr="005475F3">
        <w:rPr>
          <w:rFonts w:ascii="Arial" w:eastAsia="Times New Roman" w:hAnsi="Arial" w:cs="Arial"/>
          <w:b/>
          <w:i/>
          <w:iCs/>
        </w:rPr>
        <w:t>Modo:</w:t>
      </w:r>
      <w:r w:rsidRPr="005475F3">
        <w:rPr>
          <w:rFonts w:ascii="Arial" w:eastAsia="Times New Roman" w:hAnsi="Arial" w:cs="Arial"/>
          <w:i/>
          <w:iCs/>
        </w:rPr>
        <w:t xml:space="preserve"> La información que se reserva, en caso de ser difunda traería como consecuencia una afectación </w:t>
      </w:r>
      <w:r w:rsidRPr="005475F3">
        <w:rPr>
          <w:rFonts w:ascii="Arial" w:eastAsia="Times New Roman" w:hAnsi="Arial" w:cs="Arial"/>
          <w:i/>
        </w:rPr>
        <w:t xml:space="preserve">al interés público; puesto que claramente </w:t>
      </w:r>
      <w:r w:rsidRPr="005475F3">
        <w:rPr>
          <w:rFonts w:ascii="Arial" w:eastAsia="Times New Roman" w:hAnsi="Arial" w:cs="Arial"/>
          <w:i/>
          <w:u w:val="single"/>
        </w:rPr>
        <w:t xml:space="preserve">el dar a conocer públicamente </w:t>
      </w:r>
      <w:r w:rsidRPr="005475F3">
        <w:rPr>
          <w:rFonts w:ascii="Arial" w:eastAsia="Times New Roman" w:hAnsi="Arial" w:cs="Arial"/>
          <w:i/>
          <w:u w:val="single"/>
          <w:lang w:eastAsia="es-MX"/>
        </w:rPr>
        <w:t>la información</w:t>
      </w:r>
      <w:r w:rsidRPr="005475F3">
        <w:rPr>
          <w:rFonts w:ascii="Arial" w:eastAsia="Times New Roman" w:hAnsi="Arial" w:cs="Arial"/>
          <w:i/>
          <w:lang w:eastAsia="es-MX"/>
        </w:rPr>
        <w:t xml:space="preserve"> </w:t>
      </w:r>
      <w:r w:rsidRPr="005475F3">
        <w:rPr>
          <w:rFonts w:ascii="Arial" w:eastAsia="Times New Roman" w:hAnsi="Arial" w:cs="Arial"/>
          <w:i/>
          <w:u w:val="single"/>
          <w:lang w:eastAsia="es-MX"/>
        </w:rPr>
        <w:t>sobre los datos explícitos y personales que se encuentran inmersos dentro de la carpeta de investigación solicitada a revelar datos personales, que pueden hacer identificable a las víctimas directas e indirectas de los delitos que se investigan, comprometiendo con ello su integridad, la identidad y la intimidad de las personas que son sujetas de procedimiento penal y que son asuntos que aún no han concluido</w:t>
      </w:r>
      <w:r w:rsidRPr="005475F3">
        <w:rPr>
          <w:rFonts w:ascii="Arial" w:eastAsia="Times New Roman" w:hAnsi="Arial" w:cs="Arial"/>
          <w:i/>
          <w:lang w:eastAsia="es-MX"/>
        </w:rPr>
        <w:t xml:space="preserve">, es decir, no cuentan con resoluciones ejecutoriadas, </w:t>
      </w:r>
      <w:r w:rsidRPr="005475F3">
        <w:rPr>
          <w:rFonts w:ascii="Arial" w:eastAsia="Times New Roman" w:hAnsi="Arial" w:cs="Arial"/>
          <w:i/>
          <w:u w:val="single"/>
          <w:lang w:eastAsia="es-MX"/>
        </w:rPr>
        <w:t>poniendo además en riesgo el debido proceso</w:t>
      </w:r>
      <w:r w:rsidRPr="005475F3">
        <w:rPr>
          <w:rFonts w:ascii="Arial" w:eastAsia="Times New Roman" w:hAnsi="Arial" w:cs="Arial"/>
          <w:i/>
          <w:lang w:eastAsia="es-MX"/>
        </w:rPr>
        <w:t>. Y</w:t>
      </w:r>
      <w:r w:rsidRPr="005475F3">
        <w:rPr>
          <w:rFonts w:ascii="Arial" w:hAnsi="Arial" w:cs="Arial"/>
          <w:bCs/>
          <w:i/>
        </w:rPr>
        <w:t xml:space="preserve"> </w:t>
      </w:r>
      <w:r w:rsidRPr="005475F3">
        <w:rPr>
          <w:rFonts w:ascii="Arial" w:hAnsi="Arial" w:cs="Arial"/>
          <w:b/>
          <w:bCs/>
          <w:i/>
        </w:rPr>
        <w:t>únicamente las partes interesadas pueden tener acceso a esta información</w:t>
      </w:r>
      <w:r w:rsidRPr="005475F3">
        <w:rPr>
          <w:rFonts w:ascii="Arial" w:hAnsi="Arial" w:cs="Arial"/>
          <w:bCs/>
          <w:i/>
        </w:rPr>
        <w:t>.</w:t>
      </w:r>
      <w:r w:rsidRPr="005475F3">
        <w:rPr>
          <w:rFonts w:ascii="Arial" w:eastAsia="Times New Roman" w:hAnsi="Arial" w:cs="Arial"/>
          <w:i/>
          <w:iCs/>
        </w:rPr>
        <w:t xml:space="preserve"> </w:t>
      </w:r>
    </w:p>
    <w:p w14:paraId="2335795D" w14:textId="77777777" w:rsidR="00C31133" w:rsidRPr="005475F3" w:rsidRDefault="00C31133" w:rsidP="00552FC8">
      <w:pPr>
        <w:autoSpaceDE w:val="0"/>
        <w:autoSpaceDN w:val="0"/>
        <w:adjustRightInd w:val="0"/>
        <w:spacing w:after="0" w:line="240" w:lineRule="auto"/>
        <w:ind w:left="1134" w:right="1185"/>
        <w:jc w:val="both"/>
        <w:rPr>
          <w:rFonts w:ascii="Arial" w:eastAsia="Times New Roman" w:hAnsi="Arial" w:cs="Arial"/>
          <w:i/>
          <w:iCs/>
        </w:rPr>
      </w:pPr>
      <w:r w:rsidRPr="005475F3">
        <w:rPr>
          <w:rFonts w:ascii="Arial" w:hAnsi="Arial" w:cs="Arial"/>
          <w:bCs/>
          <w:i/>
        </w:rPr>
        <w:t xml:space="preserve">Circunstancias de </w:t>
      </w:r>
      <w:r w:rsidRPr="005475F3">
        <w:rPr>
          <w:rFonts w:ascii="Arial" w:eastAsia="Times New Roman" w:hAnsi="Arial" w:cs="Arial"/>
          <w:i/>
          <w:iCs/>
        </w:rPr>
        <w:t xml:space="preserve">Tiempo: La información que se reserva, en caso de ser difunda </w:t>
      </w:r>
      <w:r w:rsidRPr="005475F3">
        <w:rPr>
          <w:rFonts w:ascii="Arial" w:eastAsia="Times New Roman" w:hAnsi="Arial" w:cs="Arial"/>
          <w:b/>
          <w:i/>
          <w:iCs/>
        </w:rPr>
        <w:t xml:space="preserve">traería como consecuencia una afectación </w:t>
      </w:r>
      <w:r w:rsidRPr="005475F3">
        <w:rPr>
          <w:rFonts w:ascii="Arial" w:eastAsia="Times New Roman" w:hAnsi="Arial" w:cs="Arial"/>
          <w:b/>
          <w:i/>
        </w:rPr>
        <w:t xml:space="preserve">al interés público ya que la misma es actual, es información que actualmente se está generando para la prosecución e investigación de los hechos </w:t>
      </w:r>
      <w:r w:rsidRPr="005475F3">
        <w:rPr>
          <w:rFonts w:ascii="Arial" w:eastAsia="Times New Roman" w:hAnsi="Arial" w:cs="Arial"/>
          <w:i/>
        </w:rPr>
        <w:t xml:space="preserve">dentro de los registro de la Carpeta de investigación, por lo que la afectación que traería su divulgación es inminente, es real, </w:t>
      </w:r>
      <w:r w:rsidRPr="005475F3">
        <w:rPr>
          <w:rFonts w:ascii="Arial" w:eastAsia="Times New Roman" w:hAnsi="Arial" w:cs="Arial"/>
          <w:i/>
          <w:u w:val="single"/>
        </w:rPr>
        <w:t xml:space="preserve">ocurrirá hasta </w:t>
      </w:r>
      <w:r w:rsidRPr="005475F3">
        <w:rPr>
          <w:rFonts w:ascii="Arial" w:eastAsia="Times New Roman" w:hAnsi="Arial" w:cs="Arial"/>
          <w:i/>
          <w:iCs/>
          <w:u w:val="single"/>
        </w:rPr>
        <w:lastRenderedPageBreak/>
        <w:t>en tanto no cause estado de la resolución que se llegué a emitir, por lo que se busca evitar un perjuicio significativo en el desarrollo de la investigación</w:t>
      </w:r>
      <w:r w:rsidRPr="005475F3">
        <w:rPr>
          <w:rFonts w:ascii="Arial" w:eastAsia="Times New Roman" w:hAnsi="Arial" w:cs="Arial"/>
          <w:i/>
          <w:iCs/>
        </w:rPr>
        <w:t>, al darse la divulgación de la información que nos ocupa, secrecía de la investigación actual e incluso los futuros actos de investigación que se pudieran ejecutar.</w:t>
      </w:r>
    </w:p>
    <w:p w14:paraId="557D9783" w14:textId="77777777" w:rsidR="00C31133" w:rsidRPr="005475F3" w:rsidRDefault="00C31133" w:rsidP="00552FC8">
      <w:pPr>
        <w:autoSpaceDE w:val="0"/>
        <w:autoSpaceDN w:val="0"/>
        <w:adjustRightInd w:val="0"/>
        <w:spacing w:after="0" w:line="240" w:lineRule="auto"/>
        <w:ind w:left="1134" w:right="1185"/>
        <w:jc w:val="both"/>
        <w:rPr>
          <w:rFonts w:ascii="Arial" w:eastAsia="Times New Roman" w:hAnsi="Arial" w:cs="Arial"/>
          <w:i/>
          <w:iCs/>
        </w:rPr>
      </w:pPr>
      <w:r w:rsidRPr="005475F3">
        <w:rPr>
          <w:rFonts w:ascii="Arial" w:hAnsi="Arial" w:cs="Arial"/>
          <w:b/>
          <w:bCs/>
          <w:i/>
        </w:rPr>
        <w:t xml:space="preserve">Circunstancias de </w:t>
      </w:r>
      <w:r w:rsidRPr="005475F3">
        <w:rPr>
          <w:rFonts w:ascii="Arial" w:eastAsia="Times New Roman" w:hAnsi="Arial" w:cs="Arial"/>
          <w:b/>
          <w:i/>
          <w:iCs/>
        </w:rPr>
        <w:t>Lugar</w:t>
      </w:r>
      <w:r w:rsidRPr="005475F3">
        <w:rPr>
          <w:rFonts w:ascii="Arial" w:eastAsia="Times New Roman" w:hAnsi="Arial" w:cs="Arial"/>
          <w:i/>
          <w:iCs/>
        </w:rPr>
        <w:t xml:space="preserve">: Atendiendo al ámbito de competencia territorial, </w:t>
      </w:r>
      <w:r w:rsidRPr="005475F3">
        <w:rPr>
          <w:rFonts w:ascii="Arial" w:eastAsia="Times New Roman" w:hAnsi="Arial" w:cs="Arial"/>
          <w:b/>
          <w:i/>
          <w:iCs/>
        </w:rPr>
        <w:t>se trata de todo el territorio del Estado de San Luis Potosí</w:t>
      </w:r>
      <w:r w:rsidRPr="005475F3">
        <w:rPr>
          <w:rFonts w:ascii="Arial" w:eastAsia="Times New Roman" w:hAnsi="Arial" w:cs="Arial"/>
          <w:i/>
          <w:iCs/>
        </w:rPr>
        <w:t xml:space="preserve">.  </w:t>
      </w:r>
    </w:p>
    <w:p w14:paraId="4E2A554E" w14:textId="77777777" w:rsidR="00C31133" w:rsidRPr="005475F3" w:rsidRDefault="00C31133" w:rsidP="00552FC8">
      <w:pPr>
        <w:autoSpaceDE w:val="0"/>
        <w:autoSpaceDN w:val="0"/>
        <w:adjustRightInd w:val="0"/>
        <w:spacing w:after="0" w:line="240" w:lineRule="auto"/>
        <w:ind w:left="1134" w:right="1185"/>
        <w:jc w:val="both"/>
        <w:rPr>
          <w:rFonts w:ascii="Arial" w:hAnsi="Arial" w:cs="Arial"/>
          <w:i/>
        </w:rPr>
      </w:pPr>
      <w:r w:rsidRPr="005475F3">
        <w:rPr>
          <w:rFonts w:ascii="Arial" w:hAnsi="Arial" w:cs="Arial"/>
          <w:bCs/>
          <w:i/>
        </w:rPr>
        <w:t xml:space="preserve">Lineamiento Trigésimo tercero fracción </w:t>
      </w:r>
      <w:r w:rsidRPr="005475F3">
        <w:rPr>
          <w:rFonts w:ascii="Arial" w:hAnsi="Arial" w:cs="Arial"/>
          <w:i/>
        </w:rPr>
        <w:t xml:space="preserve">III: “Se deberán precisar las razones objetivas por las que la apertura de la información generaría un riesgo de perjuicio real, demostrable e identificable al interés jurídico tutelado de que se trate”, se expone lo siguiente: </w:t>
      </w:r>
    </w:p>
    <w:p w14:paraId="49176D93" w14:textId="77777777" w:rsidR="00C31133" w:rsidRPr="005475F3" w:rsidRDefault="00C31133" w:rsidP="00552FC8">
      <w:pPr>
        <w:pStyle w:val="Encabezado"/>
        <w:tabs>
          <w:tab w:val="left" w:pos="708"/>
        </w:tabs>
        <w:ind w:left="1134" w:right="1185"/>
        <w:jc w:val="both"/>
        <w:rPr>
          <w:rFonts w:ascii="Arial" w:hAnsi="Arial" w:cs="Arial"/>
          <w:i/>
        </w:rPr>
      </w:pPr>
      <w:r w:rsidRPr="005475F3">
        <w:rPr>
          <w:rFonts w:ascii="Arial" w:eastAsia="Times New Roman" w:hAnsi="Arial" w:cs="Arial"/>
          <w:i/>
          <w:lang w:val="es-ES"/>
        </w:rPr>
        <w:t xml:space="preserve">En el caso en concreto, la Fiscalía Especializada en Feminicidios, advierte que los rubros sobre los que se emite la reserva de la información, de manera razonable representa un riesgo real, demostrable e identificable de perjuicio significativo al interés público; </w:t>
      </w:r>
      <w:r w:rsidRPr="005475F3">
        <w:rPr>
          <w:rFonts w:ascii="Arial" w:eastAsia="Times New Roman" w:hAnsi="Arial" w:cs="Arial"/>
          <w:i/>
          <w:u w:val="single"/>
          <w:lang w:val="es-ES"/>
        </w:rPr>
        <w:t xml:space="preserve">puesto que claramente el dar a conocer </w:t>
      </w:r>
      <w:r w:rsidRPr="005475F3">
        <w:rPr>
          <w:rFonts w:ascii="Arial" w:eastAsia="Times New Roman" w:hAnsi="Arial" w:cs="Arial"/>
          <w:i/>
          <w:u w:val="single"/>
          <w:lang w:eastAsia="es-MX"/>
        </w:rPr>
        <w:t xml:space="preserve">la información requisitada </w:t>
      </w:r>
      <w:r w:rsidRPr="005475F3">
        <w:rPr>
          <w:rFonts w:ascii="Arial" w:hAnsi="Arial" w:cs="Arial"/>
          <w:i/>
          <w:u w:val="single"/>
        </w:rPr>
        <w:t>compromete el contenido inmerso dentro de la investigación, violentando el precepto normativo que prohíbe tácitamente su difusión</w:t>
      </w:r>
      <w:r w:rsidRPr="005475F3">
        <w:rPr>
          <w:rFonts w:ascii="Arial" w:hAnsi="Arial" w:cs="Arial"/>
          <w:i/>
        </w:rPr>
        <w:t xml:space="preserve">, al ser las partes del proceso las únicas como quienes se les debe brindar dicha intervención, al ser sujetos de un procedimiento, </w:t>
      </w:r>
      <w:r w:rsidRPr="005475F3">
        <w:rPr>
          <w:rFonts w:ascii="Arial" w:hAnsi="Arial" w:cs="Arial"/>
          <w:b/>
          <w:i/>
        </w:rPr>
        <w:t>cerrando la puerta a terceras personas extrañas al proceso de conocer los registros y documentos que obran dentro de una investigación</w:t>
      </w:r>
      <w:r w:rsidRPr="005475F3">
        <w:rPr>
          <w:rFonts w:ascii="Arial" w:hAnsi="Arial" w:cs="Arial"/>
          <w:i/>
        </w:rPr>
        <w:t>, siendo que en este caso, se solicita de manera especifica la petición para conocer información exclusiva de la partes técnicas, situación que este ente obligado debe priorizar reservar dicha información.</w:t>
      </w:r>
    </w:p>
    <w:p w14:paraId="22D36AE2" w14:textId="77777777" w:rsidR="00C31133" w:rsidRPr="005475F3" w:rsidRDefault="00C31133" w:rsidP="00552FC8">
      <w:pPr>
        <w:pStyle w:val="Encabezado"/>
        <w:tabs>
          <w:tab w:val="left" w:pos="708"/>
        </w:tabs>
        <w:ind w:left="1134" w:right="1185"/>
        <w:jc w:val="both"/>
        <w:rPr>
          <w:rFonts w:ascii="Arial" w:hAnsi="Arial" w:cs="Arial"/>
          <w:i/>
        </w:rPr>
      </w:pPr>
      <w:r w:rsidRPr="005475F3">
        <w:rPr>
          <w:rFonts w:ascii="Arial" w:hAnsi="Arial" w:cs="Arial"/>
          <w:i/>
        </w:rPr>
        <w:t xml:space="preserve"> </w:t>
      </w:r>
    </w:p>
    <w:p w14:paraId="23B828B6" w14:textId="77777777" w:rsidR="00C31133" w:rsidRPr="005475F3" w:rsidRDefault="00C31133" w:rsidP="00552FC8">
      <w:pPr>
        <w:autoSpaceDE w:val="0"/>
        <w:autoSpaceDN w:val="0"/>
        <w:adjustRightInd w:val="0"/>
        <w:spacing w:after="0" w:line="240" w:lineRule="auto"/>
        <w:ind w:left="1134" w:right="1185"/>
        <w:jc w:val="both"/>
        <w:rPr>
          <w:rFonts w:ascii="Arial" w:hAnsi="Arial" w:cs="Arial"/>
          <w:i/>
        </w:rPr>
      </w:pPr>
      <w:r w:rsidRPr="005475F3">
        <w:rPr>
          <w:rFonts w:ascii="Arial" w:hAnsi="Arial" w:cs="Arial"/>
          <w:bCs/>
          <w:i/>
        </w:rPr>
        <w:t xml:space="preserve">Lineamiento Trigésimo tercero fracción IV. </w:t>
      </w:r>
      <w:r w:rsidRPr="005475F3">
        <w:rPr>
          <w:rFonts w:ascii="Arial" w:hAnsi="Arial" w:cs="Arial"/>
          <w:i/>
        </w:rPr>
        <w:t xml:space="preserve">“Mediante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 </w:t>
      </w:r>
      <w:r w:rsidRPr="005475F3">
        <w:rPr>
          <w:rFonts w:ascii="Arial" w:eastAsia="Times New Roman" w:hAnsi="Arial" w:cs="Arial"/>
          <w:i/>
          <w:lang w:val="es-ES"/>
        </w:rPr>
        <w:t xml:space="preserve">Al realizar una ponderación sobre la reserva de información de esta Fiscalía especializada en Feminicidios, </w:t>
      </w:r>
      <w:r w:rsidRPr="005475F3">
        <w:rPr>
          <w:rFonts w:ascii="Arial" w:eastAsia="Times New Roman" w:hAnsi="Arial" w:cs="Arial"/>
          <w:i/>
          <w:u w:val="single"/>
          <w:lang w:val="es-ES"/>
        </w:rPr>
        <w:t>se advierte que el proporcionar el acceso a la información solicitada trasgrede la norma penal que explícitamente restringe el acceso a la información de los registros, documentos, imágenes que obran dentro de una carpeta de investigación a terceras personas no legitimadas dentro del proceso</w:t>
      </w:r>
      <w:r w:rsidRPr="005475F3">
        <w:rPr>
          <w:rFonts w:ascii="Arial" w:eastAsia="Times New Roman" w:hAnsi="Arial" w:cs="Arial"/>
          <w:i/>
          <w:lang w:val="es-ES"/>
        </w:rPr>
        <w:t>, por lo que dicha información se mantiene en confidencialidad, pues las únicas que podrán tener acceso a la misma, son las partes del proceso, por lo que</w:t>
      </w:r>
      <w:r w:rsidRPr="005475F3">
        <w:rPr>
          <w:rFonts w:ascii="Arial" w:hAnsi="Arial" w:cs="Arial"/>
          <w:i/>
        </w:rPr>
        <w:t xml:space="preserve"> que se refuerza la obligación de reserva, al ser únicamente las partes legitimadas quienes pueden acceder a esta información, por lo que su divulgación a terceros significaría </w:t>
      </w:r>
      <w:r w:rsidRPr="005475F3">
        <w:rPr>
          <w:rStyle w:val="Textoennegrita"/>
          <w:rFonts w:ascii="Arial" w:hAnsi="Arial" w:cs="Arial"/>
          <w:b w:val="0"/>
          <w:i/>
        </w:rPr>
        <w:t>trasgredir directamente la legislación penal y procesal aplicable</w:t>
      </w:r>
      <w:r w:rsidRPr="005475F3">
        <w:rPr>
          <w:rFonts w:ascii="Arial" w:hAnsi="Arial" w:cs="Arial"/>
          <w:i/>
        </w:rPr>
        <w:t xml:space="preserve">, así como la fracción XII del artículo 129 de la Ley de Transparencia del Estado. Aunado que </w:t>
      </w:r>
      <w:r w:rsidRPr="005475F3">
        <w:rPr>
          <w:rFonts w:ascii="Arial" w:hAnsi="Arial" w:cs="Arial"/>
          <w:i/>
          <w:u w:val="single"/>
        </w:rPr>
        <w:t xml:space="preserve">de no acatarse esta restricción, estaríamos frente a un riesgo de imposible reparación como sujeto obligado de reservar la información sobre estatus, sentencia, determinación, detenciones de la presente carpeta, violentando el proceso penal que se tiene, </w:t>
      </w:r>
      <w:r w:rsidRPr="005475F3">
        <w:rPr>
          <w:rFonts w:ascii="Arial" w:hAnsi="Arial" w:cs="Arial"/>
          <w:i/>
          <w:u w:val="single"/>
        </w:rPr>
        <w:lastRenderedPageBreak/>
        <w:t>actualizando un riesgo demostrable y jurídicamente relevante que supera el interés público</w:t>
      </w:r>
      <w:r w:rsidRPr="005475F3">
        <w:rPr>
          <w:rFonts w:ascii="Arial" w:hAnsi="Arial" w:cs="Arial"/>
          <w:i/>
        </w:rPr>
        <w:t>.</w:t>
      </w:r>
      <w:r w:rsidRPr="005475F3">
        <w:rPr>
          <w:rFonts w:ascii="Arial" w:eastAsia="Times New Roman" w:hAnsi="Arial" w:cs="Arial"/>
          <w:i/>
          <w:lang w:val="es-ES"/>
        </w:rPr>
        <w:t xml:space="preserve"> </w:t>
      </w:r>
    </w:p>
    <w:p w14:paraId="6AFE81F7" w14:textId="77777777" w:rsidR="00C31133" w:rsidRPr="005475F3" w:rsidRDefault="00C31133" w:rsidP="00552FC8">
      <w:pPr>
        <w:autoSpaceDE w:val="0"/>
        <w:autoSpaceDN w:val="0"/>
        <w:adjustRightInd w:val="0"/>
        <w:spacing w:after="0" w:line="240" w:lineRule="auto"/>
        <w:ind w:left="1134" w:right="1185"/>
        <w:jc w:val="both"/>
        <w:rPr>
          <w:rFonts w:ascii="Arial" w:eastAsia="Times New Roman" w:hAnsi="Arial" w:cs="Arial"/>
          <w:i/>
        </w:rPr>
      </w:pPr>
    </w:p>
    <w:p w14:paraId="40CCD53F" w14:textId="77777777" w:rsidR="00C31133" w:rsidRPr="005475F3" w:rsidRDefault="00C31133" w:rsidP="00552FC8">
      <w:pPr>
        <w:autoSpaceDE w:val="0"/>
        <w:autoSpaceDN w:val="0"/>
        <w:adjustRightInd w:val="0"/>
        <w:spacing w:after="0" w:line="240" w:lineRule="auto"/>
        <w:ind w:left="1134" w:right="1185"/>
        <w:jc w:val="both"/>
        <w:rPr>
          <w:rFonts w:ascii="Arial" w:hAnsi="Arial" w:cs="Arial"/>
          <w:i/>
        </w:rPr>
      </w:pPr>
      <w:r w:rsidRPr="005475F3">
        <w:rPr>
          <w:rFonts w:ascii="Arial" w:hAnsi="Arial" w:cs="Arial"/>
          <w:bCs/>
          <w:i/>
        </w:rPr>
        <w:t>Trigésimo tercero fracción V “</w:t>
      </w:r>
      <w:r w:rsidRPr="005475F3">
        <w:rPr>
          <w:rFonts w:ascii="Arial" w:hAnsi="Arial" w:cs="Arial"/>
          <w:i/>
        </w:rPr>
        <w:t xml:space="preserve">Deberán elegir y justificar la opción de excepción al derecho de acceso a la información que menos lo restrinja y que sea adecuada y proporcional para evitar el perjuicio al interés público, evitando siempre que sea posible la reserva absoluta de documentos o expedientes” se informa lo siguiente: </w:t>
      </w:r>
      <w:r w:rsidRPr="005475F3">
        <w:rPr>
          <w:rFonts w:ascii="Arial" w:eastAsia="Times New Roman" w:hAnsi="Arial" w:cs="Arial"/>
          <w:i/>
        </w:rPr>
        <w:t xml:space="preserve">Se considera que la reserva de información que se realiza, se adecúa al principio de proporcionalidad y representa el medio menos restrictivo esto es así </w:t>
      </w:r>
      <w:r w:rsidRPr="005475F3">
        <w:rPr>
          <w:rFonts w:ascii="Arial" w:eastAsia="Times New Roman" w:hAnsi="Arial" w:cs="Arial"/>
          <w:i/>
          <w:u w:val="single"/>
        </w:rPr>
        <w:t>debido a que de ser entregada la misma se daría a conocer información que es confidencial para las partes técnicas del proceso, aunado que explícitamente la ley contempla esta reserva, por lo que informar este sujeto obligado estaría violentando una obligación inmersa en nuestras atribuciones de salvaguardar y brindar el debido tratamiento a la información que se encuentran inmersas en las investigaciones, poniendo en riesgo la identificación de las víctimas y de quienes actúan dentro de la carpeta de investigación, siendo susceptible de un daño irreparable, dentro de la carpeta de investigación requisitada y violentando el debido proceso expreso por la norma penal</w:t>
      </w:r>
      <w:r w:rsidRPr="005475F3">
        <w:rPr>
          <w:rFonts w:ascii="Arial" w:eastAsia="Times New Roman" w:hAnsi="Arial" w:cs="Arial"/>
          <w:i/>
        </w:rPr>
        <w:t xml:space="preserve">. </w:t>
      </w:r>
    </w:p>
    <w:p w14:paraId="0D1D96C0" w14:textId="77777777" w:rsidR="00C31133" w:rsidRPr="005475F3" w:rsidRDefault="00C31133" w:rsidP="00552FC8">
      <w:pPr>
        <w:autoSpaceDE w:val="0"/>
        <w:autoSpaceDN w:val="0"/>
        <w:adjustRightInd w:val="0"/>
        <w:spacing w:after="0" w:line="240" w:lineRule="auto"/>
        <w:ind w:left="1134" w:right="1185"/>
        <w:jc w:val="both"/>
        <w:rPr>
          <w:rFonts w:ascii="Arial" w:hAnsi="Arial" w:cs="Arial"/>
          <w:bCs/>
        </w:rPr>
      </w:pPr>
    </w:p>
    <w:p w14:paraId="432CF474" w14:textId="77777777" w:rsidR="00C31133" w:rsidRPr="005475F3" w:rsidRDefault="00C31133" w:rsidP="00552FC8">
      <w:pPr>
        <w:autoSpaceDE w:val="0"/>
        <w:autoSpaceDN w:val="0"/>
        <w:adjustRightInd w:val="0"/>
        <w:spacing w:after="0" w:line="240" w:lineRule="auto"/>
        <w:ind w:left="1134" w:right="1185"/>
        <w:jc w:val="both"/>
        <w:rPr>
          <w:rFonts w:ascii="Arial" w:eastAsia="Times New Roman" w:hAnsi="Arial" w:cs="Arial"/>
          <w:bCs/>
          <w:i/>
          <w:iCs/>
        </w:rPr>
      </w:pPr>
      <w:r w:rsidRPr="005475F3">
        <w:rPr>
          <w:rFonts w:ascii="Arial" w:hAnsi="Arial" w:cs="Arial"/>
        </w:rPr>
        <w:t xml:space="preserve">En el presente caso, la información que se reserva contiene datos que pueden hacer identificable a las víctimas directas e indirectas de los delitos que se investigan, esta información </w:t>
      </w:r>
      <w:r w:rsidRPr="005475F3">
        <w:rPr>
          <w:rStyle w:val="Textoennegrita"/>
          <w:rFonts w:ascii="Arial" w:hAnsi="Arial" w:cs="Arial"/>
          <w:b w:val="0"/>
        </w:rPr>
        <w:t>alteraría el equilibrio procesal</w:t>
      </w:r>
      <w:r w:rsidRPr="005475F3">
        <w:rPr>
          <w:rFonts w:ascii="Arial" w:hAnsi="Arial" w:cs="Arial"/>
        </w:rPr>
        <w:t xml:space="preserve">, </w:t>
      </w:r>
      <w:r w:rsidRPr="005475F3">
        <w:rPr>
          <w:rFonts w:ascii="Arial" w:hAnsi="Arial" w:cs="Arial"/>
          <w:u w:val="single"/>
        </w:rPr>
        <w:t xml:space="preserve">podría alertar a probables responsables, </w:t>
      </w:r>
      <w:r w:rsidRPr="005475F3">
        <w:rPr>
          <w:rFonts w:ascii="Arial" w:eastAsia="Times New Roman" w:hAnsi="Arial" w:cs="Arial"/>
          <w:bCs/>
          <w:iCs/>
          <w:u w:val="single"/>
        </w:rPr>
        <w:t>el estatus de la averiguación previa o carpeta de investigación el delito o delitos que se investigaron, la determinación y resolución, las detenciones de los posibles responsables, y el debido ejercicio de investigar y salvaguardar los registros inmersos en la carpeta de investigación</w:t>
      </w:r>
      <w:r w:rsidRPr="005475F3">
        <w:rPr>
          <w:rFonts w:ascii="Arial" w:eastAsia="Times New Roman" w:hAnsi="Arial" w:cs="Arial"/>
          <w:bCs/>
          <w:iCs/>
        </w:rPr>
        <w:t xml:space="preserve">, </w:t>
      </w:r>
      <w:r w:rsidRPr="005475F3">
        <w:rPr>
          <w:rFonts w:ascii="Arial" w:hAnsi="Arial" w:cs="Arial"/>
        </w:rPr>
        <w:t>aunado a las limitaciones que por ley faculta a esta autoridad de salvaguardar la debida confidencialidad dentro de las investigaciones que se siguen en esta institución.  Motivo por el cual debe de reservarse la información solicitada en su totalidad bajo el número de registro UT-SI-P-487-240469825000487-2025.</w:t>
      </w:r>
    </w:p>
    <w:p w14:paraId="6CC12D75" w14:textId="77777777" w:rsidR="00C31133" w:rsidRPr="005475F3" w:rsidRDefault="00C31133" w:rsidP="00552FC8">
      <w:pPr>
        <w:autoSpaceDE w:val="0"/>
        <w:autoSpaceDN w:val="0"/>
        <w:adjustRightInd w:val="0"/>
        <w:spacing w:after="0" w:line="240" w:lineRule="auto"/>
        <w:ind w:left="1134" w:right="1185"/>
        <w:jc w:val="both"/>
        <w:rPr>
          <w:rFonts w:ascii="Arial" w:hAnsi="Arial" w:cs="Arial"/>
        </w:rPr>
      </w:pPr>
    </w:p>
    <w:p w14:paraId="49F9C83B" w14:textId="77777777" w:rsidR="00C31133" w:rsidRPr="005475F3" w:rsidRDefault="00C31133" w:rsidP="00552FC8">
      <w:pPr>
        <w:autoSpaceDE w:val="0"/>
        <w:autoSpaceDN w:val="0"/>
        <w:adjustRightInd w:val="0"/>
        <w:spacing w:after="0" w:line="240" w:lineRule="auto"/>
        <w:ind w:left="1134" w:right="1185"/>
        <w:jc w:val="both"/>
        <w:rPr>
          <w:rFonts w:ascii="Arial" w:hAnsi="Arial" w:cs="Arial"/>
        </w:rPr>
      </w:pPr>
      <w:r w:rsidRPr="005475F3">
        <w:rPr>
          <w:rFonts w:ascii="Arial" w:hAnsi="Arial" w:cs="Arial"/>
        </w:rPr>
        <w:t xml:space="preserve">De conformidad con lo antes vertido la información solicitada podrá actualizar la causal establecida en la fracción 129 fracción XI y XII de la –LTAIPSLP, toda vez, que entra en el supuesto de tratarse de información estrictamente reservada. </w:t>
      </w:r>
    </w:p>
    <w:p w14:paraId="6032A208" w14:textId="77777777" w:rsidR="00C31133" w:rsidRPr="005475F3" w:rsidRDefault="00C31133" w:rsidP="00552FC8">
      <w:pPr>
        <w:autoSpaceDE w:val="0"/>
        <w:autoSpaceDN w:val="0"/>
        <w:adjustRightInd w:val="0"/>
        <w:spacing w:after="0" w:line="240" w:lineRule="auto"/>
        <w:ind w:left="1134" w:right="1185"/>
        <w:jc w:val="both"/>
        <w:rPr>
          <w:rFonts w:ascii="Arial" w:hAnsi="Arial" w:cs="Arial"/>
        </w:rPr>
      </w:pPr>
    </w:p>
    <w:p w14:paraId="117EF117" w14:textId="77777777" w:rsidR="00C31133" w:rsidRPr="005475F3" w:rsidRDefault="00C31133" w:rsidP="00552FC8">
      <w:pPr>
        <w:spacing w:after="0" w:line="240" w:lineRule="auto"/>
        <w:ind w:left="1134" w:right="1185"/>
        <w:jc w:val="both"/>
        <w:rPr>
          <w:rFonts w:ascii="Arial" w:hAnsi="Arial" w:cs="Arial"/>
        </w:rPr>
      </w:pPr>
      <w:r w:rsidRPr="005475F3">
        <w:rPr>
          <w:rFonts w:ascii="Arial" w:hAnsi="Arial" w:cs="Arial"/>
          <w:bCs/>
        </w:rPr>
        <w:t xml:space="preserve">c). </w:t>
      </w:r>
      <w:r w:rsidRPr="005475F3">
        <w:rPr>
          <w:rFonts w:ascii="Arial" w:hAnsi="Arial" w:cs="Arial"/>
        </w:rPr>
        <w:t>La limitación se adecua al principio de proporcionalidad y representa el medio menos restrictivo disponible para evitar el perjuicio.</w:t>
      </w:r>
    </w:p>
    <w:p w14:paraId="4DF3AD36" w14:textId="77777777" w:rsidR="00C31133" w:rsidRPr="005475F3" w:rsidRDefault="00C31133" w:rsidP="00552FC8">
      <w:pPr>
        <w:spacing w:after="0" w:line="240" w:lineRule="auto"/>
        <w:ind w:left="1134" w:right="1185"/>
        <w:jc w:val="both"/>
        <w:rPr>
          <w:rFonts w:ascii="Arial" w:hAnsi="Arial" w:cs="Arial"/>
        </w:rPr>
      </w:pPr>
      <w:r w:rsidRPr="005475F3">
        <w:rPr>
          <w:rFonts w:ascii="Arial" w:eastAsia="Times New Roman" w:hAnsi="Arial" w:cs="Arial"/>
          <w:b/>
          <w:iCs/>
        </w:rPr>
        <w:t>Se prevé razonablemente que la revelación de la información solicitada compromete el desarrollo de la investigación y de los registros que se cuentan dentro de la misma, poniendo en riesgo su debido seguimiento</w:t>
      </w:r>
      <w:r w:rsidRPr="005475F3">
        <w:rPr>
          <w:rFonts w:ascii="Arial" w:eastAsia="Times New Roman" w:hAnsi="Arial" w:cs="Arial"/>
          <w:iCs/>
        </w:rPr>
        <w:t xml:space="preserve">, contemplando estrictamente que se actualiza la hipótesis señalada en el numeral 129 fracciones XI y XII de la LTAISLP. </w:t>
      </w:r>
      <w:r w:rsidRPr="005475F3">
        <w:rPr>
          <w:rFonts w:ascii="Arial" w:hAnsi="Arial" w:cs="Arial"/>
        </w:rPr>
        <w:t>Aunque el derecho de acceso a la información es un derecho humano de carácter máximo</w:t>
      </w:r>
      <w:r w:rsidRPr="005475F3">
        <w:rPr>
          <w:rFonts w:ascii="Arial" w:hAnsi="Arial" w:cs="Arial"/>
          <w:u w:val="single"/>
        </w:rPr>
        <w:t xml:space="preserve">, en este caso </w:t>
      </w:r>
      <w:r w:rsidRPr="005475F3">
        <w:rPr>
          <w:rStyle w:val="Textoennegrita"/>
          <w:rFonts w:ascii="Arial" w:hAnsi="Arial" w:cs="Arial"/>
          <w:b w:val="0"/>
          <w:u w:val="single"/>
        </w:rPr>
        <w:t>entra en tensión con otros derechos constitucionales</w:t>
      </w:r>
      <w:r w:rsidRPr="005475F3">
        <w:rPr>
          <w:rFonts w:ascii="Arial" w:hAnsi="Arial" w:cs="Arial"/>
          <w:u w:val="single"/>
        </w:rPr>
        <w:t xml:space="preserve">, entre ellos el debido proceso, la </w:t>
      </w:r>
      <w:r w:rsidRPr="005475F3">
        <w:rPr>
          <w:rFonts w:ascii="Arial" w:hAnsi="Arial" w:cs="Arial"/>
          <w:u w:val="single"/>
        </w:rPr>
        <w:lastRenderedPageBreak/>
        <w:t xml:space="preserve">seguridad de las víctimas, la presunción de inocencia y la obligación del Estado de investigar y sancionar, la publicidad de la información generaría un </w:t>
      </w:r>
      <w:r w:rsidRPr="005475F3">
        <w:rPr>
          <w:rStyle w:val="Textoennegrita"/>
          <w:rFonts w:ascii="Arial" w:hAnsi="Arial" w:cs="Arial"/>
          <w:b w:val="0"/>
          <w:u w:val="single"/>
        </w:rPr>
        <w:t>riesgo real, específico y mayor</w:t>
      </w:r>
      <w:r w:rsidRPr="005475F3">
        <w:rPr>
          <w:rFonts w:ascii="Arial" w:hAnsi="Arial" w:cs="Arial"/>
          <w:u w:val="single"/>
        </w:rPr>
        <w:t>, que afectaría gravemente la investigación, la integridad de las personas involucradas y la procuración de justicia</w:t>
      </w:r>
      <w:r w:rsidRPr="005475F3">
        <w:rPr>
          <w:rFonts w:ascii="Arial" w:hAnsi="Arial" w:cs="Arial"/>
        </w:rPr>
        <w:t>.</w:t>
      </w:r>
    </w:p>
    <w:p w14:paraId="1848D0C1" w14:textId="77777777" w:rsidR="00C31133" w:rsidRPr="005475F3" w:rsidRDefault="00C31133" w:rsidP="00552FC8">
      <w:pPr>
        <w:autoSpaceDE w:val="0"/>
        <w:autoSpaceDN w:val="0"/>
        <w:adjustRightInd w:val="0"/>
        <w:spacing w:after="0" w:line="240" w:lineRule="auto"/>
        <w:ind w:left="1134" w:right="1185"/>
        <w:jc w:val="both"/>
        <w:rPr>
          <w:rFonts w:ascii="Arial" w:hAnsi="Arial" w:cs="Arial"/>
        </w:rPr>
      </w:pPr>
    </w:p>
    <w:p w14:paraId="3C7D3150" w14:textId="77777777" w:rsidR="00C31133" w:rsidRPr="005475F3" w:rsidRDefault="00C31133" w:rsidP="00552FC8">
      <w:pPr>
        <w:pStyle w:val="Texto"/>
        <w:spacing w:after="0" w:line="240" w:lineRule="auto"/>
        <w:ind w:left="1134" w:right="1185" w:firstLine="0"/>
        <w:rPr>
          <w:sz w:val="22"/>
          <w:szCs w:val="22"/>
        </w:rPr>
      </w:pPr>
      <w:r w:rsidRPr="005475F3">
        <w:rPr>
          <w:sz w:val="22"/>
          <w:szCs w:val="22"/>
        </w:rPr>
        <w:t xml:space="preserve">Si bien es cierto existe el derecho de acceso a la información también lo es que dicho derecho debe tener una utilidad pública, y en este caso no se detecta que la información solicitada lo sea. </w:t>
      </w:r>
    </w:p>
    <w:p w14:paraId="29D9A28E" w14:textId="77777777" w:rsidR="00C31133" w:rsidRPr="005475F3" w:rsidRDefault="00C31133" w:rsidP="00552FC8">
      <w:pPr>
        <w:pStyle w:val="Texto"/>
        <w:spacing w:after="0" w:line="240" w:lineRule="auto"/>
        <w:ind w:left="1134" w:right="1185" w:firstLine="0"/>
        <w:rPr>
          <w:sz w:val="22"/>
          <w:szCs w:val="22"/>
        </w:rPr>
      </w:pPr>
    </w:p>
    <w:p w14:paraId="1D3DE8EC" w14:textId="77777777" w:rsidR="00C31133" w:rsidRPr="005475F3" w:rsidRDefault="00C31133" w:rsidP="00552FC8">
      <w:pPr>
        <w:pStyle w:val="Texto"/>
        <w:spacing w:after="0" w:line="240" w:lineRule="auto"/>
        <w:ind w:left="1134" w:right="1185" w:firstLine="0"/>
        <w:rPr>
          <w:sz w:val="22"/>
          <w:szCs w:val="22"/>
        </w:rPr>
      </w:pPr>
      <w:r w:rsidRPr="005475F3">
        <w:rPr>
          <w:sz w:val="22"/>
          <w:szCs w:val="22"/>
        </w:rPr>
        <w:t xml:space="preserve">Así mismo, </w:t>
      </w:r>
      <w:r w:rsidRPr="005475F3">
        <w:rPr>
          <w:sz w:val="22"/>
          <w:szCs w:val="22"/>
          <w:u w:val="single"/>
        </w:rPr>
        <w:t>la limitación de acceso a la información, en este caso la clasificación de reserva, obedece a que la Fiscalía General del Estado protege los bienes más valiosos como lo es la vida, la integridad física y el derecho de acceso a la justicia, los cuales se pondrían en riesgo al hacer pública la información solicitada, supondría la posible interferencia en el desarrollo de la investigación</w:t>
      </w:r>
      <w:r w:rsidRPr="005475F3">
        <w:rPr>
          <w:sz w:val="22"/>
          <w:szCs w:val="22"/>
        </w:rPr>
        <w:t>, previendo que para ejercer el derecho de acceso a la información no se requiere acreditar personalidad ni el interés jurídico, con qué finalidad solicite la información, trayendo como consecuencia la afectación a la conducción en las investigaciones y garantizar un adecuado proceso.”</w:t>
      </w:r>
    </w:p>
    <w:p w14:paraId="6B1D5636" w14:textId="77777777" w:rsidR="00C31133" w:rsidRPr="005475F3" w:rsidRDefault="00C31133" w:rsidP="00C31133">
      <w:pPr>
        <w:spacing w:after="0"/>
        <w:ind w:left="1134" w:right="1183"/>
        <w:jc w:val="both"/>
        <w:rPr>
          <w:rFonts w:ascii="Arial" w:hAnsi="Arial" w:cs="Arial"/>
        </w:rPr>
      </w:pPr>
    </w:p>
    <w:p w14:paraId="5F814376" w14:textId="77777777" w:rsidR="00C31133" w:rsidRPr="005475F3" w:rsidRDefault="00C31133" w:rsidP="00C31133">
      <w:pPr>
        <w:spacing w:after="0" w:line="240" w:lineRule="auto"/>
        <w:ind w:left="1134" w:right="1183"/>
        <w:jc w:val="right"/>
        <w:rPr>
          <w:rFonts w:ascii="Arial" w:hAnsi="Arial" w:cs="Arial"/>
          <w:b/>
          <w:u w:val="single"/>
        </w:rPr>
      </w:pPr>
      <w:r w:rsidRPr="005475F3">
        <w:rPr>
          <w:rFonts w:ascii="Arial" w:hAnsi="Arial" w:cs="Arial"/>
          <w:b/>
          <w:u w:val="single"/>
        </w:rPr>
        <w:t>[Énfasis añadido]</w:t>
      </w:r>
    </w:p>
    <w:p w14:paraId="7D05EACB" w14:textId="77777777" w:rsidR="00C31133" w:rsidRPr="005475F3" w:rsidRDefault="00C31133" w:rsidP="00C31133">
      <w:pPr>
        <w:spacing w:after="0" w:line="360" w:lineRule="auto"/>
        <w:ind w:left="1134" w:right="1183"/>
        <w:jc w:val="right"/>
        <w:rPr>
          <w:rFonts w:ascii="Arial" w:hAnsi="Arial" w:cs="Arial"/>
        </w:rPr>
      </w:pPr>
    </w:p>
    <w:p w14:paraId="53DA3F9E" w14:textId="77777777" w:rsidR="00AD25A6" w:rsidRPr="005475F3" w:rsidRDefault="00AD25A6" w:rsidP="00C31133">
      <w:pPr>
        <w:spacing w:after="0" w:line="360" w:lineRule="auto"/>
        <w:ind w:right="-93" w:firstLine="708"/>
        <w:jc w:val="both"/>
        <w:rPr>
          <w:rFonts w:ascii="Arial" w:hAnsi="Arial" w:cs="Arial"/>
          <w:sz w:val="24"/>
          <w:szCs w:val="24"/>
        </w:rPr>
      </w:pPr>
      <w:r w:rsidRPr="005475F3">
        <w:rPr>
          <w:rFonts w:ascii="Arial" w:hAnsi="Arial" w:cs="Arial"/>
          <w:sz w:val="24"/>
          <w:szCs w:val="24"/>
        </w:rPr>
        <w:t>De conformidad con lo anterior, el sujeto obligado manifestó que la información solicitada:</w:t>
      </w:r>
    </w:p>
    <w:p w14:paraId="41D858B8" w14:textId="77777777" w:rsidR="00AD25A6" w:rsidRPr="005475F3" w:rsidRDefault="00AD25A6" w:rsidP="00C31133">
      <w:pPr>
        <w:spacing w:after="0" w:line="360" w:lineRule="auto"/>
        <w:ind w:right="-93" w:firstLine="708"/>
        <w:jc w:val="both"/>
        <w:rPr>
          <w:rFonts w:ascii="Arial" w:hAnsi="Arial" w:cs="Arial"/>
          <w:sz w:val="24"/>
          <w:szCs w:val="24"/>
        </w:rPr>
      </w:pPr>
    </w:p>
    <w:p w14:paraId="542DAF59" w14:textId="0DCAF444" w:rsidR="00AD25A6" w:rsidRPr="005475F3" w:rsidRDefault="00AD25A6" w:rsidP="00AD25A6">
      <w:pPr>
        <w:pStyle w:val="Prrafodelista"/>
        <w:numPr>
          <w:ilvl w:val="3"/>
          <w:numId w:val="36"/>
        </w:numPr>
        <w:spacing w:after="0" w:line="240" w:lineRule="auto"/>
        <w:ind w:left="1134" w:right="1183" w:firstLine="0"/>
        <w:jc w:val="both"/>
        <w:rPr>
          <w:rFonts w:ascii="Arial" w:hAnsi="Arial" w:cs="Arial"/>
          <w:szCs w:val="24"/>
        </w:rPr>
      </w:pPr>
      <w:r w:rsidRPr="005475F3">
        <w:rPr>
          <w:rFonts w:ascii="Arial" w:hAnsi="Arial" w:cs="Arial"/>
          <w:szCs w:val="24"/>
        </w:rPr>
        <w:t>Proviene de una carpeta de investigación con información cuyo contenido es confidencial.</w:t>
      </w:r>
    </w:p>
    <w:p w14:paraId="3E09821D" w14:textId="21CC77BD" w:rsidR="00AD25A6" w:rsidRPr="005475F3" w:rsidRDefault="00AD25A6" w:rsidP="00AD25A6">
      <w:pPr>
        <w:pStyle w:val="Prrafodelista"/>
        <w:numPr>
          <w:ilvl w:val="3"/>
          <w:numId w:val="36"/>
        </w:numPr>
        <w:spacing w:after="0" w:line="240" w:lineRule="auto"/>
        <w:ind w:left="1134" w:right="1183" w:firstLine="0"/>
        <w:jc w:val="both"/>
        <w:rPr>
          <w:rFonts w:ascii="Arial" w:hAnsi="Arial" w:cs="Arial"/>
          <w:szCs w:val="24"/>
        </w:rPr>
      </w:pPr>
      <w:r w:rsidRPr="005475F3">
        <w:rPr>
          <w:rFonts w:ascii="Arial" w:hAnsi="Arial" w:cs="Arial"/>
          <w:szCs w:val="24"/>
        </w:rPr>
        <w:t>Se encuentra contemplada como información reservada, de conformidad con el numeral 218 del código Nacional de Procedimientos Penales, en correlación con la fracción XIII, del artículo 113 de la Ley General (sic).</w:t>
      </w:r>
    </w:p>
    <w:p w14:paraId="3C1A6507" w14:textId="6BBFFA2F" w:rsidR="00AD25A6" w:rsidRPr="005475F3" w:rsidRDefault="00AD25A6" w:rsidP="00AD25A6">
      <w:pPr>
        <w:pStyle w:val="Prrafodelista"/>
        <w:numPr>
          <w:ilvl w:val="3"/>
          <w:numId w:val="36"/>
        </w:numPr>
        <w:spacing w:after="0" w:line="240" w:lineRule="auto"/>
        <w:ind w:left="1134" w:right="1183" w:firstLine="0"/>
        <w:jc w:val="both"/>
        <w:rPr>
          <w:rFonts w:ascii="Arial" w:hAnsi="Arial" w:cs="Arial"/>
          <w:szCs w:val="24"/>
        </w:rPr>
      </w:pPr>
      <w:r w:rsidRPr="005475F3">
        <w:rPr>
          <w:rFonts w:ascii="Arial" w:hAnsi="Arial" w:cs="Arial"/>
          <w:szCs w:val="24"/>
        </w:rPr>
        <w:t>La información contenida en la carpeta de investigación únicamente se puede entregar para su acceso a las partes en el momento procesal oportuno.</w:t>
      </w:r>
    </w:p>
    <w:p w14:paraId="670D6149" w14:textId="6A3B98E2" w:rsidR="00C31133" w:rsidRPr="005475F3" w:rsidRDefault="00AD25A6" w:rsidP="00AD25A6">
      <w:pPr>
        <w:pStyle w:val="Prrafodelista"/>
        <w:numPr>
          <w:ilvl w:val="3"/>
          <w:numId w:val="36"/>
        </w:numPr>
        <w:spacing w:after="0" w:line="240" w:lineRule="auto"/>
        <w:ind w:left="1134" w:right="1183" w:firstLine="0"/>
        <w:jc w:val="both"/>
        <w:rPr>
          <w:rFonts w:ascii="Arial" w:hAnsi="Arial" w:cs="Arial"/>
          <w:szCs w:val="24"/>
        </w:rPr>
      </w:pPr>
      <w:r w:rsidRPr="005475F3">
        <w:rPr>
          <w:rFonts w:ascii="Arial" w:hAnsi="Arial" w:cs="Arial"/>
          <w:szCs w:val="24"/>
        </w:rPr>
        <w:t>Podría hacer identificable a las personas intervinientes en el proceso de investigación.</w:t>
      </w:r>
    </w:p>
    <w:p w14:paraId="0B650DD7" w14:textId="3D54AA6C" w:rsidR="00AD25A6" w:rsidRPr="005475F3" w:rsidRDefault="00AD25A6" w:rsidP="00AD25A6">
      <w:pPr>
        <w:pStyle w:val="Prrafodelista"/>
        <w:numPr>
          <w:ilvl w:val="3"/>
          <w:numId w:val="36"/>
        </w:numPr>
        <w:spacing w:after="0" w:line="240" w:lineRule="auto"/>
        <w:ind w:left="1134" w:right="1183" w:firstLine="0"/>
        <w:jc w:val="both"/>
        <w:rPr>
          <w:rFonts w:ascii="Arial" w:hAnsi="Arial" w:cs="Arial"/>
          <w:szCs w:val="24"/>
        </w:rPr>
      </w:pPr>
      <w:r w:rsidRPr="005475F3">
        <w:rPr>
          <w:rFonts w:ascii="Arial" w:hAnsi="Arial" w:cs="Arial"/>
          <w:szCs w:val="24"/>
        </w:rPr>
        <w:t>Podría poner en riesgo la vida, seguridad o salud de una persona física.</w:t>
      </w:r>
    </w:p>
    <w:p w14:paraId="741AC108" w14:textId="36A5124E" w:rsidR="00AD25A6" w:rsidRPr="005475F3" w:rsidRDefault="00AD25A6" w:rsidP="00AD25A6">
      <w:pPr>
        <w:pStyle w:val="Prrafodelista"/>
        <w:numPr>
          <w:ilvl w:val="3"/>
          <w:numId w:val="36"/>
        </w:numPr>
        <w:spacing w:after="0" w:line="240" w:lineRule="auto"/>
        <w:ind w:left="1134" w:right="1183" w:firstLine="0"/>
        <w:jc w:val="both"/>
        <w:rPr>
          <w:rFonts w:ascii="Arial" w:hAnsi="Arial" w:cs="Arial"/>
          <w:szCs w:val="24"/>
        </w:rPr>
      </w:pPr>
      <w:r w:rsidRPr="005475F3">
        <w:rPr>
          <w:rFonts w:ascii="Arial" w:hAnsi="Arial" w:cs="Arial"/>
          <w:szCs w:val="24"/>
        </w:rPr>
        <w:t>Podría afectar el derecho al debido proceso.</w:t>
      </w:r>
    </w:p>
    <w:p w14:paraId="75BC0B55" w14:textId="326BE77E" w:rsidR="008F189E" w:rsidRPr="005475F3" w:rsidRDefault="008F189E" w:rsidP="008F189E">
      <w:pPr>
        <w:pStyle w:val="Prrafodelista"/>
        <w:numPr>
          <w:ilvl w:val="3"/>
          <w:numId w:val="36"/>
        </w:numPr>
        <w:spacing w:after="0" w:line="240" w:lineRule="auto"/>
        <w:ind w:left="1134" w:right="1183" w:hanging="32"/>
        <w:jc w:val="both"/>
        <w:rPr>
          <w:rFonts w:ascii="Arial" w:hAnsi="Arial" w:cs="Arial"/>
          <w:szCs w:val="24"/>
        </w:rPr>
      </w:pPr>
      <w:r w:rsidRPr="005475F3">
        <w:rPr>
          <w:rFonts w:ascii="Arial" w:hAnsi="Arial" w:cs="Arial"/>
          <w:szCs w:val="24"/>
        </w:rPr>
        <w:t>Traería como consecuencia una afectación al interés público ya que la misma es actual, es información que actualmente se está generando para la prosecución e investigación de los hechos.</w:t>
      </w:r>
    </w:p>
    <w:p w14:paraId="709C8D5C" w14:textId="690CC51B" w:rsidR="008F189E" w:rsidRPr="005475F3" w:rsidRDefault="008F189E" w:rsidP="008F189E">
      <w:pPr>
        <w:pStyle w:val="Prrafodelista"/>
        <w:numPr>
          <w:ilvl w:val="3"/>
          <w:numId w:val="36"/>
        </w:numPr>
        <w:spacing w:after="0" w:line="240" w:lineRule="auto"/>
        <w:ind w:left="1134" w:right="1183" w:firstLine="0"/>
        <w:jc w:val="both"/>
        <w:rPr>
          <w:rFonts w:ascii="Arial" w:hAnsi="Arial" w:cs="Arial"/>
          <w:szCs w:val="24"/>
        </w:rPr>
      </w:pPr>
      <w:r w:rsidRPr="005475F3">
        <w:rPr>
          <w:rFonts w:ascii="Arial" w:hAnsi="Arial" w:cs="Arial"/>
          <w:szCs w:val="24"/>
        </w:rPr>
        <w:t>Podría alertar a probables responsables, el estatus de la averiguación previa o carpeta de investigación el delito o delitos que se investigaron, la determinación y resolución, las detenciones de los posibles responsables, y el debido ejercicio de investigar y salvaguardar los registros inmersos en la carpeta de investigación</w:t>
      </w:r>
    </w:p>
    <w:p w14:paraId="4666AF02" w14:textId="2DE92B97" w:rsidR="00AD25A6" w:rsidRPr="005475F3" w:rsidRDefault="00AD25A6" w:rsidP="00AD25A6">
      <w:pPr>
        <w:pStyle w:val="Prrafodelista"/>
        <w:numPr>
          <w:ilvl w:val="3"/>
          <w:numId w:val="36"/>
        </w:numPr>
        <w:spacing w:after="0" w:line="240" w:lineRule="auto"/>
        <w:ind w:left="1134" w:right="1183" w:firstLine="0"/>
        <w:jc w:val="both"/>
        <w:rPr>
          <w:rFonts w:ascii="Arial" w:hAnsi="Arial" w:cs="Arial"/>
          <w:szCs w:val="24"/>
        </w:rPr>
      </w:pPr>
      <w:r w:rsidRPr="005475F3">
        <w:rPr>
          <w:rFonts w:ascii="Arial" w:hAnsi="Arial" w:cs="Arial"/>
          <w:szCs w:val="24"/>
        </w:rPr>
        <w:t xml:space="preserve">La reserva de la información solicitada es proporcional y necesaria para garantizar la correcta administración de justicia, </w:t>
      </w:r>
      <w:r w:rsidRPr="005475F3">
        <w:rPr>
          <w:rFonts w:ascii="Arial" w:hAnsi="Arial" w:cs="Arial"/>
          <w:szCs w:val="24"/>
        </w:rPr>
        <w:lastRenderedPageBreak/>
        <w:t>proteger la integridad de las pruebas y salvaguardar el debido proceso penal y cumplir con la taxatividad de la norma penal</w:t>
      </w:r>
      <w:r w:rsidR="008F189E" w:rsidRPr="005475F3">
        <w:rPr>
          <w:rFonts w:ascii="Arial" w:hAnsi="Arial" w:cs="Arial"/>
          <w:szCs w:val="24"/>
        </w:rPr>
        <w:t>.</w:t>
      </w:r>
    </w:p>
    <w:p w14:paraId="64D6A5A8" w14:textId="77777777" w:rsidR="00AF1E38" w:rsidRPr="005475F3" w:rsidRDefault="00AF1E38" w:rsidP="004246C0">
      <w:pPr>
        <w:spacing w:after="0" w:line="360" w:lineRule="auto"/>
        <w:ind w:right="-93" w:firstLine="708"/>
        <w:jc w:val="both"/>
        <w:rPr>
          <w:rFonts w:ascii="Arial" w:hAnsi="Arial" w:cs="Arial"/>
          <w:sz w:val="24"/>
          <w:szCs w:val="24"/>
        </w:rPr>
      </w:pPr>
    </w:p>
    <w:p w14:paraId="26D159F8" w14:textId="2AA112C1" w:rsidR="008871B5" w:rsidRPr="005475F3" w:rsidRDefault="008F189E" w:rsidP="008871B5">
      <w:pPr>
        <w:spacing w:after="0" w:line="360" w:lineRule="auto"/>
        <w:ind w:right="-93"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Atento a lo anterior, es posible observar que, si bien el sujeto obligado realizó diversas manifestaciones, en el sentido de establecer un nexo, entre los riesgos reales, identificables y probables, así como las circunstancias de modo, tiempo y lugar, en relación con la actualización de las causales de excepción intentadas, así como la determinación del plazo de la reserva de la información, en relación a la proporcionalidad del plazo de resguardo bajo secrecía; </w:t>
      </w:r>
      <w:r w:rsidRPr="005475F3">
        <w:rPr>
          <w:rFonts w:ascii="Arial" w:eastAsia="Arial Unicode MS" w:hAnsi="Arial" w:cs="Arial"/>
          <w:b/>
          <w:sz w:val="24"/>
          <w:szCs w:val="24"/>
          <w:lang w:eastAsia="es-ES"/>
        </w:rPr>
        <w:t>dichas manifestaciones no resultan suficientes</w:t>
      </w:r>
      <w:r w:rsidRPr="005475F3">
        <w:rPr>
          <w:rFonts w:ascii="Arial" w:eastAsia="Arial Unicode MS" w:hAnsi="Arial" w:cs="Arial"/>
          <w:sz w:val="24"/>
          <w:szCs w:val="24"/>
          <w:lang w:eastAsia="es-ES"/>
        </w:rPr>
        <w:t xml:space="preserve"> para acreditar los elementos contemplados en el artículo 118, de la Ley de Transparencia y Acceso a la Información Pública del Estado de San Luis Potosí.</w:t>
      </w:r>
    </w:p>
    <w:p w14:paraId="00592CE4" w14:textId="58824E22" w:rsidR="008F189E" w:rsidRPr="005475F3" w:rsidRDefault="008F189E" w:rsidP="008871B5">
      <w:pPr>
        <w:spacing w:after="0" w:line="360" w:lineRule="auto"/>
        <w:ind w:right="-93" w:firstLine="708"/>
        <w:jc w:val="both"/>
        <w:rPr>
          <w:rFonts w:ascii="Arial" w:eastAsia="Arial Unicode MS" w:hAnsi="Arial" w:cs="Arial"/>
          <w:sz w:val="24"/>
          <w:szCs w:val="24"/>
          <w:lang w:eastAsia="es-ES"/>
        </w:rPr>
      </w:pPr>
    </w:p>
    <w:p w14:paraId="7C460E5A" w14:textId="633BE13F" w:rsidR="00B61E78" w:rsidRPr="005475F3" w:rsidRDefault="008F189E" w:rsidP="008871B5">
      <w:pPr>
        <w:spacing w:after="0" w:line="360" w:lineRule="auto"/>
        <w:ind w:right="-93"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Lo anterior es así toda vez que, </w:t>
      </w:r>
      <w:r w:rsidR="00B61E78" w:rsidRPr="005475F3">
        <w:rPr>
          <w:rFonts w:ascii="Arial" w:eastAsia="Arial Unicode MS" w:hAnsi="Arial" w:cs="Arial"/>
          <w:sz w:val="24"/>
          <w:szCs w:val="24"/>
          <w:lang w:eastAsia="es-ES"/>
        </w:rPr>
        <w:t>como se precisó a supra líneas, los sujetos obligados, al momento de realizar cualquier acto que tienda a restringir o limitar el ejercicio de un derecho, poseen la carga de la prueba para demostrar que: 1. Existe una legitimidad en la excepción; 2. Que dicha legitimidad es acorde al interés público; 3. Que dicho interés público es superior al interés particular de ejercer el derecho humano; y, 4. Que la limitación es la menos lesiva.</w:t>
      </w:r>
    </w:p>
    <w:p w14:paraId="0B3D0675" w14:textId="1066F66B" w:rsidR="00B61E78" w:rsidRPr="005475F3" w:rsidRDefault="00B61E78" w:rsidP="008871B5">
      <w:pPr>
        <w:spacing w:after="0" w:line="360" w:lineRule="auto"/>
        <w:ind w:right="-93" w:firstLine="708"/>
        <w:jc w:val="both"/>
        <w:rPr>
          <w:rFonts w:ascii="Arial" w:eastAsia="Arial Unicode MS" w:hAnsi="Arial" w:cs="Arial"/>
          <w:sz w:val="24"/>
          <w:szCs w:val="24"/>
          <w:lang w:eastAsia="es-ES"/>
        </w:rPr>
      </w:pPr>
    </w:p>
    <w:p w14:paraId="59081B05" w14:textId="5B45F890" w:rsidR="00B61E78" w:rsidRPr="005475F3" w:rsidRDefault="00B61E78" w:rsidP="008871B5">
      <w:pPr>
        <w:spacing w:after="0" w:line="360" w:lineRule="auto"/>
        <w:ind w:right="-93"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Circunstancia la anterior que, el sujeto obligado</w:t>
      </w:r>
      <w:r w:rsidR="00922E1A" w:rsidRPr="005475F3">
        <w:rPr>
          <w:rFonts w:ascii="Arial" w:eastAsia="Arial Unicode MS" w:hAnsi="Arial" w:cs="Arial"/>
          <w:sz w:val="24"/>
          <w:szCs w:val="24"/>
          <w:lang w:eastAsia="es-ES"/>
        </w:rPr>
        <w:t>,</w:t>
      </w:r>
      <w:r w:rsidRPr="005475F3">
        <w:rPr>
          <w:rFonts w:ascii="Arial" w:eastAsia="Arial Unicode MS" w:hAnsi="Arial" w:cs="Arial"/>
          <w:sz w:val="24"/>
          <w:szCs w:val="24"/>
          <w:lang w:eastAsia="es-ES"/>
        </w:rPr>
        <w:t xml:space="preserve"> no realizó en su acuerdo de reserva número </w:t>
      </w:r>
      <w:r w:rsidR="00922E1A" w:rsidRPr="005475F3">
        <w:rPr>
          <w:rFonts w:ascii="Arial" w:eastAsia="Arial Unicode MS" w:hAnsi="Arial" w:cs="Arial"/>
          <w:sz w:val="24"/>
          <w:szCs w:val="24"/>
          <w:lang w:eastAsia="es-ES"/>
        </w:rPr>
        <w:t xml:space="preserve">AR/FEF/11/2025, confirmado mediante sesión de Comité de Transparencia de cinco de diciembre de dos mil veinticinco, pues </w:t>
      </w:r>
      <w:r w:rsidR="00922E1A" w:rsidRPr="005475F3">
        <w:rPr>
          <w:rFonts w:ascii="Arial" w:eastAsia="Arial Unicode MS" w:hAnsi="Arial" w:cs="Arial"/>
          <w:b/>
          <w:sz w:val="24"/>
          <w:szCs w:val="24"/>
          <w:u w:val="single"/>
          <w:lang w:eastAsia="es-ES"/>
        </w:rPr>
        <w:t>el sujeto obligado fue omiso en</w:t>
      </w:r>
      <w:r w:rsidR="00922E1A" w:rsidRPr="005475F3">
        <w:rPr>
          <w:rFonts w:ascii="Arial" w:eastAsia="Arial Unicode MS" w:hAnsi="Arial" w:cs="Arial"/>
          <w:sz w:val="24"/>
          <w:szCs w:val="24"/>
          <w:lang w:eastAsia="es-ES"/>
        </w:rPr>
        <w:t xml:space="preserve">: </w:t>
      </w:r>
      <w:r w:rsidR="00922E1A" w:rsidRPr="005475F3">
        <w:rPr>
          <w:rFonts w:ascii="Arial" w:eastAsia="Arial Unicode MS" w:hAnsi="Arial" w:cs="Arial"/>
          <w:b/>
          <w:sz w:val="24"/>
          <w:szCs w:val="24"/>
          <w:lang w:eastAsia="es-ES"/>
        </w:rPr>
        <w:t>1.</w:t>
      </w:r>
      <w:r w:rsidR="00922E1A" w:rsidRPr="005475F3">
        <w:rPr>
          <w:rFonts w:ascii="Arial" w:eastAsia="Arial Unicode MS" w:hAnsi="Arial" w:cs="Arial"/>
          <w:sz w:val="24"/>
          <w:szCs w:val="24"/>
          <w:lang w:eastAsia="es-ES"/>
        </w:rPr>
        <w:t xml:space="preserve"> Identificar de manera precisa el interés público, como objeto indeterminado pero determinado, tutelado a través de la reserva de la información pública; </w:t>
      </w:r>
      <w:r w:rsidR="00922E1A" w:rsidRPr="005475F3">
        <w:rPr>
          <w:rFonts w:ascii="Arial" w:eastAsia="Arial Unicode MS" w:hAnsi="Arial" w:cs="Arial"/>
          <w:b/>
          <w:sz w:val="24"/>
          <w:szCs w:val="24"/>
          <w:lang w:eastAsia="es-ES"/>
        </w:rPr>
        <w:t>2.</w:t>
      </w:r>
      <w:r w:rsidR="00922E1A" w:rsidRPr="005475F3">
        <w:rPr>
          <w:rFonts w:ascii="Arial" w:eastAsia="Arial Unicode MS" w:hAnsi="Arial" w:cs="Arial"/>
          <w:sz w:val="24"/>
          <w:szCs w:val="24"/>
          <w:lang w:eastAsia="es-ES"/>
        </w:rPr>
        <w:t xml:space="preserve"> Realizar la confronta de intereses existentes entre la necesidad de reservar la información y el interés público general de que se conozca dicha información; y, </w:t>
      </w:r>
      <w:r w:rsidR="00922E1A" w:rsidRPr="005475F3">
        <w:rPr>
          <w:rFonts w:ascii="Arial" w:eastAsia="Arial Unicode MS" w:hAnsi="Arial" w:cs="Arial"/>
          <w:b/>
          <w:sz w:val="24"/>
          <w:szCs w:val="24"/>
          <w:lang w:eastAsia="es-ES"/>
        </w:rPr>
        <w:t>3.</w:t>
      </w:r>
      <w:r w:rsidR="00922E1A" w:rsidRPr="005475F3">
        <w:rPr>
          <w:rFonts w:ascii="Arial" w:eastAsia="Arial Unicode MS" w:hAnsi="Arial" w:cs="Arial"/>
          <w:sz w:val="24"/>
          <w:szCs w:val="24"/>
          <w:lang w:eastAsia="es-ES"/>
        </w:rPr>
        <w:t xml:space="preserve"> Realizar la argumentación precisa que permitiera conocer que la restricción resultó en la menos lesiva</w:t>
      </w:r>
      <w:r w:rsidR="00F80F75" w:rsidRPr="005475F3">
        <w:rPr>
          <w:rFonts w:ascii="Arial" w:eastAsia="Arial Unicode MS" w:hAnsi="Arial" w:cs="Arial"/>
          <w:sz w:val="24"/>
          <w:szCs w:val="24"/>
          <w:lang w:eastAsia="es-ES"/>
        </w:rPr>
        <w:t xml:space="preserve"> (en cuanto a la limitación temporal de la reserva)</w:t>
      </w:r>
      <w:r w:rsidR="00922E1A" w:rsidRPr="005475F3">
        <w:rPr>
          <w:rFonts w:ascii="Arial" w:eastAsia="Arial Unicode MS" w:hAnsi="Arial" w:cs="Arial"/>
          <w:sz w:val="24"/>
          <w:szCs w:val="24"/>
          <w:lang w:eastAsia="es-ES"/>
        </w:rPr>
        <w:t>.</w:t>
      </w:r>
    </w:p>
    <w:p w14:paraId="309B7466" w14:textId="79746268" w:rsidR="00922E1A" w:rsidRPr="005475F3" w:rsidRDefault="00922E1A" w:rsidP="008871B5">
      <w:pPr>
        <w:spacing w:after="0" w:line="360" w:lineRule="auto"/>
        <w:ind w:right="-93" w:firstLine="708"/>
        <w:jc w:val="both"/>
        <w:rPr>
          <w:rFonts w:ascii="Arial" w:eastAsia="Arial Unicode MS" w:hAnsi="Arial" w:cs="Arial"/>
          <w:sz w:val="24"/>
          <w:szCs w:val="24"/>
          <w:lang w:eastAsia="es-ES"/>
        </w:rPr>
      </w:pPr>
    </w:p>
    <w:p w14:paraId="00F030F6" w14:textId="5141F888" w:rsidR="00922E1A" w:rsidRPr="005475F3" w:rsidRDefault="00922E1A" w:rsidP="008871B5">
      <w:pPr>
        <w:spacing w:after="0" w:line="360" w:lineRule="auto"/>
        <w:ind w:right="-93"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Ello en tanto que, si bien el sujeto obligado realizó diversas manifestaciones en relación a la afección real, demostrable e identificable, en las mismas </w:t>
      </w:r>
      <w:r w:rsidRPr="005475F3">
        <w:rPr>
          <w:rFonts w:ascii="Arial" w:eastAsia="Arial Unicode MS" w:hAnsi="Arial" w:cs="Arial"/>
          <w:sz w:val="24"/>
          <w:szCs w:val="24"/>
          <w:u w:val="single"/>
          <w:lang w:eastAsia="es-ES"/>
        </w:rPr>
        <w:t xml:space="preserve">omitió realzar la confronta que permitiera conocer que la limitante es la mínima </w:t>
      </w:r>
      <w:r w:rsidRPr="005475F3">
        <w:rPr>
          <w:rFonts w:ascii="Arial" w:eastAsia="Arial Unicode MS" w:hAnsi="Arial" w:cs="Arial"/>
          <w:sz w:val="24"/>
          <w:szCs w:val="24"/>
          <w:u w:val="single"/>
          <w:lang w:eastAsia="es-ES"/>
        </w:rPr>
        <w:lastRenderedPageBreak/>
        <w:t>indispensable para el desarrollo de una sociedad democrática; de conformidad con el interés público tutelado</w:t>
      </w:r>
      <w:r w:rsidRPr="005475F3">
        <w:rPr>
          <w:rFonts w:ascii="Arial" w:eastAsia="Arial Unicode MS" w:hAnsi="Arial" w:cs="Arial"/>
          <w:sz w:val="24"/>
          <w:szCs w:val="24"/>
          <w:lang w:eastAsia="es-ES"/>
        </w:rPr>
        <w:t>.</w:t>
      </w:r>
    </w:p>
    <w:p w14:paraId="12F52FFF" w14:textId="77777777" w:rsidR="00B61E78" w:rsidRPr="005475F3" w:rsidRDefault="00B61E78" w:rsidP="008871B5">
      <w:pPr>
        <w:spacing w:after="0" w:line="360" w:lineRule="auto"/>
        <w:ind w:right="-93" w:firstLine="708"/>
        <w:jc w:val="both"/>
        <w:rPr>
          <w:rFonts w:ascii="Arial" w:eastAsia="Arial Unicode MS" w:hAnsi="Arial" w:cs="Arial"/>
          <w:sz w:val="24"/>
          <w:szCs w:val="24"/>
          <w:lang w:eastAsia="es-ES"/>
        </w:rPr>
      </w:pPr>
    </w:p>
    <w:p w14:paraId="19FC5934" w14:textId="76F51B4C" w:rsidR="008F189E" w:rsidRPr="005475F3" w:rsidRDefault="00922E1A" w:rsidP="008871B5">
      <w:pPr>
        <w:spacing w:after="0" w:line="360" w:lineRule="auto"/>
        <w:ind w:right="-93"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En relatadas circunstancias, </w:t>
      </w:r>
      <w:r w:rsidR="008F189E" w:rsidRPr="005475F3">
        <w:rPr>
          <w:rFonts w:ascii="Arial" w:eastAsia="Arial Unicode MS" w:hAnsi="Arial" w:cs="Arial"/>
          <w:sz w:val="24"/>
          <w:szCs w:val="24"/>
          <w:lang w:eastAsia="es-ES"/>
        </w:rPr>
        <w:t>la exigencia material del acto administrativo consistente en</w:t>
      </w:r>
      <w:r w:rsidRPr="005475F3">
        <w:rPr>
          <w:rFonts w:ascii="Arial" w:eastAsia="Arial Unicode MS" w:hAnsi="Arial" w:cs="Arial"/>
          <w:sz w:val="24"/>
          <w:szCs w:val="24"/>
          <w:lang w:eastAsia="es-ES"/>
        </w:rPr>
        <w:t xml:space="preserve"> la</w:t>
      </w:r>
      <w:r w:rsidR="008F189E" w:rsidRPr="005475F3">
        <w:rPr>
          <w:rFonts w:ascii="Arial" w:eastAsia="Arial Unicode MS" w:hAnsi="Arial" w:cs="Arial"/>
          <w:sz w:val="24"/>
          <w:szCs w:val="24"/>
          <w:lang w:eastAsia="es-ES"/>
        </w:rPr>
        <w:t xml:space="preserve"> adecuada fundamentación y motivación</w:t>
      </w:r>
      <w:r w:rsidRPr="005475F3">
        <w:rPr>
          <w:rFonts w:ascii="Arial" w:eastAsia="Arial Unicode MS" w:hAnsi="Arial" w:cs="Arial"/>
          <w:sz w:val="24"/>
          <w:szCs w:val="24"/>
          <w:lang w:eastAsia="es-ES"/>
        </w:rPr>
        <w:t>, en concatenación con los principios de congruencia y exhaustividad</w:t>
      </w:r>
      <w:r w:rsidR="008F189E" w:rsidRPr="005475F3">
        <w:rPr>
          <w:rFonts w:ascii="Arial" w:eastAsia="Arial Unicode MS" w:hAnsi="Arial" w:cs="Arial"/>
          <w:sz w:val="24"/>
          <w:szCs w:val="24"/>
          <w:lang w:eastAsia="es-ES"/>
        </w:rPr>
        <w:t xml:space="preserve">, compele a los sujetos obligados a realizar con extrema pericia y </w:t>
      </w:r>
      <w:r w:rsidR="00B61E78" w:rsidRPr="005475F3">
        <w:rPr>
          <w:rFonts w:ascii="Arial" w:eastAsia="Arial Unicode MS" w:hAnsi="Arial" w:cs="Arial"/>
          <w:sz w:val="24"/>
          <w:szCs w:val="24"/>
          <w:lang w:eastAsia="es-ES"/>
        </w:rPr>
        <w:t>detenimiento, la adminiculación de circunstancias de hecho, argumentos lógicos y preceptos normativos exactos.</w:t>
      </w:r>
    </w:p>
    <w:p w14:paraId="61628B26" w14:textId="4C77ECAA" w:rsidR="00B61E78" w:rsidRPr="005475F3" w:rsidRDefault="00B61E78" w:rsidP="008871B5">
      <w:pPr>
        <w:spacing w:after="0" w:line="360" w:lineRule="auto"/>
        <w:ind w:right="-93" w:firstLine="708"/>
        <w:jc w:val="both"/>
        <w:rPr>
          <w:rFonts w:ascii="Arial" w:eastAsia="Arial Unicode MS" w:hAnsi="Arial" w:cs="Arial"/>
          <w:sz w:val="24"/>
          <w:szCs w:val="24"/>
          <w:lang w:eastAsia="es-ES"/>
        </w:rPr>
      </w:pPr>
    </w:p>
    <w:p w14:paraId="2FBF04F5" w14:textId="61D918CD" w:rsidR="00B61E78" w:rsidRPr="005475F3" w:rsidRDefault="00F466F2" w:rsidP="008871B5">
      <w:pPr>
        <w:spacing w:after="0" w:line="360" w:lineRule="auto"/>
        <w:ind w:right="-93"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De esta manera, el agravio formulado por la ahora parte recurrente, consistente en la característica del acuerdo de reserva emitido por el sujeto obligado, consistente en: “…carecer de motivación y proporcionalidad…”, resulta fundado; y, por ende, resulta procedente REVOCAR el acuerdo de reserva número FGE/</w:t>
      </w:r>
      <w:r w:rsidR="00F80F75" w:rsidRPr="005475F3">
        <w:rPr>
          <w:rFonts w:ascii="Arial" w:eastAsia="Arial Unicode MS" w:hAnsi="Arial" w:cs="Arial"/>
          <w:sz w:val="24"/>
          <w:szCs w:val="24"/>
          <w:lang w:eastAsia="es-ES"/>
        </w:rPr>
        <w:t>FE</w:t>
      </w:r>
      <w:r w:rsidRPr="005475F3">
        <w:rPr>
          <w:rFonts w:ascii="Arial" w:eastAsia="Arial Unicode MS" w:hAnsi="Arial" w:cs="Arial"/>
          <w:sz w:val="24"/>
          <w:szCs w:val="24"/>
          <w:lang w:eastAsia="es-ES"/>
        </w:rPr>
        <w:t>F/11/2025</w:t>
      </w:r>
      <w:r w:rsidR="00F80F75" w:rsidRPr="005475F3">
        <w:rPr>
          <w:rFonts w:ascii="Arial" w:eastAsia="Arial Unicode MS" w:hAnsi="Arial" w:cs="Arial"/>
          <w:sz w:val="24"/>
          <w:szCs w:val="24"/>
          <w:lang w:eastAsia="es-ES"/>
        </w:rPr>
        <w:t>, para que el sujeto obligado emita un nuevo acuerdo, por el cual se observen las directrices precisadas en la presente resolución.</w:t>
      </w:r>
    </w:p>
    <w:p w14:paraId="60994990" w14:textId="24760C1C" w:rsidR="00F80F75" w:rsidRPr="005475F3" w:rsidRDefault="00F80F75" w:rsidP="008871B5">
      <w:pPr>
        <w:spacing w:after="0" w:line="360" w:lineRule="auto"/>
        <w:ind w:right="-93" w:firstLine="708"/>
        <w:jc w:val="both"/>
        <w:rPr>
          <w:rFonts w:ascii="Arial" w:eastAsia="Arial Unicode MS" w:hAnsi="Arial" w:cs="Arial"/>
          <w:sz w:val="24"/>
          <w:szCs w:val="24"/>
          <w:lang w:eastAsia="es-ES"/>
        </w:rPr>
      </w:pPr>
    </w:p>
    <w:p w14:paraId="5FBB49AA" w14:textId="3C7AED91" w:rsidR="00F80F75" w:rsidRPr="005475F3" w:rsidRDefault="00F80F75" w:rsidP="00F80F75">
      <w:pPr>
        <w:spacing w:after="0" w:line="360" w:lineRule="auto"/>
        <w:ind w:right="-93"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No resulta óbice a lo anterior, que la ahora parte recurrente manifestara “[…]</w:t>
      </w:r>
      <w:r w:rsidRPr="005475F3">
        <w:rPr>
          <w:rFonts w:ascii="Arial" w:eastAsia="Arial Unicode MS" w:hAnsi="Arial" w:cs="Arial"/>
          <w:i/>
          <w:sz w:val="24"/>
          <w:szCs w:val="24"/>
          <w:lang w:eastAsia="es-ES"/>
        </w:rPr>
        <w:t>La información solicitada no es sustantiva ni operativa, sino de carácter administrativo y numérico[…]este caso reviste un alto alto interés público por tratarse de violencia contra personas buscadoras en un contexto de graves violaciones a derechos humano[…]a divulgación del estatus procesal, delito y cantidad de detenidos no afecta el desarrollo de la investigación ni implica revelación de datos personales o sensibles[…]”</w:t>
      </w:r>
      <w:r w:rsidRPr="005475F3">
        <w:rPr>
          <w:rFonts w:ascii="Arial" w:eastAsia="Arial Unicode MS" w:hAnsi="Arial" w:cs="Arial"/>
          <w:sz w:val="24"/>
          <w:szCs w:val="24"/>
          <w:lang w:eastAsia="es-ES"/>
        </w:rPr>
        <w:t xml:space="preserve"> pues, como quedó expreso a supra líneas, los elementos identificativos y aquellos contenidos en las carpetas de investigación que instrumentan los Ministerios Públicos, se encuentran en posibilidad de actualizar la causal de excepción en la entrega de información.</w:t>
      </w:r>
    </w:p>
    <w:p w14:paraId="52F8983C" w14:textId="067E4F27" w:rsidR="00F80F75" w:rsidRPr="005475F3" w:rsidRDefault="00F80F75" w:rsidP="00F80F75">
      <w:pPr>
        <w:spacing w:after="0" w:line="360" w:lineRule="auto"/>
        <w:ind w:right="-93" w:firstLine="708"/>
        <w:jc w:val="both"/>
        <w:rPr>
          <w:rFonts w:ascii="Arial" w:eastAsia="Arial Unicode MS" w:hAnsi="Arial" w:cs="Arial"/>
          <w:sz w:val="24"/>
          <w:szCs w:val="24"/>
          <w:lang w:eastAsia="es-ES"/>
        </w:rPr>
      </w:pPr>
    </w:p>
    <w:p w14:paraId="36AF35BA" w14:textId="05052D21" w:rsidR="00F80F75" w:rsidRPr="005475F3" w:rsidRDefault="00F80F75" w:rsidP="00F80F75">
      <w:pPr>
        <w:spacing w:after="0" w:line="360" w:lineRule="auto"/>
        <w:ind w:right="-93"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Circunstancia que se encuentra únicamente sujeta a la adecuada delimitación del interés público de conservar bajo resguardo la información, en concordancia con la prueba de daño a aplicar, de conformidad con la Ley Local de la materia. </w:t>
      </w:r>
    </w:p>
    <w:p w14:paraId="7C2589B8" w14:textId="77777777" w:rsidR="007953BC" w:rsidRPr="005475F3" w:rsidRDefault="007953BC" w:rsidP="00C6078B">
      <w:pPr>
        <w:autoSpaceDE w:val="0"/>
        <w:autoSpaceDN w:val="0"/>
        <w:adjustRightInd w:val="0"/>
        <w:spacing w:after="0" w:line="360" w:lineRule="auto"/>
        <w:jc w:val="both"/>
        <w:rPr>
          <w:rFonts w:ascii="Arial" w:hAnsi="Arial" w:cs="Arial"/>
          <w:bCs/>
          <w:sz w:val="24"/>
          <w:szCs w:val="24"/>
        </w:rPr>
      </w:pPr>
    </w:p>
    <w:p w14:paraId="4721496F" w14:textId="6E2B3D27" w:rsidR="007953BC" w:rsidRPr="005475F3" w:rsidRDefault="00552FC8" w:rsidP="007953BC">
      <w:pPr>
        <w:autoSpaceDE w:val="0"/>
        <w:autoSpaceDN w:val="0"/>
        <w:adjustRightInd w:val="0"/>
        <w:spacing w:after="0" w:line="360" w:lineRule="auto"/>
        <w:ind w:firstLine="708"/>
        <w:jc w:val="both"/>
        <w:rPr>
          <w:rFonts w:ascii="Arial" w:hAnsi="Arial" w:cs="Arial"/>
          <w:sz w:val="24"/>
          <w:szCs w:val="24"/>
        </w:rPr>
      </w:pPr>
      <w:r w:rsidRPr="005475F3">
        <w:rPr>
          <w:rFonts w:ascii="Arial" w:hAnsi="Arial" w:cs="Arial"/>
          <w:b/>
          <w:sz w:val="24"/>
          <w:szCs w:val="24"/>
        </w:rPr>
        <w:t>OCTAVO</w:t>
      </w:r>
      <w:r w:rsidR="007953BC" w:rsidRPr="005475F3">
        <w:rPr>
          <w:rFonts w:ascii="Arial" w:hAnsi="Arial" w:cs="Arial"/>
          <w:b/>
          <w:sz w:val="24"/>
          <w:szCs w:val="24"/>
        </w:rPr>
        <w:t xml:space="preserve">. Efectos de la resolución. </w:t>
      </w:r>
      <w:r w:rsidR="007953BC" w:rsidRPr="005475F3">
        <w:rPr>
          <w:rFonts w:ascii="Arial" w:hAnsi="Arial" w:cs="Arial"/>
          <w:sz w:val="24"/>
          <w:szCs w:val="24"/>
        </w:rPr>
        <w:t xml:space="preserve">Por lo anteriormente expuesto, esta Comisión, con fundamento en lo dispuesto por el artículo 175 fracción III, de la </w:t>
      </w:r>
      <w:r w:rsidR="007953BC" w:rsidRPr="005475F3">
        <w:rPr>
          <w:rFonts w:ascii="Arial" w:hAnsi="Arial" w:cs="Arial"/>
          <w:sz w:val="24"/>
          <w:szCs w:val="24"/>
        </w:rPr>
        <w:lastRenderedPageBreak/>
        <w:t xml:space="preserve">Ley de Transparencia y Acceso a la Información Pública del Estado, </w:t>
      </w:r>
      <w:r w:rsidR="007953BC" w:rsidRPr="005475F3">
        <w:rPr>
          <w:rFonts w:ascii="Arial" w:hAnsi="Arial" w:cs="Arial"/>
          <w:b/>
          <w:sz w:val="24"/>
          <w:szCs w:val="24"/>
        </w:rPr>
        <w:t xml:space="preserve">REVOCA </w:t>
      </w:r>
      <w:r w:rsidR="007953BC" w:rsidRPr="005475F3">
        <w:rPr>
          <w:rFonts w:ascii="Arial" w:hAnsi="Arial" w:cs="Arial"/>
          <w:sz w:val="24"/>
          <w:szCs w:val="24"/>
        </w:rPr>
        <w:t xml:space="preserve">la respuesta proporcionada por el Sujeto Obligado. </w:t>
      </w:r>
    </w:p>
    <w:p w14:paraId="630B0F3F" w14:textId="77777777" w:rsidR="007953BC" w:rsidRPr="005475F3" w:rsidRDefault="007953BC" w:rsidP="007953BC">
      <w:pPr>
        <w:autoSpaceDE w:val="0"/>
        <w:autoSpaceDN w:val="0"/>
        <w:adjustRightInd w:val="0"/>
        <w:spacing w:after="0" w:line="360" w:lineRule="auto"/>
        <w:jc w:val="both"/>
        <w:rPr>
          <w:rFonts w:ascii="Arial" w:hAnsi="Arial" w:cs="Arial"/>
          <w:b/>
          <w:sz w:val="24"/>
          <w:szCs w:val="24"/>
        </w:rPr>
      </w:pPr>
      <w:r w:rsidRPr="005475F3">
        <w:rPr>
          <w:rFonts w:ascii="Arial" w:hAnsi="Arial" w:cs="Arial"/>
          <w:b/>
          <w:sz w:val="24"/>
          <w:szCs w:val="24"/>
        </w:rPr>
        <w:tab/>
        <w:t xml:space="preserve"> </w:t>
      </w:r>
    </w:p>
    <w:p w14:paraId="3A54E19E" w14:textId="48C7F41C" w:rsidR="00C6078B" w:rsidRPr="005475F3" w:rsidRDefault="00552FC8" w:rsidP="00C6078B">
      <w:pPr>
        <w:autoSpaceDE w:val="0"/>
        <w:autoSpaceDN w:val="0"/>
        <w:adjustRightInd w:val="0"/>
        <w:spacing w:after="0" w:line="360" w:lineRule="auto"/>
        <w:ind w:firstLine="708"/>
        <w:jc w:val="both"/>
        <w:rPr>
          <w:rFonts w:ascii="Arial" w:hAnsi="Arial" w:cs="Arial"/>
          <w:sz w:val="24"/>
          <w:szCs w:val="24"/>
        </w:rPr>
      </w:pPr>
      <w:r w:rsidRPr="005475F3">
        <w:rPr>
          <w:rFonts w:ascii="Arial" w:hAnsi="Arial" w:cs="Arial"/>
          <w:b/>
          <w:sz w:val="24"/>
          <w:szCs w:val="24"/>
        </w:rPr>
        <w:t>8</w:t>
      </w:r>
      <w:r w:rsidR="007953BC" w:rsidRPr="005475F3">
        <w:rPr>
          <w:rFonts w:ascii="Arial" w:hAnsi="Arial" w:cs="Arial"/>
          <w:b/>
          <w:sz w:val="24"/>
          <w:szCs w:val="24"/>
        </w:rPr>
        <w:t xml:space="preserve">.1. Precisiones de esta resolución. </w:t>
      </w:r>
      <w:r w:rsidR="007953BC" w:rsidRPr="005475F3">
        <w:rPr>
          <w:rFonts w:ascii="Arial" w:hAnsi="Arial" w:cs="Arial"/>
          <w:sz w:val="24"/>
          <w:szCs w:val="24"/>
        </w:rPr>
        <w:t xml:space="preserve">Con base en las consideraciones vertidas en el considerando </w:t>
      </w:r>
      <w:r w:rsidRPr="005475F3">
        <w:rPr>
          <w:rFonts w:ascii="Arial" w:hAnsi="Arial" w:cs="Arial"/>
          <w:b/>
          <w:sz w:val="24"/>
          <w:szCs w:val="24"/>
        </w:rPr>
        <w:t>SÉPTIMO</w:t>
      </w:r>
      <w:r w:rsidR="007953BC" w:rsidRPr="005475F3">
        <w:rPr>
          <w:rFonts w:ascii="Arial" w:hAnsi="Arial" w:cs="Arial"/>
          <w:sz w:val="24"/>
          <w:szCs w:val="24"/>
        </w:rPr>
        <w:t xml:space="preserve"> de la presente determinación, el Sujeto Obligado a través del Comité de Transparencia </w:t>
      </w:r>
      <w:r w:rsidR="007953BC" w:rsidRPr="005475F3">
        <w:rPr>
          <w:rFonts w:ascii="Arial" w:hAnsi="Arial" w:cs="Arial"/>
          <w:b/>
          <w:bCs/>
          <w:sz w:val="24"/>
          <w:szCs w:val="24"/>
        </w:rPr>
        <w:t xml:space="preserve">deberá elaborar y notificar el acuerdo por el cual </w:t>
      </w:r>
      <w:r w:rsidR="00C6078B" w:rsidRPr="005475F3">
        <w:rPr>
          <w:rFonts w:ascii="Arial" w:hAnsi="Arial" w:cs="Arial"/>
          <w:b/>
          <w:bCs/>
          <w:sz w:val="24"/>
          <w:szCs w:val="24"/>
        </w:rPr>
        <w:t>revoque</w:t>
      </w:r>
      <w:r w:rsidR="007953BC" w:rsidRPr="005475F3">
        <w:rPr>
          <w:rFonts w:ascii="Arial" w:hAnsi="Arial" w:cs="Arial"/>
          <w:b/>
          <w:bCs/>
          <w:sz w:val="24"/>
          <w:szCs w:val="24"/>
        </w:rPr>
        <w:t xml:space="preserve"> el acuerdo de reserva </w:t>
      </w:r>
      <w:r w:rsidRPr="005475F3">
        <w:rPr>
          <w:rFonts w:ascii="Arial" w:hAnsi="Arial" w:cs="Arial"/>
          <w:b/>
          <w:bCs/>
          <w:sz w:val="24"/>
          <w:szCs w:val="24"/>
        </w:rPr>
        <w:t>AR/FEF/11</w:t>
      </w:r>
      <w:r w:rsidR="007953BC" w:rsidRPr="005475F3">
        <w:rPr>
          <w:rFonts w:ascii="Arial" w:hAnsi="Arial" w:cs="Arial"/>
          <w:b/>
          <w:bCs/>
          <w:sz w:val="24"/>
          <w:szCs w:val="24"/>
        </w:rPr>
        <w:t>/202</w:t>
      </w:r>
      <w:r w:rsidR="00C6078B" w:rsidRPr="005475F3">
        <w:rPr>
          <w:rFonts w:ascii="Arial" w:hAnsi="Arial" w:cs="Arial"/>
          <w:b/>
          <w:bCs/>
          <w:sz w:val="24"/>
          <w:szCs w:val="24"/>
        </w:rPr>
        <w:t>5</w:t>
      </w:r>
      <w:r w:rsidR="007953BC" w:rsidRPr="005475F3">
        <w:rPr>
          <w:rFonts w:ascii="Arial" w:hAnsi="Arial" w:cs="Arial"/>
          <w:b/>
          <w:bCs/>
          <w:sz w:val="24"/>
          <w:szCs w:val="24"/>
        </w:rPr>
        <w:t xml:space="preserve">, del índice del sujeto obligado; y, por </w:t>
      </w:r>
      <w:r w:rsidR="00E61CD8" w:rsidRPr="005475F3">
        <w:rPr>
          <w:rFonts w:ascii="Arial" w:hAnsi="Arial" w:cs="Arial"/>
          <w:b/>
          <w:bCs/>
          <w:sz w:val="24"/>
          <w:szCs w:val="24"/>
        </w:rPr>
        <w:t>ende,</w:t>
      </w:r>
      <w:r w:rsidR="00C6078B" w:rsidRPr="005475F3">
        <w:rPr>
          <w:rFonts w:ascii="Arial" w:hAnsi="Arial" w:cs="Arial"/>
          <w:b/>
          <w:bCs/>
          <w:sz w:val="24"/>
          <w:szCs w:val="24"/>
        </w:rPr>
        <w:t xml:space="preserve"> emita uno nuevo en el cual observe las consideraciones vertidas en la presente resolución.</w:t>
      </w:r>
    </w:p>
    <w:p w14:paraId="7226515B" w14:textId="69EBBFBA" w:rsidR="007953BC" w:rsidRPr="005475F3" w:rsidRDefault="007953BC" w:rsidP="00C6078B">
      <w:pPr>
        <w:autoSpaceDE w:val="0"/>
        <w:autoSpaceDN w:val="0"/>
        <w:adjustRightInd w:val="0"/>
        <w:spacing w:after="0" w:line="360" w:lineRule="auto"/>
        <w:ind w:firstLine="708"/>
        <w:jc w:val="both"/>
        <w:rPr>
          <w:rFonts w:ascii="Arial" w:hAnsi="Arial" w:cs="Arial"/>
          <w:sz w:val="24"/>
          <w:szCs w:val="24"/>
        </w:rPr>
      </w:pPr>
    </w:p>
    <w:p w14:paraId="46B0CD87" w14:textId="7434ADA8" w:rsidR="000F7309" w:rsidRPr="005475F3" w:rsidRDefault="007953BC" w:rsidP="000F7309">
      <w:pPr>
        <w:autoSpaceDE w:val="0"/>
        <w:autoSpaceDN w:val="0"/>
        <w:adjustRightInd w:val="0"/>
        <w:spacing w:after="0" w:line="360" w:lineRule="auto"/>
        <w:jc w:val="both"/>
        <w:rPr>
          <w:rFonts w:ascii="Arial" w:hAnsi="Arial" w:cs="Arial"/>
          <w:sz w:val="24"/>
          <w:lang w:val="es-ES"/>
        </w:rPr>
      </w:pPr>
      <w:r w:rsidRPr="005475F3">
        <w:rPr>
          <w:rFonts w:ascii="Arial" w:hAnsi="Arial" w:cs="Arial"/>
          <w:b/>
          <w:sz w:val="24"/>
          <w:szCs w:val="24"/>
        </w:rPr>
        <w:tab/>
      </w:r>
      <w:r w:rsidR="00552FC8" w:rsidRPr="005475F3">
        <w:rPr>
          <w:rFonts w:ascii="Arial" w:hAnsi="Arial" w:cs="Arial"/>
          <w:b/>
          <w:sz w:val="24"/>
          <w:szCs w:val="24"/>
        </w:rPr>
        <w:t>8</w:t>
      </w:r>
      <w:r w:rsidRPr="005475F3">
        <w:rPr>
          <w:rFonts w:ascii="Arial" w:hAnsi="Arial" w:cs="Arial"/>
          <w:b/>
          <w:sz w:val="24"/>
          <w:szCs w:val="24"/>
        </w:rPr>
        <w:t xml:space="preserve">.2. Modalidad de entrega. </w:t>
      </w:r>
      <w:r w:rsidR="000F7309" w:rsidRPr="005475F3">
        <w:rPr>
          <w:rFonts w:ascii="Arial" w:hAnsi="Arial" w:cs="Arial"/>
          <w:sz w:val="24"/>
        </w:rPr>
        <w:t>En cuanto a la modalidad de entrega, t</w:t>
      </w:r>
      <w:r w:rsidR="000F7309" w:rsidRPr="005475F3">
        <w:rPr>
          <w:rFonts w:ascii="Arial" w:hAnsi="Arial" w:cs="Arial"/>
          <w:sz w:val="24"/>
          <w:lang w:val="es-ES"/>
        </w:rPr>
        <w:t xml:space="preserve">oda vez que la recurrente eligió como modalidad de entrega electrónica, el Obligado deberá realizar la entrega a través del correo electrónico designado por el ahora recurrente. </w:t>
      </w:r>
    </w:p>
    <w:p w14:paraId="7F65EC23" w14:textId="77777777" w:rsidR="00890178" w:rsidRPr="005475F3" w:rsidRDefault="00890178" w:rsidP="000F7309">
      <w:pPr>
        <w:autoSpaceDE w:val="0"/>
        <w:autoSpaceDN w:val="0"/>
        <w:adjustRightInd w:val="0"/>
        <w:spacing w:after="0" w:line="360" w:lineRule="auto"/>
        <w:jc w:val="both"/>
        <w:rPr>
          <w:rFonts w:ascii="Arial" w:hAnsi="Arial" w:cs="Arial"/>
          <w:sz w:val="24"/>
          <w:lang w:val="es-ES"/>
        </w:rPr>
      </w:pPr>
    </w:p>
    <w:p w14:paraId="4DBBF923" w14:textId="39F67B67" w:rsidR="007953BC" w:rsidRPr="005475F3" w:rsidRDefault="00552FC8" w:rsidP="007953BC">
      <w:pPr>
        <w:autoSpaceDE w:val="0"/>
        <w:autoSpaceDN w:val="0"/>
        <w:adjustRightInd w:val="0"/>
        <w:spacing w:after="0" w:line="360" w:lineRule="auto"/>
        <w:ind w:firstLine="708"/>
        <w:jc w:val="both"/>
        <w:rPr>
          <w:rFonts w:ascii="Arial" w:hAnsi="Arial" w:cs="Arial"/>
          <w:sz w:val="24"/>
          <w:szCs w:val="24"/>
        </w:rPr>
      </w:pPr>
      <w:r w:rsidRPr="005475F3">
        <w:rPr>
          <w:rFonts w:ascii="Arial" w:hAnsi="Arial" w:cs="Arial"/>
          <w:b/>
          <w:sz w:val="24"/>
          <w:szCs w:val="24"/>
        </w:rPr>
        <w:t>8</w:t>
      </w:r>
      <w:r w:rsidR="007953BC" w:rsidRPr="005475F3">
        <w:rPr>
          <w:rFonts w:ascii="Arial" w:hAnsi="Arial" w:cs="Arial"/>
          <w:b/>
          <w:sz w:val="24"/>
          <w:szCs w:val="24"/>
        </w:rPr>
        <w:t xml:space="preserve">.3. Plazo para el cumplimento de esta resolución. </w:t>
      </w:r>
      <w:r w:rsidR="007953BC" w:rsidRPr="005475F3">
        <w:rPr>
          <w:rFonts w:ascii="Arial" w:hAnsi="Arial" w:cs="Arial"/>
          <w:sz w:val="24"/>
          <w:szCs w:val="24"/>
        </w:rPr>
        <w:t xml:space="preserve">Con fundamento en el artículo 175 de la Ley de Transparencia y Acceso a la Información Pública del Estado, este Órgano Colegiado le concede al Sujeto Obligado el plazo de diez días </w:t>
      </w:r>
      <w:r w:rsidR="007953BC" w:rsidRPr="005475F3">
        <w:rPr>
          <w:rFonts w:ascii="Arial" w:hAnsi="Arial" w:cs="Arial"/>
          <w:bCs/>
          <w:sz w:val="24"/>
          <w:szCs w:val="24"/>
        </w:rPr>
        <w:t>contados a partir del día siguiente de su notificación,</w:t>
      </w:r>
      <w:r w:rsidR="007953BC" w:rsidRPr="005475F3">
        <w:rPr>
          <w:rFonts w:ascii="Arial" w:hAnsi="Arial" w:cs="Arial"/>
          <w:sz w:val="24"/>
          <w:szCs w:val="24"/>
        </w:rPr>
        <w:t xml:space="preserve"> para que dé cumplimiento a lo ordenado en la presente resolución y realice la entrega de la información al Recurrente, a través del correo electrónico señalado por la persona recurrente.</w:t>
      </w:r>
    </w:p>
    <w:p w14:paraId="3F51859D" w14:textId="77777777" w:rsidR="007953BC" w:rsidRPr="005475F3" w:rsidRDefault="007953BC" w:rsidP="007953BC">
      <w:pPr>
        <w:autoSpaceDE w:val="0"/>
        <w:autoSpaceDN w:val="0"/>
        <w:adjustRightInd w:val="0"/>
        <w:spacing w:after="0" w:line="360" w:lineRule="auto"/>
        <w:jc w:val="both"/>
        <w:rPr>
          <w:rFonts w:ascii="Arial" w:hAnsi="Arial" w:cs="Arial"/>
          <w:b/>
          <w:sz w:val="24"/>
          <w:szCs w:val="24"/>
        </w:rPr>
      </w:pPr>
    </w:p>
    <w:p w14:paraId="357F9FF8" w14:textId="1B5DBC8B" w:rsidR="007953BC" w:rsidRPr="005475F3" w:rsidRDefault="007953BC" w:rsidP="007953BC">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r>
      <w:r w:rsidR="00552FC8" w:rsidRPr="005475F3">
        <w:rPr>
          <w:rFonts w:ascii="Arial" w:hAnsi="Arial" w:cs="Arial"/>
          <w:b/>
          <w:sz w:val="24"/>
          <w:szCs w:val="24"/>
        </w:rPr>
        <w:t>8</w:t>
      </w:r>
      <w:r w:rsidRPr="005475F3">
        <w:rPr>
          <w:rFonts w:ascii="Arial" w:hAnsi="Arial" w:cs="Arial"/>
          <w:b/>
          <w:sz w:val="24"/>
          <w:szCs w:val="24"/>
        </w:rPr>
        <w:t xml:space="preserve">.4. Informe sobre el cumplimento a la resolución. </w:t>
      </w:r>
      <w:r w:rsidRPr="005475F3">
        <w:rPr>
          <w:rFonts w:ascii="Arial" w:hAnsi="Arial" w:cs="Arial"/>
          <w:sz w:val="24"/>
          <w:szCs w:val="24"/>
        </w:rPr>
        <w:t>De conformidad con lo previsto en el artículo 177, segundo párrafo de la Ley de Transparencia y Acceso a la Información Pública del Estado, el Sujeto Obligado deberá de informar a este Organismo Autónomo, el cumplimento a la presente resolución en un plazo que no deberá de exceder de tres días siguientes a los d</w:t>
      </w:r>
      <w:r w:rsidR="00E61CD8" w:rsidRPr="005475F3">
        <w:rPr>
          <w:rFonts w:ascii="Arial" w:hAnsi="Arial" w:cs="Arial"/>
          <w:sz w:val="24"/>
          <w:szCs w:val="24"/>
        </w:rPr>
        <w:t xml:space="preserve">iez días otorgados en el punto </w:t>
      </w:r>
      <w:r w:rsidR="00552FC8" w:rsidRPr="005475F3">
        <w:rPr>
          <w:rFonts w:ascii="Arial" w:hAnsi="Arial" w:cs="Arial"/>
          <w:sz w:val="24"/>
          <w:szCs w:val="24"/>
        </w:rPr>
        <w:t>8</w:t>
      </w:r>
      <w:r w:rsidR="00E61CD8" w:rsidRPr="005475F3">
        <w:rPr>
          <w:rFonts w:ascii="Arial" w:hAnsi="Arial" w:cs="Arial"/>
          <w:sz w:val="24"/>
          <w:szCs w:val="24"/>
        </w:rPr>
        <w:t>.3 del Considerando Noveno</w:t>
      </w:r>
      <w:r w:rsidRPr="005475F3">
        <w:rPr>
          <w:rFonts w:ascii="Arial" w:hAnsi="Arial" w:cs="Arial"/>
          <w:sz w:val="24"/>
          <w:szCs w:val="24"/>
        </w:rPr>
        <w:t xml:space="preserve"> de la presente determinación. </w:t>
      </w:r>
    </w:p>
    <w:p w14:paraId="7C28AEF4" w14:textId="77777777" w:rsidR="007953BC" w:rsidRPr="005475F3" w:rsidRDefault="007953BC" w:rsidP="007953BC">
      <w:pPr>
        <w:autoSpaceDE w:val="0"/>
        <w:autoSpaceDN w:val="0"/>
        <w:adjustRightInd w:val="0"/>
        <w:spacing w:after="0" w:line="360" w:lineRule="auto"/>
        <w:jc w:val="both"/>
        <w:rPr>
          <w:rFonts w:ascii="Arial" w:hAnsi="Arial" w:cs="Arial"/>
          <w:b/>
          <w:sz w:val="24"/>
          <w:szCs w:val="24"/>
        </w:rPr>
      </w:pPr>
    </w:p>
    <w:p w14:paraId="3FCCB9E1" w14:textId="77777777" w:rsidR="007953BC" w:rsidRPr="005475F3" w:rsidRDefault="007953BC" w:rsidP="007953BC">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r>
      <w:r w:rsidRPr="005475F3">
        <w:rPr>
          <w:rFonts w:ascii="Arial" w:hAnsi="Arial" w:cs="Arial"/>
          <w:sz w:val="24"/>
          <w:szCs w:val="24"/>
        </w:rPr>
        <w:t>Dicho plazo es concedido para que el Sujeto Obligado entregue la información para que acompañe los documentos necesarios que acrediten el cumplimento a lo aquí ordenado.</w:t>
      </w:r>
    </w:p>
    <w:p w14:paraId="2C03D4AA" w14:textId="77777777" w:rsidR="007953BC" w:rsidRPr="005475F3" w:rsidRDefault="007953BC" w:rsidP="007953BC">
      <w:pPr>
        <w:autoSpaceDE w:val="0"/>
        <w:autoSpaceDN w:val="0"/>
        <w:adjustRightInd w:val="0"/>
        <w:spacing w:after="0" w:line="360" w:lineRule="auto"/>
        <w:jc w:val="both"/>
        <w:rPr>
          <w:rFonts w:ascii="Arial" w:hAnsi="Arial" w:cs="Arial"/>
          <w:b/>
          <w:sz w:val="24"/>
          <w:szCs w:val="24"/>
        </w:rPr>
      </w:pPr>
    </w:p>
    <w:p w14:paraId="2A025520" w14:textId="0F879EC8" w:rsidR="007953BC" w:rsidRPr="005475F3" w:rsidRDefault="007953BC" w:rsidP="007953BC">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lastRenderedPageBreak/>
        <w:tab/>
      </w:r>
      <w:r w:rsidR="00552FC8" w:rsidRPr="005475F3">
        <w:rPr>
          <w:rFonts w:ascii="Arial" w:hAnsi="Arial" w:cs="Arial"/>
          <w:b/>
          <w:sz w:val="24"/>
          <w:szCs w:val="24"/>
        </w:rPr>
        <w:t>8</w:t>
      </w:r>
      <w:r w:rsidRPr="005475F3">
        <w:rPr>
          <w:rFonts w:ascii="Arial" w:hAnsi="Arial" w:cs="Arial"/>
          <w:b/>
          <w:sz w:val="24"/>
          <w:szCs w:val="24"/>
        </w:rPr>
        <w:t xml:space="preserve">.5. Ampliación del plazo para dar cumplimiento a la resolución. </w:t>
      </w:r>
      <w:r w:rsidRPr="005475F3">
        <w:rPr>
          <w:rFonts w:ascii="Arial" w:hAnsi="Arial" w:cs="Arial"/>
          <w:sz w:val="24"/>
          <w:szCs w:val="24"/>
        </w:rPr>
        <w:t xml:space="preserve">Excepcionalmente, el plazo señalado en el artículo 175 de la Ley de Transparencia y Acceso a la Información Pública del Estado, podrá ampliarse cuando el asunto así lo requiera, previa fundamentación y motivación por parte del Sujeto Obligado, dicha solicitud deberá presentarse, a más tardar, </w:t>
      </w:r>
      <w:r w:rsidRPr="005475F3">
        <w:rPr>
          <w:rFonts w:ascii="Arial" w:hAnsi="Arial" w:cs="Arial"/>
          <w:sz w:val="24"/>
          <w:szCs w:val="24"/>
          <w:u w:val="single"/>
        </w:rPr>
        <w:t>dentro de los primeros tres días del plazo otorgado para el cumplimiento</w:t>
      </w:r>
      <w:r w:rsidRPr="005475F3">
        <w:rPr>
          <w:rFonts w:ascii="Arial" w:hAnsi="Arial" w:cs="Arial"/>
          <w:sz w:val="24"/>
          <w:szCs w:val="24"/>
        </w:rPr>
        <w:t>, a efecto de que este Organismo Autónomo resuelva sobre la procedencia de la misma; ello así conforme lo establecido en el numeral 183 de la normatividad en cita.</w:t>
      </w:r>
    </w:p>
    <w:p w14:paraId="36887E86" w14:textId="77777777" w:rsidR="007953BC" w:rsidRPr="005475F3" w:rsidRDefault="007953BC" w:rsidP="007953BC">
      <w:pPr>
        <w:autoSpaceDE w:val="0"/>
        <w:autoSpaceDN w:val="0"/>
        <w:adjustRightInd w:val="0"/>
        <w:spacing w:after="0" w:line="360" w:lineRule="auto"/>
        <w:jc w:val="both"/>
        <w:rPr>
          <w:rFonts w:ascii="Arial" w:hAnsi="Arial" w:cs="Arial"/>
          <w:sz w:val="24"/>
          <w:szCs w:val="24"/>
        </w:rPr>
      </w:pPr>
    </w:p>
    <w:p w14:paraId="2D6AA29D" w14:textId="2F6B7B9A" w:rsidR="007953BC" w:rsidRPr="005475F3" w:rsidRDefault="00552FC8" w:rsidP="007953BC">
      <w:pPr>
        <w:autoSpaceDE w:val="0"/>
        <w:autoSpaceDN w:val="0"/>
        <w:adjustRightInd w:val="0"/>
        <w:spacing w:after="0" w:line="360" w:lineRule="auto"/>
        <w:ind w:firstLine="708"/>
        <w:jc w:val="both"/>
        <w:rPr>
          <w:rFonts w:ascii="Arial" w:hAnsi="Arial" w:cs="Arial"/>
          <w:sz w:val="24"/>
          <w:szCs w:val="24"/>
        </w:rPr>
      </w:pPr>
      <w:r w:rsidRPr="005475F3">
        <w:rPr>
          <w:rFonts w:ascii="Arial" w:hAnsi="Arial" w:cs="Arial"/>
          <w:b/>
          <w:sz w:val="24"/>
          <w:szCs w:val="24"/>
        </w:rPr>
        <w:t>8</w:t>
      </w:r>
      <w:r w:rsidR="007953BC" w:rsidRPr="005475F3">
        <w:rPr>
          <w:rFonts w:ascii="Arial" w:hAnsi="Arial" w:cs="Arial"/>
          <w:b/>
          <w:sz w:val="24"/>
          <w:szCs w:val="24"/>
        </w:rPr>
        <w:t xml:space="preserve">.6. Medida de apremio en caso de incumplimiento a la resolución. </w:t>
      </w:r>
      <w:r w:rsidR="007953BC" w:rsidRPr="005475F3">
        <w:rPr>
          <w:rFonts w:ascii="Arial" w:hAnsi="Arial" w:cs="Arial"/>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y Acceso a la Información Pública del Estado; ello así, en virtud de que este órgano colegiado debe de garantizar el debido cumplimiento al derecho humano de acceso a la información pública.  </w:t>
      </w:r>
    </w:p>
    <w:p w14:paraId="6EED22E5" w14:textId="77777777" w:rsidR="007953BC" w:rsidRPr="005475F3" w:rsidRDefault="007953BC" w:rsidP="007953BC">
      <w:pPr>
        <w:autoSpaceDE w:val="0"/>
        <w:autoSpaceDN w:val="0"/>
        <w:adjustRightInd w:val="0"/>
        <w:spacing w:after="0" w:line="360" w:lineRule="auto"/>
        <w:jc w:val="both"/>
        <w:rPr>
          <w:rFonts w:ascii="Arial" w:hAnsi="Arial" w:cs="Arial"/>
          <w:b/>
          <w:sz w:val="24"/>
          <w:szCs w:val="24"/>
        </w:rPr>
      </w:pPr>
    </w:p>
    <w:p w14:paraId="1A609E6F" w14:textId="3820C31C" w:rsidR="007953BC" w:rsidRPr="005475F3" w:rsidRDefault="007953BC" w:rsidP="007953BC">
      <w:pPr>
        <w:autoSpaceDE w:val="0"/>
        <w:autoSpaceDN w:val="0"/>
        <w:adjustRightInd w:val="0"/>
        <w:spacing w:after="0" w:line="360" w:lineRule="auto"/>
        <w:jc w:val="both"/>
        <w:rPr>
          <w:rFonts w:ascii="Arial" w:hAnsi="Arial" w:cs="Arial"/>
          <w:b/>
          <w:sz w:val="24"/>
          <w:szCs w:val="24"/>
        </w:rPr>
      </w:pPr>
      <w:r w:rsidRPr="005475F3">
        <w:rPr>
          <w:rFonts w:ascii="Arial" w:hAnsi="Arial" w:cs="Arial"/>
          <w:b/>
          <w:sz w:val="24"/>
          <w:szCs w:val="24"/>
        </w:rPr>
        <w:tab/>
      </w:r>
      <w:r w:rsidR="00552FC8" w:rsidRPr="005475F3">
        <w:rPr>
          <w:rFonts w:ascii="Arial" w:hAnsi="Arial" w:cs="Arial"/>
          <w:b/>
          <w:sz w:val="24"/>
          <w:szCs w:val="24"/>
        </w:rPr>
        <w:t>8</w:t>
      </w:r>
      <w:r w:rsidRPr="005475F3">
        <w:rPr>
          <w:rFonts w:ascii="Arial" w:hAnsi="Arial" w:cs="Arial"/>
          <w:b/>
          <w:sz w:val="24"/>
          <w:szCs w:val="24"/>
        </w:rPr>
        <w:t xml:space="preserve">.7. Medio de impugnación. </w:t>
      </w:r>
      <w:r w:rsidRPr="005475F3">
        <w:rPr>
          <w:rFonts w:ascii="Arial" w:hAnsi="Arial" w:cs="Arial"/>
          <w:sz w:val="24"/>
          <w:szCs w:val="24"/>
        </w:rPr>
        <w:t>Se hace de conocimiento del Recurrente que</w:t>
      </w:r>
      <w:r w:rsidR="00E63B14" w:rsidRPr="005475F3">
        <w:rPr>
          <w:rFonts w:ascii="Arial" w:hAnsi="Arial" w:cs="Arial"/>
          <w:sz w:val="24"/>
          <w:szCs w:val="24"/>
        </w:rPr>
        <w:t>,</w:t>
      </w:r>
      <w:r w:rsidRPr="005475F3">
        <w:rPr>
          <w:rFonts w:ascii="Arial" w:hAnsi="Arial" w:cs="Arial"/>
          <w:sz w:val="24"/>
          <w:szCs w:val="24"/>
        </w:rPr>
        <w:t xml:space="preserve"> en caso de no estar de acuerdo con los términos de la resolución dictada por este Organismo Autónomo, podrá optar por acudir ante el Poder Judicial de la Federación</w:t>
      </w:r>
      <w:r w:rsidR="00E63B14" w:rsidRPr="005475F3">
        <w:rPr>
          <w:rFonts w:ascii="Arial" w:hAnsi="Arial" w:cs="Arial"/>
          <w:sz w:val="24"/>
          <w:szCs w:val="24"/>
        </w:rPr>
        <w:t xml:space="preserve">. </w:t>
      </w:r>
    </w:p>
    <w:p w14:paraId="07AAC9E4" w14:textId="77777777" w:rsidR="007953BC" w:rsidRPr="005475F3" w:rsidRDefault="007953BC" w:rsidP="007953BC">
      <w:pPr>
        <w:autoSpaceDE w:val="0"/>
        <w:autoSpaceDN w:val="0"/>
        <w:adjustRightInd w:val="0"/>
        <w:spacing w:after="0" w:line="360" w:lineRule="auto"/>
        <w:jc w:val="both"/>
        <w:rPr>
          <w:rFonts w:ascii="Arial" w:hAnsi="Arial" w:cs="Arial"/>
          <w:b/>
          <w:sz w:val="24"/>
          <w:szCs w:val="24"/>
        </w:rPr>
      </w:pPr>
      <w:r w:rsidRPr="005475F3">
        <w:rPr>
          <w:rFonts w:ascii="Arial" w:hAnsi="Arial" w:cs="Arial"/>
          <w:b/>
          <w:sz w:val="24"/>
          <w:szCs w:val="24"/>
        </w:rPr>
        <w:tab/>
      </w:r>
    </w:p>
    <w:p w14:paraId="3E0FE0D5" w14:textId="44D04CA0" w:rsidR="007953BC" w:rsidRPr="005475F3" w:rsidRDefault="007953BC" w:rsidP="007953BC">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r>
      <w:r w:rsidR="00552FC8" w:rsidRPr="005475F3">
        <w:rPr>
          <w:rFonts w:ascii="Arial" w:hAnsi="Arial" w:cs="Arial"/>
          <w:b/>
          <w:sz w:val="24"/>
          <w:szCs w:val="24"/>
        </w:rPr>
        <w:t>8</w:t>
      </w:r>
      <w:r w:rsidRPr="005475F3">
        <w:rPr>
          <w:rFonts w:ascii="Arial" w:hAnsi="Arial" w:cs="Arial"/>
          <w:b/>
          <w:sz w:val="24"/>
          <w:szCs w:val="24"/>
        </w:rPr>
        <w:t xml:space="preserve">.8. Definitividad. </w:t>
      </w:r>
      <w:r w:rsidRPr="005475F3">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02311D48" w14:textId="77777777" w:rsidR="007953BC" w:rsidRPr="005475F3" w:rsidRDefault="007953BC" w:rsidP="007953BC">
      <w:pPr>
        <w:autoSpaceDE w:val="0"/>
        <w:autoSpaceDN w:val="0"/>
        <w:adjustRightInd w:val="0"/>
        <w:spacing w:after="0" w:line="360" w:lineRule="auto"/>
        <w:jc w:val="both"/>
        <w:rPr>
          <w:rFonts w:ascii="Arial" w:hAnsi="Arial" w:cs="Arial"/>
          <w:b/>
          <w:sz w:val="24"/>
          <w:szCs w:val="24"/>
        </w:rPr>
      </w:pPr>
      <w:r w:rsidRPr="005475F3">
        <w:rPr>
          <w:rFonts w:ascii="Arial" w:hAnsi="Arial" w:cs="Arial"/>
          <w:sz w:val="24"/>
          <w:szCs w:val="24"/>
        </w:rPr>
        <w:tab/>
      </w:r>
    </w:p>
    <w:p w14:paraId="313CF4BA" w14:textId="698309EC" w:rsidR="007953BC" w:rsidRPr="005475F3" w:rsidRDefault="007953BC" w:rsidP="007953BC">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r>
      <w:r w:rsidR="00552FC8" w:rsidRPr="005475F3">
        <w:rPr>
          <w:rFonts w:ascii="Arial" w:hAnsi="Arial" w:cs="Arial"/>
          <w:b/>
          <w:sz w:val="24"/>
          <w:szCs w:val="24"/>
        </w:rPr>
        <w:t>8</w:t>
      </w:r>
      <w:r w:rsidRPr="005475F3">
        <w:rPr>
          <w:rFonts w:ascii="Arial" w:hAnsi="Arial" w:cs="Arial"/>
          <w:b/>
          <w:sz w:val="24"/>
          <w:szCs w:val="24"/>
        </w:rPr>
        <w:t xml:space="preserve">.9. Ejecutoría. </w:t>
      </w:r>
      <w:r w:rsidRPr="005475F3">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0A854570" w14:textId="77777777" w:rsidR="007953BC" w:rsidRPr="005475F3" w:rsidRDefault="007953BC" w:rsidP="007953BC">
      <w:pPr>
        <w:autoSpaceDE w:val="0"/>
        <w:autoSpaceDN w:val="0"/>
        <w:adjustRightInd w:val="0"/>
        <w:spacing w:after="0" w:line="360" w:lineRule="auto"/>
        <w:jc w:val="both"/>
        <w:rPr>
          <w:rFonts w:ascii="Arial" w:hAnsi="Arial" w:cs="Arial"/>
          <w:sz w:val="24"/>
          <w:szCs w:val="24"/>
        </w:rPr>
      </w:pPr>
      <w:r w:rsidRPr="005475F3">
        <w:rPr>
          <w:rFonts w:ascii="Arial" w:hAnsi="Arial" w:cs="Arial"/>
          <w:sz w:val="24"/>
          <w:szCs w:val="24"/>
        </w:rPr>
        <w:tab/>
      </w:r>
    </w:p>
    <w:p w14:paraId="35C59734" w14:textId="77777777" w:rsidR="007953BC" w:rsidRPr="005475F3" w:rsidRDefault="007953BC" w:rsidP="007953BC">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r>
      <w:r w:rsidRPr="005475F3">
        <w:rPr>
          <w:rFonts w:ascii="Arial" w:hAnsi="Arial" w:cs="Arial"/>
          <w:sz w:val="24"/>
          <w:szCs w:val="24"/>
        </w:rPr>
        <w:t>Por lo anteriormente expuesto y fundado se:</w:t>
      </w:r>
    </w:p>
    <w:p w14:paraId="78468499" w14:textId="77777777" w:rsidR="007953BC" w:rsidRPr="005475F3" w:rsidRDefault="007953BC" w:rsidP="007953BC">
      <w:pPr>
        <w:autoSpaceDE w:val="0"/>
        <w:autoSpaceDN w:val="0"/>
        <w:adjustRightInd w:val="0"/>
        <w:spacing w:after="0" w:line="360" w:lineRule="auto"/>
        <w:jc w:val="both"/>
        <w:rPr>
          <w:rFonts w:ascii="Arial" w:hAnsi="Arial" w:cs="Arial"/>
          <w:sz w:val="24"/>
          <w:szCs w:val="24"/>
        </w:rPr>
      </w:pPr>
    </w:p>
    <w:p w14:paraId="4459D233" w14:textId="77777777" w:rsidR="007953BC" w:rsidRPr="005475F3" w:rsidRDefault="007953BC" w:rsidP="007953BC">
      <w:pPr>
        <w:autoSpaceDE w:val="0"/>
        <w:autoSpaceDN w:val="0"/>
        <w:adjustRightInd w:val="0"/>
        <w:spacing w:after="0" w:line="360" w:lineRule="auto"/>
        <w:jc w:val="center"/>
        <w:rPr>
          <w:rFonts w:ascii="Arial" w:hAnsi="Arial" w:cs="Arial"/>
          <w:b/>
          <w:sz w:val="24"/>
          <w:szCs w:val="24"/>
        </w:rPr>
      </w:pPr>
      <w:r w:rsidRPr="005475F3">
        <w:rPr>
          <w:rFonts w:ascii="Arial" w:hAnsi="Arial" w:cs="Arial"/>
          <w:b/>
          <w:sz w:val="24"/>
          <w:szCs w:val="24"/>
        </w:rPr>
        <w:lastRenderedPageBreak/>
        <w:t>R E S U E L V E:</w:t>
      </w:r>
    </w:p>
    <w:p w14:paraId="3CC16B13" w14:textId="77777777" w:rsidR="00C6078B" w:rsidRPr="005475F3" w:rsidRDefault="00C6078B" w:rsidP="007953BC">
      <w:pPr>
        <w:autoSpaceDE w:val="0"/>
        <w:autoSpaceDN w:val="0"/>
        <w:adjustRightInd w:val="0"/>
        <w:spacing w:after="0" w:line="360" w:lineRule="auto"/>
        <w:jc w:val="center"/>
        <w:rPr>
          <w:rFonts w:ascii="Arial" w:hAnsi="Arial" w:cs="Arial"/>
          <w:b/>
          <w:sz w:val="24"/>
          <w:szCs w:val="24"/>
        </w:rPr>
      </w:pPr>
    </w:p>
    <w:p w14:paraId="44E1C8AB" w14:textId="1D38105E" w:rsidR="007953BC" w:rsidRPr="005475F3" w:rsidRDefault="007953BC" w:rsidP="007953BC">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t xml:space="preserve">ÚNICO. </w:t>
      </w:r>
      <w:r w:rsidRPr="005475F3">
        <w:rPr>
          <w:rFonts w:ascii="Arial" w:hAnsi="Arial" w:cs="Arial"/>
          <w:sz w:val="24"/>
          <w:szCs w:val="24"/>
        </w:rPr>
        <w:t xml:space="preserve">Se </w:t>
      </w:r>
      <w:r w:rsidRPr="005475F3">
        <w:rPr>
          <w:rFonts w:ascii="Arial" w:hAnsi="Arial" w:cs="Arial"/>
          <w:b/>
          <w:sz w:val="24"/>
          <w:szCs w:val="24"/>
        </w:rPr>
        <w:t>REVOCA</w:t>
      </w:r>
      <w:r w:rsidRPr="005475F3">
        <w:rPr>
          <w:rFonts w:ascii="Arial" w:hAnsi="Arial" w:cs="Arial"/>
          <w:sz w:val="24"/>
          <w:szCs w:val="24"/>
        </w:rPr>
        <w:t xml:space="preserve"> la respuesta emitida por el sujeto obligado por las razones y fundamentos expuestos en el considerando</w:t>
      </w:r>
      <w:r w:rsidRPr="005475F3">
        <w:rPr>
          <w:rFonts w:ascii="Arial" w:hAnsi="Arial" w:cs="Arial"/>
          <w:b/>
          <w:sz w:val="24"/>
          <w:szCs w:val="24"/>
        </w:rPr>
        <w:t xml:space="preserve"> </w:t>
      </w:r>
      <w:r w:rsidR="00552FC8" w:rsidRPr="005475F3">
        <w:rPr>
          <w:rFonts w:ascii="Arial" w:hAnsi="Arial" w:cs="Arial"/>
          <w:b/>
          <w:sz w:val="24"/>
          <w:szCs w:val="24"/>
        </w:rPr>
        <w:t>SÉPTIMO</w:t>
      </w:r>
      <w:r w:rsidRPr="005475F3">
        <w:rPr>
          <w:rFonts w:ascii="Arial" w:hAnsi="Arial" w:cs="Arial"/>
          <w:sz w:val="24"/>
          <w:szCs w:val="24"/>
        </w:rPr>
        <w:t xml:space="preserve"> de la presente resolución.</w:t>
      </w:r>
    </w:p>
    <w:p w14:paraId="24DC0F4E" w14:textId="77777777" w:rsidR="007953BC" w:rsidRPr="005475F3" w:rsidRDefault="007953BC" w:rsidP="007953BC">
      <w:pPr>
        <w:autoSpaceDE w:val="0"/>
        <w:autoSpaceDN w:val="0"/>
        <w:adjustRightInd w:val="0"/>
        <w:spacing w:after="0" w:line="360" w:lineRule="auto"/>
        <w:jc w:val="both"/>
        <w:rPr>
          <w:rFonts w:ascii="Arial" w:hAnsi="Arial" w:cs="Arial"/>
          <w:b/>
          <w:sz w:val="24"/>
          <w:szCs w:val="24"/>
        </w:rPr>
      </w:pPr>
    </w:p>
    <w:p w14:paraId="2943EC3E" w14:textId="77777777" w:rsidR="007953BC" w:rsidRPr="005475F3" w:rsidRDefault="007953BC" w:rsidP="007953BC">
      <w:pPr>
        <w:autoSpaceDE w:val="0"/>
        <w:autoSpaceDN w:val="0"/>
        <w:adjustRightInd w:val="0"/>
        <w:spacing w:after="0" w:line="360" w:lineRule="auto"/>
        <w:jc w:val="both"/>
        <w:rPr>
          <w:rFonts w:ascii="Arial" w:hAnsi="Arial" w:cs="Arial"/>
          <w:sz w:val="24"/>
          <w:szCs w:val="24"/>
        </w:rPr>
      </w:pPr>
      <w:r w:rsidRPr="005475F3">
        <w:rPr>
          <w:rFonts w:ascii="Arial" w:hAnsi="Arial" w:cs="Arial"/>
          <w:b/>
          <w:sz w:val="24"/>
          <w:szCs w:val="24"/>
        </w:rPr>
        <w:tab/>
      </w:r>
      <w:r w:rsidRPr="005475F3">
        <w:rPr>
          <w:rFonts w:ascii="Arial" w:hAnsi="Arial" w:cs="Arial"/>
          <w:b/>
          <w:bCs/>
          <w:sz w:val="24"/>
          <w:szCs w:val="24"/>
        </w:rPr>
        <w:t>Notifíquese</w:t>
      </w:r>
      <w:r w:rsidRPr="005475F3">
        <w:rPr>
          <w:rFonts w:ascii="Arial" w:hAnsi="Arial" w:cs="Arial"/>
          <w:b/>
          <w:sz w:val="24"/>
          <w:szCs w:val="24"/>
        </w:rPr>
        <w:t xml:space="preserve">; </w:t>
      </w:r>
      <w:r w:rsidRPr="005475F3">
        <w:rPr>
          <w:rFonts w:ascii="Arial" w:hAnsi="Arial" w:cs="Arial"/>
          <w:sz w:val="24"/>
          <w:szCs w:val="24"/>
        </w:rPr>
        <w:t>por oficio al Sujeto Obligado y, al recurrente por el medio que designó.</w:t>
      </w:r>
    </w:p>
    <w:p w14:paraId="58AE5BDE" w14:textId="77777777" w:rsidR="00E61CD8" w:rsidRPr="005475F3" w:rsidRDefault="00E61CD8" w:rsidP="00C6078B">
      <w:pPr>
        <w:spacing w:after="0" w:line="360" w:lineRule="auto"/>
        <w:jc w:val="both"/>
        <w:rPr>
          <w:rFonts w:ascii="Arial" w:hAnsi="Arial" w:cs="Arial"/>
          <w:sz w:val="24"/>
          <w:szCs w:val="24"/>
        </w:rPr>
      </w:pPr>
    </w:p>
    <w:p w14:paraId="1B5496C6" w14:textId="522A5DEC" w:rsidR="00E73683" w:rsidRPr="00E73683" w:rsidRDefault="007953BC" w:rsidP="00E73683">
      <w:pPr>
        <w:spacing w:after="0" w:line="360" w:lineRule="auto"/>
        <w:jc w:val="both"/>
        <w:rPr>
          <w:rFonts w:ascii="Arial" w:hAnsi="Arial" w:cs="Arial"/>
          <w:sz w:val="24"/>
          <w:szCs w:val="24"/>
        </w:rPr>
      </w:pPr>
      <w:r w:rsidRPr="005475F3">
        <w:rPr>
          <w:rFonts w:ascii="Arial" w:hAnsi="Arial" w:cs="Arial"/>
          <w:sz w:val="24"/>
          <w:szCs w:val="24"/>
        </w:rPr>
        <w:tab/>
      </w:r>
      <w:r w:rsidR="00552FC8" w:rsidRPr="005475F3">
        <w:rPr>
          <w:rFonts w:ascii="Arial" w:hAnsi="Arial" w:cs="Arial"/>
          <w:sz w:val="24"/>
        </w:rPr>
        <w:t xml:space="preserve">Así lo resuelve, por mayoría de votos, el Pleno de la Comisión Estatal de Garantía de Acceso a la Información Pública, conformado por los Comisionados José Gerardo Navarro Alviso y Ana Cristina García Nales, siendo ponente la última de los </w:t>
      </w:r>
      <w:r w:rsidR="00552FC8" w:rsidRPr="00E73683">
        <w:rPr>
          <w:rFonts w:ascii="Arial" w:hAnsi="Arial" w:cs="Arial"/>
          <w:sz w:val="24"/>
          <w:szCs w:val="24"/>
        </w:rPr>
        <w:t xml:space="preserve">nombrados, en la Sesión Ordinaria celebrada el cinco de </w:t>
      </w:r>
      <w:r w:rsidR="00397C34" w:rsidRPr="00E73683">
        <w:rPr>
          <w:rFonts w:ascii="Arial" w:hAnsi="Arial" w:cs="Arial"/>
          <w:sz w:val="24"/>
          <w:szCs w:val="24"/>
        </w:rPr>
        <w:t>febrero</w:t>
      </w:r>
      <w:r w:rsidR="00552FC8" w:rsidRPr="00E73683">
        <w:rPr>
          <w:rFonts w:ascii="Arial" w:hAnsi="Arial" w:cs="Arial"/>
          <w:sz w:val="24"/>
          <w:szCs w:val="24"/>
        </w:rPr>
        <w:t xml:space="preserve"> de dos mil veintiséis, ante la Secretaria de Pleno, Rosa Marí</w:t>
      </w:r>
      <w:r w:rsidR="00E73683" w:rsidRPr="00E73683">
        <w:rPr>
          <w:rFonts w:ascii="Arial" w:hAnsi="Arial" w:cs="Arial"/>
          <w:sz w:val="24"/>
          <w:szCs w:val="24"/>
        </w:rPr>
        <w:t xml:space="preserve">a Motilla García, quién da fé. </w:t>
      </w:r>
      <w:r w:rsidR="00E73683" w:rsidRPr="00E73683">
        <w:rPr>
          <w:rFonts w:ascii="Arial" w:hAnsi="Arial" w:cs="Arial"/>
          <w:i/>
          <w:sz w:val="24"/>
          <w:szCs w:val="24"/>
        </w:rPr>
        <w:t xml:space="preserve">Rubricas. </w:t>
      </w:r>
    </w:p>
    <w:p w14:paraId="1728FCE1" w14:textId="77777777" w:rsidR="00E73683" w:rsidRDefault="00E73683" w:rsidP="00E73683">
      <w:pPr>
        <w:tabs>
          <w:tab w:val="left" w:pos="4816"/>
        </w:tabs>
        <w:spacing w:line="360" w:lineRule="auto"/>
        <w:jc w:val="both"/>
        <w:rPr>
          <w:rFonts w:ascii="Arial" w:hAnsi="Arial" w:cs="Arial"/>
          <w:sz w:val="18"/>
          <w:szCs w:val="18"/>
        </w:rPr>
      </w:pPr>
    </w:p>
    <w:p w14:paraId="7C684D4F" w14:textId="778273CC" w:rsidR="00E73683" w:rsidRPr="00E73683" w:rsidRDefault="00E73683" w:rsidP="00E73683">
      <w:pPr>
        <w:tabs>
          <w:tab w:val="left" w:pos="4816"/>
        </w:tabs>
        <w:spacing w:line="360" w:lineRule="auto"/>
        <w:jc w:val="both"/>
        <w:rPr>
          <w:rFonts w:ascii="Arial" w:hAnsi="Arial" w:cs="Arial"/>
          <w:sz w:val="18"/>
          <w:szCs w:val="18"/>
        </w:rPr>
      </w:pPr>
      <w:r w:rsidRPr="00E73683">
        <w:rPr>
          <w:rFonts w:ascii="Arial" w:hAnsi="Arial" w:cs="Arial"/>
          <w:sz w:val="18"/>
          <w:szCs w:val="18"/>
        </w:rPr>
        <w:t xml:space="preserve">ADRIANA BERENICE CAPETILLO REYES, PROYECTISTA ADSCRITA A LA PONENCIA TRES DE LA COMISIÓN ESTATAL DE GARANTÍA DE ACCESO A LA INFORMACIÓN PÚBLICA DE SAN LUIS POTOSI - - - - - - - - - - - - - - - - - - - - - - - - - - - - - C E R T I F I C A - - - - - - - </w:t>
      </w:r>
      <w:r w:rsidRPr="00E73683">
        <w:rPr>
          <w:rFonts w:ascii="Arial" w:hAnsi="Arial" w:cs="Arial"/>
          <w:sz w:val="18"/>
          <w:szCs w:val="18"/>
        </w:rPr>
        <w:t xml:space="preserve">- - - -  - - - - </w:t>
      </w:r>
      <w:r w:rsidRPr="00E73683">
        <w:rPr>
          <w:rFonts w:ascii="Arial" w:hAnsi="Arial" w:cs="Arial"/>
          <w:sz w:val="18"/>
          <w:szCs w:val="18"/>
        </w:rPr>
        <w:t>- - - - - - - - - - - -</w:t>
      </w:r>
      <w:r>
        <w:rPr>
          <w:rFonts w:ascii="Arial" w:hAnsi="Arial" w:cs="Arial"/>
          <w:sz w:val="18"/>
          <w:szCs w:val="18"/>
        </w:rPr>
        <w:t xml:space="preserve"> - - - - - - - -</w:t>
      </w:r>
      <w:bookmarkStart w:id="6" w:name="_GoBack"/>
      <w:bookmarkEnd w:id="6"/>
      <w:r w:rsidRPr="00E73683">
        <w:rPr>
          <w:rFonts w:ascii="Arial" w:hAnsi="Arial" w:cs="Arial"/>
          <w:sz w:val="18"/>
          <w:szCs w:val="18"/>
        </w:rPr>
        <w:t xml:space="preserve"> </w:t>
      </w:r>
      <w:r w:rsidRPr="00E73683">
        <w:rPr>
          <w:rFonts w:ascii="Arial" w:hAnsi="Arial" w:cs="Arial"/>
          <w:sz w:val="18"/>
          <w:szCs w:val="18"/>
        </w:rPr>
        <w:t xml:space="preserve">QUE LA PRESENTE IMPRESIÓN QUE CONSTA DE </w:t>
      </w:r>
      <w:r w:rsidRPr="00E73683">
        <w:rPr>
          <w:rFonts w:ascii="Arial" w:hAnsi="Arial" w:cs="Arial"/>
          <w:sz w:val="18"/>
          <w:szCs w:val="18"/>
        </w:rPr>
        <w:t>CINCUENTA Y OCHO</w:t>
      </w:r>
      <w:r w:rsidRPr="00E73683">
        <w:rPr>
          <w:rFonts w:ascii="Arial" w:hAnsi="Arial" w:cs="Arial"/>
          <w:sz w:val="18"/>
          <w:szCs w:val="18"/>
        </w:rPr>
        <w:t xml:space="preserve"> ÚTILES POR ANVERSO Y REVERSO, ES COPIA FIEL EN CONTENIDO, DE LA RESOLUCIÓN EMITIDA EN SESIÓN ORDINARIA DE PLENO DE LA COMISIÓN ESTATAL DE GARANTÍA DE ACCESO A LA INFORMACIÓN PÚBLICA, CELEBRADA EL </w:t>
      </w:r>
      <w:r w:rsidRPr="00E73683">
        <w:rPr>
          <w:rFonts w:ascii="Arial" w:hAnsi="Arial" w:cs="Arial"/>
          <w:sz w:val="18"/>
          <w:szCs w:val="18"/>
        </w:rPr>
        <w:t>CINCO DE FEBRERO DE DOS MIL VEINTISÉIS</w:t>
      </w:r>
      <w:r w:rsidRPr="00E73683">
        <w:rPr>
          <w:rFonts w:ascii="Arial" w:hAnsi="Arial" w:cs="Arial"/>
          <w:sz w:val="18"/>
          <w:szCs w:val="18"/>
        </w:rPr>
        <w:t>; POR LA CUAL SE REVOCÓ EL ACTO IMPUGNADO, DENTRO DE LOS AUTOS RELATIVOS AL R</w:t>
      </w:r>
      <w:r w:rsidRPr="00E73683">
        <w:rPr>
          <w:rFonts w:ascii="Arial" w:hAnsi="Arial" w:cs="Arial"/>
          <w:sz w:val="18"/>
          <w:szCs w:val="18"/>
        </w:rPr>
        <w:t>ECURSO DE REVISIÓN NÚMERO RR-006/2025-3</w:t>
      </w:r>
      <w:r w:rsidRPr="00E73683">
        <w:rPr>
          <w:rFonts w:ascii="Arial" w:hAnsi="Arial" w:cs="Arial"/>
          <w:sz w:val="18"/>
          <w:szCs w:val="18"/>
        </w:rPr>
        <w:t xml:space="preserve">; LO ANTERIOR, CON FUNDAMENTO EN LO DISPUESTO POR EL 51 FRACCIÓN XIII, DEL REGLAMENTO INTERIOR DE LA COMISIÓN ESTATAL DE GARANTÍA DE ACCESO A LA INFORMACIÓN PÚBLICA DE SAN LUIS POTOSÍ, EN LA CIUDAD DE SAN LUIS POTOSÍ, S.L.P., CINCO DE FEBRERO DE DOS MIL VEINTISÉIS. </w:t>
      </w:r>
      <w:r w:rsidRPr="00E73683">
        <w:rPr>
          <w:rFonts w:ascii="Arial" w:hAnsi="Arial" w:cs="Arial"/>
          <w:i/>
          <w:sz w:val="18"/>
          <w:szCs w:val="18"/>
        </w:rPr>
        <w:t>Conste.</w:t>
      </w:r>
    </w:p>
    <w:p w14:paraId="1D2D0AE7" w14:textId="2A29965C" w:rsidR="00E73683" w:rsidRDefault="00E73683" w:rsidP="00552FC8">
      <w:pPr>
        <w:spacing w:after="0" w:line="360" w:lineRule="auto"/>
        <w:jc w:val="both"/>
        <w:rPr>
          <w:rFonts w:ascii="Arial" w:hAnsi="Arial" w:cs="Arial"/>
          <w:sz w:val="24"/>
        </w:rPr>
      </w:pPr>
    </w:p>
    <w:p w14:paraId="5F3A75D2" w14:textId="0F7083BE" w:rsidR="007953BC" w:rsidRPr="005475F3" w:rsidRDefault="007953BC" w:rsidP="00552FC8">
      <w:pPr>
        <w:spacing w:after="0" w:line="360" w:lineRule="auto"/>
        <w:jc w:val="both"/>
        <w:rPr>
          <w:rFonts w:ascii="Arial" w:hAnsi="Arial" w:cs="Arial"/>
          <w:sz w:val="24"/>
          <w:szCs w:val="24"/>
        </w:rPr>
      </w:pPr>
    </w:p>
    <w:sectPr w:rsidR="007953BC" w:rsidRPr="005475F3" w:rsidSect="00F25EED">
      <w:headerReference w:type="default" r:id="rId13"/>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B7229E" w14:textId="77777777" w:rsidR="00A0577F" w:rsidRDefault="00A0577F" w:rsidP="00BB58C4">
      <w:pPr>
        <w:spacing w:after="0" w:line="240" w:lineRule="auto"/>
      </w:pPr>
      <w:r>
        <w:separator/>
      </w:r>
    </w:p>
  </w:endnote>
  <w:endnote w:type="continuationSeparator" w:id="0">
    <w:p w14:paraId="55E779C2" w14:textId="77777777" w:rsidR="00A0577F" w:rsidRDefault="00A0577F"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A1E8D0" w14:textId="77777777" w:rsidR="00A0577F" w:rsidRDefault="00A0577F" w:rsidP="00BB58C4">
      <w:pPr>
        <w:spacing w:after="0" w:line="240" w:lineRule="auto"/>
      </w:pPr>
      <w:r>
        <w:separator/>
      </w:r>
    </w:p>
  </w:footnote>
  <w:footnote w:type="continuationSeparator" w:id="0">
    <w:p w14:paraId="73555F81" w14:textId="77777777" w:rsidR="00A0577F" w:rsidRDefault="00A0577F" w:rsidP="00BB58C4">
      <w:pPr>
        <w:spacing w:after="0" w:line="240" w:lineRule="auto"/>
      </w:pPr>
      <w:r>
        <w:continuationSeparator/>
      </w:r>
    </w:p>
  </w:footnote>
  <w:footnote w:id="1">
    <w:p w14:paraId="48922567" w14:textId="77777777" w:rsidR="00AF1E38" w:rsidRPr="007A18D6" w:rsidRDefault="00AF1E38" w:rsidP="006D3B1C">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Disponible en</w:t>
      </w:r>
    </w:p>
    <w:p w14:paraId="29B1B264" w14:textId="77777777" w:rsidR="00AF1E38" w:rsidRPr="007A18D6" w:rsidRDefault="00AF1E38" w:rsidP="006D3B1C">
      <w:pPr>
        <w:pStyle w:val="Textonotapie"/>
        <w:rPr>
          <w:rFonts w:ascii="Arial" w:hAnsi="Arial" w:cs="Arial"/>
          <w:sz w:val="16"/>
          <w:szCs w:val="16"/>
        </w:rPr>
      </w:pPr>
      <w:r w:rsidRPr="007A18D6">
        <w:rPr>
          <w:rFonts w:ascii="Arial" w:hAnsi="Arial" w:cs="Arial"/>
          <w:sz w:val="16"/>
          <w:szCs w:val="16"/>
        </w:rPr>
        <w:t xml:space="preserve"> </w:t>
      </w:r>
      <w:hyperlink r:id="rId1" w:history="1">
        <w:r w:rsidRPr="007A18D6">
          <w:rPr>
            <w:rStyle w:val="Hipervnculo"/>
            <w:rFonts w:ascii="Arial" w:hAnsi="Arial" w:cs="Arial"/>
            <w:sz w:val="16"/>
            <w:szCs w:val="16"/>
          </w:rPr>
          <w:t>https://snt.org.mx/wp-content/uploads/2021/08/Lineamientos_Funcionalidad_PNT_090721.pdf</w:t>
        </w:r>
      </w:hyperlink>
      <w:r w:rsidRPr="007A18D6">
        <w:rPr>
          <w:rFonts w:ascii="Arial" w:hAnsi="Arial" w:cs="Arial"/>
          <w:sz w:val="16"/>
          <w:szCs w:val="16"/>
        </w:rPr>
        <w:t xml:space="preserve"> </w:t>
      </w:r>
    </w:p>
  </w:footnote>
  <w:footnote w:id="2">
    <w:p w14:paraId="0DCEB1AE" w14:textId="77777777" w:rsidR="00AF1E38" w:rsidRPr="007A18D6" w:rsidRDefault="00AF1E38" w:rsidP="00FA5019">
      <w:pPr>
        <w:jc w:val="both"/>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Cfr. Jurisprudencia número VI.2o. J/323, visible en la Octava Época, de la Gaceta del Semanario Judicial de la Federación, Núm. 80, Agosto de 1994, p. 87. Instancia: Tribunales Colegiados de Circuito, con Registro electrónico: 210784, </w:t>
      </w:r>
    </w:p>
  </w:footnote>
  <w:footnote w:id="3">
    <w:p w14:paraId="4D83296A" w14:textId="77777777" w:rsidR="00AF1E38" w:rsidRPr="007A18D6" w:rsidRDefault="00AF1E38" w:rsidP="00FA5019">
      <w:pPr>
        <w:spacing w:after="0" w:line="240" w:lineRule="auto"/>
        <w:jc w:val="both"/>
        <w:rPr>
          <w:rFonts w:ascii="Arial" w:eastAsia="Arial Unicode MS" w:hAnsi="Arial" w:cs="Arial"/>
          <w:bCs/>
          <w:sz w:val="16"/>
          <w:szCs w:val="16"/>
          <w:lang w:eastAsia="es-ES"/>
        </w:rPr>
      </w:pPr>
      <w:r w:rsidRPr="007A18D6">
        <w:rPr>
          <w:rStyle w:val="Refdenotaalpie"/>
          <w:rFonts w:ascii="Arial" w:hAnsi="Arial" w:cs="Arial"/>
          <w:sz w:val="16"/>
          <w:szCs w:val="16"/>
        </w:rPr>
        <w:footnoteRef/>
      </w:r>
      <w:r w:rsidRPr="007A18D6">
        <w:rPr>
          <w:rFonts w:ascii="Arial" w:hAnsi="Arial" w:cs="Arial"/>
          <w:sz w:val="16"/>
          <w:szCs w:val="16"/>
        </w:rPr>
        <w:t xml:space="preserve"> </w:t>
      </w:r>
      <w:r w:rsidRPr="007A18D6">
        <w:rPr>
          <w:rFonts w:ascii="Arial" w:eastAsia="Arial Unicode MS" w:hAnsi="Arial" w:cs="Arial"/>
          <w:bCs/>
          <w:sz w:val="16"/>
          <w:szCs w:val="16"/>
          <w:lang w:eastAsia="es-ES"/>
        </w:rPr>
        <w:t xml:space="preserve">El Diccionario Jurídico Mexicano del Instituto de Investigaciones Jurídicas, Editorial Porrúa, Octava Edición, México 1995, página 2637, en relación con el sobreseimiento señala: </w:t>
      </w:r>
      <w:r w:rsidRPr="007A18D6">
        <w:rPr>
          <w:rFonts w:ascii="Arial" w:eastAsia="Arial Unicode MS" w:hAnsi="Arial" w:cs="Arial"/>
          <w:bCs/>
          <w:i/>
          <w:iCs/>
          <w:sz w:val="16"/>
          <w:szCs w:val="16"/>
          <w:lang w:eastAsia="es-ES"/>
        </w:rPr>
        <w:t>"Sobreseimiento. I. (Del latín supercedere; cesar, desistir)</w:t>
      </w:r>
      <w:r w:rsidRPr="007A18D6">
        <w:rPr>
          <w:rFonts w:ascii="Arial" w:eastAsia="Arial Unicode MS" w:hAnsi="Arial" w:cs="Arial"/>
          <w:bCs/>
          <w:sz w:val="16"/>
          <w:szCs w:val="16"/>
          <w:lang w:eastAsia="es-ES"/>
        </w:rPr>
        <w:t>. Es la resolución judicial por la cual se declara que existe un obstáculo jurídico o de hecho que impide la decisión sobre el fondo de la controversia".</w:t>
      </w:r>
    </w:p>
  </w:footnote>
  <w:footnote w:id="4">
    <w:p w14:paraId="4A416888" w14:textId="1403691A" w:rsidR="00AF1E38" w:rsidRPr="007A18D6" w:rsidRDefault="00AF1E38">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Elementos del Acto Administrativo. Diccionario Usual del Poder Judicial de la República de Costa Rica, consultable en: https://diccionariousual.poder-judicial.go.cr/index.php/diccionario/elementos-del-acto-administrativo-2</w:t>
      </w:r>
    </w:p>
  </w:footnote>
  <w:footnote w:id="5">
    <w:p w14:paraId="2A408F11" w14:textId="77777777" w:rsidR="00AF1E38" w:rsidRPr="007A18D6" w:rsidRDefault="00AF1E38" w:rsidP="0090625B">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w:t>
      </w:r>
      <w:r w:rsidRPr="007A18D6">
        <w:rPr>
          <w:rFonts w:ascii="Arial" w:hAnsi="Arial" w:cs="Arial"/>
          <w:b/>
          <w:bCs/>
          <w:sz w:val="16"/>
          <w:szCs w:val="16"/>
        </w:rPr>
        <w:t>Actos consentidos tácitamente</w:t>
      </w:r>
      <w:r w:rsidRPr="007A18D6">
        <w:rPr>
          <w:rFonts w:ascii="Arial" w:hAnsi="Arial" w:cs="Arial"/>
          <w:sz w:val="16"/>
          <w:szCs w:val="16"/>
        </w:rPr>
        <w:t>. Improcedencia de su análisis. Si en su recurso de revisión, la persona recurrente no expresó inconformidad alguna con ciertas partes de la respuesta otorgada, se entienden tácitamente consentidas, por ende, no deben formar parte del estudio de fondo de la resolución que emite el Instituto” Criterio número SO/001/2020, emitido por el Instituto Nacional de Transparencia, Acceso a la Información y Protección de Datos Personales.</w:t>
      </w:r>
    </w:p>
  </w:footnote>
  <w:footnote w:id="6">
    <w:p w14:paraId="33B24A15"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“ARTÍCULO 4°.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14:paraId="59D0D10F"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w:t>
      </w:r>
    </w:p>
    <w:p w14:paraId="3AF10697"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ARTÍCULO 11. Toda la información en posesión de los sujetos obligados será pública, completa, oportuna y accesible, sujeta a un claro régimen de excepciones que deberán estar definidas y ser además legítimas y estrictamente necesarias en una sociedad democrática.</w:t>
      </w:r>
    </w:p>
  </w:footnote>
  <w:footnote w:id="7">
    <w:p w14:paraId="4B969609"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ARTÍCULO 113. Las figuras jurídicas de excepción al derecho de acceso a la información pública, son las de información reservada, e información confidencial. </w:t>
      </w:r>
    </w:p>
  </w:footnote>
  <w:footnote w:id="8">
    <w:p w14:paraId="6B06C689"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ARTÍCULO 113. Las figuras jurídicas de excepción al derecho de acceso a la información pública, son las de información reservada, e información confidencial.</w:t>
      </w:r>
    </w:p>
  </w:footnote>
  <w:footnote w:id="9">
    <w:p w14:paraId="7DFB6BDA" w14:textId="77777777" w:rsidR="00AF1E38" w:rsidRPr="007A18D6" w:rsidRDefault="00AF1E38" w:rsidP="004246C0">
      <w:pPr>
        <w:pStyle w:val="Estilo"/>
        <w:rPr>
          <w:rFonts w:cs="Arial"/>
          <w:sz w:val="16"/>
          <w:szCs w:val="16"/>
        </w:rPr>
      </w:pPr>
      <w:r w:rsidRPr="007A18D6">
        <w:rPr>
          <w:rStyle w:val="Refdenotaalpie"/>
          <w:rFonts w:cs="Arial"/>
          <w:sz w:val="16"/>
          <w:szCs w:val="16"/>
        </w:rPr>
        <w:footnoteRef/>
      </w:r>
      <w:r w:rsidRPr="007A18D6">
        <w:rPr>
          <w:rFonts w:cs="Arial"/>
          <w:sz w:val="16"/>
          <w:szCs w:val="16"/>
        </w:rPr>
        <w:t xml:space="preserve"> “ARTÍCULO 3°. Para los efectos de la presente Ley se entenderá por: […]</w:t>
      </w:r>
    </w:p>
    <w:p w14:paraId="31659497" w14:textId="77777777" w:rsidR="00AF1E38" w:rsidRPr="007A18D6" w:rsidRDefault="00AF1E38" w:rsidP="004246C0">
      <w:pPr>
        <w:pStyle w:val="Estilo"/>
        <w:rPr>
          <w:rFonts w:cs="Arial"/>
          <w:sz w:val="16"/>
          <w:szCs w:val="16"/>
        </w:rPr>
      </w:pPr>
      <w:r w:rsidRPr="007A18D6">
        <w:rPr>
          <w:rFonts w:cs="Arial"/>
          <w:sz w:val="16"/>
          <w:szCs w:val="16"/>
        </w:rPr>
        <w:t>XVII. Información confidencial: la información en posesión de los sujetos obligados que refiera a datos personales; la que se refiere a los secretos bancario, fiduciario, industrial, comercial, fiscal, bursátil y postal cuya titularidad corresponda a particulares, sujetos de derecho internacional o a sujetos obligados cuando no involucren el ejercicio de recursos públicos; así como aquella que presenten los particulares a los sujetos obligados siempre que tengan el derecho a entregarla con ese carácter; y toda aquella información susceptible de ser tutelada por los derechos humanos a la privacidad, intimidad, honor y dignidad, que se encuentra en posesión de alguno de los entes obligados y sobre la que no puede realizarse ningún acto o hecho, sin la autorización debida de los titulares o sus representantes legales;”</w:t>
      </w:r>
    </w:p>
  </w:footnote>
  <w:footnote w:id="10">
    <w:p w14:paraId="21022B37"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“Información Reservada” Diccionario de Transparencia y Acceso a la Información Pública. Instituto Nacional de Transparencia y Acceso a la Información Pública. Primera Edición, Ciudad de México, 2019.</w:t>
      </w:r>
    </w:p>
  </w:footnote>
  <w:footnote w:id="11">
    <w:p w14:paraId="6B40A5F5"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ARTÍCULO 114. La clasificación es el proceso mediante el cual el sujeto obligado determina que la información en su poder actualiza alguno de los supuestos de reserva o confidencialidad, de conformidad con lo dispuesto en el presente Título. Los supuestos de reserva o confidencialidad previstos en las leyes deberán ser acordes con las bases, principios y disposiciones establecidos en esta Ley y, en ningún caso, podrán contravenirla. Los titulares de las Áreas de los sujetos obligados serán los responsables de clasificar la información, de conformidad con lo dispuesto en, la Ley General y esta Ley.</w:t>
      </w:r>
    </w:p>
  </w:footnote>
  <w:footnote w:id="12">
    <w:p w14:paraId="2A2BA510"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ARTÍCULO 159. En caso de que los sujetos obligados consideren que los documentos o la información deba ser clasificada, se sujetará a lo siguiente: El Área deberá remitir la solicitud, así como un escrito en el que funde y motive la clasificación al Comité de Transparencia, mismo que deberá resolver para: </w:t>
      </w:r>
    </w:p>
    <w:p w14:paraId="6768106E"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I. Confirmar la clasificación; </w:t>
      </w:r>
    </w:p>
    <w:p w14:paraId="1E4B3FF4"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II. Modificar la clasificación y otorgar total o parcialmente el acceso a la información, y </w:t>
      </w:r>
    </w:p>
    <w:p w14:paraId="47E12E02"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III. Revocar la clasificación y conceder el acceso a la información. El Comité de Transparencia podrá tener acceso a la información que esté en poder del Área correspondiente, de la cual se haya solicitado su clasificación. La resolución del Comité de Transparencia será notificada al interesado en el plazo de respuesta a la solicitud que establece el artículo 154 de la presente Ley</w:t>
      </w:r>
    </w:p>
  </w:footnote>
  <w:footnote w:id="13">
    <w:p w14:paraId="24AEEFAD"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ARTÍCULO 117. En los casos en que se niegue el acceso a la información, por actualizarse alguno de los supuestos de clasificación, el Comité de Transparencia deberá confirmar, modificar o revocar la decisión. </w:t>
      </w:r>
    </w:p>
    <w:p w14:paraId="662D775E"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w:t>
      </w:r>
    </w:p>
    <w:p w14:paraId="794941D6"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Además, el sujeto obligado deberá, en todo momento, aplicar una prueba de daño. Tratándose de aquella información que actualice los supuestos de clasificación, deberá señalarse el plazo al que estará sujeto la reserva.</w:t>
      </w:r>
    </w:p>
  </w:footnote>
  <w:footnote w:id="14">
    <w:p w14:paraId="0A6FB624"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ARTÍCULO 127. Se considerará reservada aquélla información que conforme a los procedimientos previstos en esta Ley, determinen los comités de transparencia de cada sujeto obligado mediante el acuerdo correspondiente.</w:t>
      </w:r>
    </w:p>
  </w:footnote>
  <w:footnote w:id="15">
    <w:p w14:paraId="7AAB3F3E"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5 D´Ors, Álvaro, Derecho privado romano, Navarra, Eunsa, 1983, p. 426.</w:t>
      </w:r>
    </w:p>
  </w:footnote>
  <w:footnote w:id="16">
    <w:p w14:paraId="16A62842"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La Ley de Acceso a la Información Pública Gubernamental en su Artículo 3o. refiere que los datos personales son: “Cualquier información concerniente a una persona física identificada o identificable”.</w:t>
      </w:r>
    </w:p>
  </w:footnote>
  <w:footnote w:id="17">
    <w:p w14:paraId="7F6333D4"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López Ayllón, Sergio, y Posadas, Alejandro, “Las pruebas de daño e interés público en materia de acceso a la información. Una perspectiva comparada”, Derecho Comparado de la Información, México, enero-junio de 2007, p. 31.</w:t>
      </w:r>
    </w:p>
  </w:footnote>
  <w:footnote w:id="18">
    <w:p w14:paraId="1BC853A3"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Ídem </w:t>
      </w:r>
    </w:p>
  </w:footnote>
  <w:footnote w:id="19">
    <w:p w14:paraId="6F3D655C"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AVERIGUACIÓN PREVIA. LA PRUEBA DE DAÑO PREVISTA EN LAS LEYES FEDERALES Y GENERAL DE TRANSPARENCIA Y ACCESO A LA INFORMACIÓN PÚBLICA, INSTITUIDA PARA DETERMINAR SI SE PERMITE EL ACCESO A LA INFORMACIÓN RESERVADA, ES INAPLICABLE PARA QUIENES SON PARTE DE LA INDAGATORIA, POR LO QUE UTILIZARLA PARA RESTRINGIRLES EL ACCESO A LAS CONSTANCIAS QUE LA INTEGRAN, CONSTITUYE UNA CARGA DESPROPORCIONADA, INCOMPATIBLE CON EL DERECHO DE DEFENSA ADECUADA. Semanario Judicial de la Federación Tesis: I.9º.P.183 P (10ª). Tesis Aislada (constitucional). Tribunales Colegiados de Circuito. Décima Época. Registro número 2016501. Publicación: 23 de marzo de 2018.</w:t>
      </w:r>
    </w:p>
  </w:footnote>
  <w:footnote w:id="20">
    <w:p w14:paraId="21666FC3" w14:textId="77777777" w:rsidR="00AF1E38" w:rsidRPr="007A18D6" w:rsidRDefault="00AF1E38" w:rsidP="004246C0">
      <w:pPr>
        <w:pStyle w:val="Textonotapie"/>
        <w:rPr>
          <w:rFonts w:ascii="Arial" w:eastAsia="Arial Unicode MS"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Estudio Especial </w:t>
      </w:r>
      <w:r w:rsidRPr="007A18D6">
        <w:rPr>
          <w:rFonts w:ascii="Arial" w:eastAsia="Arial Unicode MS" w:hAnsi="Arial" w:cs="Arial"/>
          <w:sz w:val="16"/>
          <w:szCs w:val="16"/>
        </w:rPr>
        <w:t>sobre el Derecho de Acceso a la Información de la Organización de los Estados Americanos, p. 48. Consultado en:</w:t>
      </w:r>
    </w:p>
    <w:p w14:paraId="71DA50B2" w14:textId="77777777" w:rsidR="00AF1E38" w:rsidRPr="007A18D6" w:rsidRDefault="00AF1E38" w:rsidP="004246C0">
      <w:pPr>
        <w:pStyle w:val="Textonotapie"/>
        <w:rPr>
          <w:rFonts w:ascii="Arial" w:eastAsia="Arial Unicode MS" w:hAnsi="Arial" w:cs="Arial"/>
          <w:sz w:val="16"/>
          <w:szCs w:val="16"/>
        </w:rPr>
      </w:pPr>
      <w:r w:rsidRPr="007A18D6">
        <w:rPr>
          <w:rFonts w:ascii="Arial" w:eastAsia="Arial Unicode MS" w:hAnsi="Arial" w:cs="Arial"/>
          <w:sz w:val="16"/>
          <w:szCs w:val="16"/>
        </w:rPr>
        <w:t xml:space="preserve">http:cidh.oas.org/relatoría/section/Estudio%20Especial%20Sobre%20el%20derecho%20de%20Acceso%20a%20la%20Información.pdf </w:t>
      </w:r>
    </w:p>
  </w:footnote>
  <w:footnote w:id="21">
    <w:p w14:paraId="5F56BA18"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Consejo Permanente de la </w:t>
      </w:r>
      <w:r w:rsidRPr="007A18D6">
        <w:rPr>
          <w:rFonts w:ascii="Arial" w:eastAsia="Arial Unicode MS" w:hAnsi="Arial" w:cs="Arial"/>
          <w:sz w:val="16"/>
          <w:szCs w:val="16"/>
        </w:rPr>
        <w:t>Organización de los Estados Americanos, Comisión de Asuntos Jurídicos y Políticos, Recomendaciones sobre acceso a la información (AG/RES.2288 (XXXVII-O/07) de la OEA, p. 14-15, consultado en: http://www.oas.org/dil/esp/ag-res_2288_xxxvii-o-07_esp.pdf</w:t>
      </w:r>
    </w:p>
  </w:footnote>
  <w:footnote w:id="22">
    <w:p w14:paraId="1D2E0742"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Corte Interamericana de Derechos Humanos, </w:t>
      </w:r>
      <w:r w:rsidRPr="007A18D6">
        <w:rPr>
          <w:rFonts w:ascii="Arial" w:eastAsia="Arial Unicode MS" w:hAnsi="Arial" w:cs="Arial"/>
          <w:i/>
          <w:sz w:val="16"/>
          <w:szCs w:val="16"/>
        </w:rPr>
        <w:t xml:space="preserve">Caso Claude Reyes y otros vs. Chile, </w:t>
      </w:r>
      <w:r w:rsidRPr="007A18D6">
        <w:rPr>
          <w:rFonts w:ascii="Arial" w:eastAsia="Arial Unicode MS" w:hAnsi="Arial" w:cs="Arial"/>
          <w:sz w:val="16"/>
          <w:szCs w:val="16"/>
        </w:rPr>
        <w:t xml:space="preserve">Sentencia del 19 de septiembre de 2006, Serie C, No. 151, párrafo 121-122, consultado en http:www.corteidh.or.cr/docs/casos/artículos/serie_151_esp.pdf. </w:t>
      </w:r>
    </w:p>
  </w:footnote>
  <w:footnote w:id="23">
    <w:p w14:paraId="09D92EF8"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ARTÍCULO 118. En la aplicación de la prueba de daño, el sujeto obligado deberá justificar que: I. La divulgación de la información representa un riesgo real, demostrable e identificable de perjuicio significativo al interés público; II. El riesgo de perjuicio que supondría la divulgación supera el interés público general de que se difunda, y III. La limitación se adecua al principio de proporcionalidad y representa el medio menos restrictivo disponible para evitar el perjuicio.</w:t>
      </w:r>
    </w:p>
  </w:footnote>
  <w:footnote w:id="24">
    <w:p w14:paraId="6BEB9836"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ARTÍCULO 119. Los sujetos obligados deberán aplicar, de manera restrictiva y limitada, las excepciones al derecho de acceso a la información prevista en el presente Título y deberán acreditar su procedencia. La carga de la prueba para justificar toda negativa de acceso a la información, por actualizarse cualquiera de los supuestos de reserva previstos, corresponderá a los sujetos obligados.</w:t>
      </w:r>
    </w:p>
  </w:footnote>
  <w:footnote w:id="25">
    <w:p w14:paraId="483B51B1" w14:textId="77777777" w:rsidR="00AF1E38" w:rsidRPr="007A18D6" w:rsidRDefault="00AF1E38" w:rsidP="004246C0">
      <w:pPr>
        <w:spacing w:after="0" w:line="240" w:lineRule="auto"/>
        <w:rPr>
          <w:rFonts w:ascii="Arial" w:eastAsia="Times New Roman" w:hAnsi="Arial" w:cs="Arial"/>
          <w:sz w:val="16"/>
          <w:szCs w:val="16"/>
          <w:lang w:eastAsia="es-ES"/>
        </w:rPr>
      </w:pPr>
      <w:r w:rsidRPr="007A18D6">
        <w:rPr>
          <w:rStyle w:val="Refdenotaalpie"/>
          <w:rFonts w:ascii="Arial" w:hAnsi="Arial" w:cs="Arial"/>
          <w:sz w:val="16"/>
          <w:szCs w:val="16"/>
        </w:rPr>
        <w:footnoteRef/>
      </w:r>
      <w:r w:rsidRPr="007A18D6">
        <w:rPr>
          <w:rFonts w:ascii="Arial" w:hAnsi="Arial" w:cs="Arial"/>
          <w:sz w:val="16"/>
          <w:szCs w:val="16"/>
        </w:rPr>
        <w:t xml:space="preserve"> </w:t>
      </w:r>
      <w:r w:rsidRPr="007A18D6">
        <w:rPr>
          <w:rFonts w:ascii="Arial" w:eastAsia="Times New Roman" w:hAnsi="Arial" w:cs="Arial"/>
          <w:sz w:val="16"/>
          <w:szCs w:val="16"/>
          <w:lang w:eastAsia="es-ES"/>
        </w:rPr>
        <w:t>ARTÍCULO 129. Como información reservada podrá clasificarse aquella cuya publicación:[…]</w:t>
      </w:r>
    </w:p>
  </w:footnote>
  <w:footnote w:id="26">
    <w:p w14:paraId="26B9D9BB"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ARTÍCULO 120. La clasificación de la información se llevará a cabo en el momento en que: </w:t>
      </w:r>
    </w:p>
    <w:p w14:paraId="42E29A06"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I. Se reciba una solicitud de acceso a la información; </w:t>
      </w:r>
    </w:p>
    <w:p w14:paraId="0A3BAFC6"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II. Se determine mediante resolución de autoridad competente, o </w:t>
      </w:r>
    </w:p>
    <w:p w14:paraId="2ED2FF5F"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III. Se generen versiones públicas para dar cumplimiento a las obligaciones de transparencia previstas en esta Ley.</w:t>
      </w:r>
    </w:p>
  </w:footnote>
  <w:footnote w:id="27">
    <w:p w14:paraId="6F9B9B14"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ARTÍCULO 129. Como información reservada podrá clasificarse aquella cuya publicación: </w:t>
      </w:r>
    </w:p>
    <w:p w14:paraId="3F99379D"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I. Comprometa la seguridad pública y cuente con un propósito genuino y un efecto demostrable; </w:t>
      </w:r>
    </w:p>
    <w:p w14:paraId="73F76ADB"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II. Pueda menoscabar la conducción de las negociaciones y relaciones internacionales; </w:t>
      </w:r>
    </w:p>
    <w:p w14:paraId="75CB582E"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III. Se entregue al Estado mexicano expresamente con ese carácter o el de confidencial por otro u otros sujetos de derecho internacional, excepto cuando se trate de violaciones graves de derechos humanos o delitos de lesa humanidad de conformidad con el derecho internacional; </w:t>
      </w:r>
    </w:p>
    <w:p w14:paraId="1502CA09"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IV. Pueda poner en riesgo la vida, seguridad o salud de una persona física; </w:t>
      </w:r>
    </w:p>
    <w:p w14:paraId="270D6F59"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V. Obstruya las actividades de verificación, inspección y auditoría relativas al cumplimiento de las leyes o afecte la recaudación de contribuciones; </w:t>
      </w:r>
    </w:p>
    <w:p w14:paraId="49756606"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VI. Obstruya la prevención o persecución de los delitos; </w:t>
      </w:r>
    </w:p>
    <w:p w14:paraId="37D7D2F7"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VII. La que contenga las opiniones, recomendaciones o puntos de vista que formen parte del proceso deliberativo de los servidores públicos, hasta en tanto no sea adoptada la decisión definitiva, la cual deberá estar documentada; </w:t>
      </w:r>
    </w:p>
    <w:p w14:paraId="6DC51EF3"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VIII. Obstruya los procedimientos para fincar responsabilidad a los Servidores Públicos, en tanto no se haya dictado la resolución administrativa; </w:t>
      </w:r>
    </w:p>
    <w:p w14:paraId="3E414C95"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IX. Afecte los derechos del debido proceso; </w:t>
      </w:r>
    </w:p>
    <w:p w14:paraId="6A23D727"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X. Vulnere la conducción de los Expedientes judiciales o de los procedimientos administrativos seguidos en forma de juicio, en tanto no hayan causado estado; </w:t>
      </w:r>
    </w:p>
    <w:p w14:paraId="7C01EA00"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XI. Se encuentre contenida dentro de las investigaciones de hechos que la ley señale como delitos y se tramiten ante el Ministerio Público, y </w:t>
      </w:r>
    </w:p>
    <w:p w14:paraId="707B0559"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XII. Las que por disposición expresa de una ley tengan tal carácter, siempre que sean acordes con las bases, principios y disposiciones establecidos en esta Ley y no la contravengan; así como las previstas en tratados internacionales.</w:t>
      </w:r>
    </w:p>
  </w:footnote>
  <w:footnote w:id="28">
    <w:p w14:paraId="3A891135"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Tesis aislada 1a. VIII/2012 (10a.). INFORMACIÓN RESERVADA. LÍMITE AL DERECHO DE ACCESO A LA INFORMACIÓN (LEY FEDERAL DE TRANSPARENCIA Y ACCESO A LA INFORMACIÓN PÚBLICA GUBERNAMENTAL). Primera Sala. Semanario Judicial de la Federación y su Gaceta, Décima Época, Libro V, Tomo 1, febrero de 2012, página: 656, número de registro: 2000234.</w:t>
      </w:r>
    </w:p>
  </w:footnote>
  <w:footnote w:id="29">
    <w:p w14:paraId="3765EB0E"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ARTÍCULO 128. El acuerdo que clasifique la información como reservada deberá contener, cuando menos:</w:t>
      </w:r>
    </w:p>
    <w:p w14:paraId="5BF758E4"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I. La fuente y el archivo donde se encuentra la información;</w:t>
      </w:r>
    </w:p>
    <w:p w14:paraId="3B1A16BE"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II. La fundamentación y motivación del acuerdo;</w:t>
      </w:r>
    </w:p>
    <w:p w14:paraId="72E750C9"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III. El documento, la parte o las partes de los mismos, que se reservan;</w:t>
      </w:r>
    </w:p>
    <w:p w14:paraId="2F132016"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IV. El plazo por el que se reserva la información;</w:t>
      </w:r>
    </w:p>
    <w:p w14:paraId="0BC2C995"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V. La designación de la autoridad responsable de su protección;</w:t>
      </w:r>
    </w:p>
    <w:p w14:paraId="4ABC0796"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VI. Número de identificación del acuerdo de reserva;</w:t>
      </w:r>
    </w:p>
    <w:p w14:paraId="2A7BD0A6"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VII. La aplicación de la prueba del daño;</w:t>
      </w:r>
    </w:p>
    <w:p w14:paraId="6B002AE5"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VIII. Fecha del acuerdo de clasificación, y</w:t>
      </w:r>
    </w:p>
    <w:p w14:paraId="007A950C"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IX. La rúbrica de los miembros del Comité.</w:t>
      </w:r>
    </w:p>
  </w:footnote>
  <w:footnote w:id="30">
    <w:p w14:paraId="79B49897"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ARTÍCULO 122. Los sujetos obligados no podrán emitir acuerdos de carácter general ni particular que clasifiquen Documentos o información como reservada. La clasificación podrá establecerse de manera parcial o total de acuerdo al contenido de la información del Documento y deberá estar acorde con la actualización de los supuestos definidos en el presente Título como información clasificada.</w:t>
      </w:r>
    </w:p>
    <w:p w14:paraId="204ED1A5"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En ningún caso se podrán clasificar Documentos antes de que se genere la información.</w:t>
      </w:r>
    </w:p>
  </w:footnote>
  <w:footnote w:id="31">
    <w:p w14:paraId="0ACD5E78"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Semanario Judicial de la Federación y su Gaceta, Novena Época, Tomo XV, Marzo de 2002, página 1284, Tribunales Colegiados de Circuito, Tesis</w:t>
      </w:r>
      <w:r w:rsidRPr="007A18D6">
        <w:rPr>
          <w:rFonts w:ascii="Arial" w:eastAsiaTheme="minorHAnsi" w:hAnsi="Arial" w:cs="Arial"/>
          <w:sz w:val="16"/>
          <w:szCs w:val="16"/>
          <w:lang w:eastAsia="en-US"/>
        </w:rPr>
        <w:t xml:space="preserve"> </w:t>
      </w:r>
      <w:r w:rsidRPr="007A18D6">
        <w:rPr>
          <w:rFonts w:ascii="Arial" w:hAnsi="Arial" w:cs="Arial"/>
          <w:sz w:val="16"/>
          <w:szCs w:val="16"/>
        </w:rPr>
        <w:t>I.4o.A.341 A, Registro: 187637.</w:t>
      </w:r>
    </w:p>
  </w:footnote>
  <w:footnote w:id="32">
    <w:p w14:paraId="03ADC590" w14:textId="77777777" w:rsidR="00AF1E38" w:rsidRPr="007A18D6" w:rsidRDefault="00AF1E38" w:rsidP="004246C0">
      <w:pPr>
        <w:pStyle w:val="Textonotapie"/>
        <w:rPr>
          <w:rFonts w:ascii="Arial" w:hAnsi="Arial" w:cs="Arial"/>
          <w:sz w:val="16"/>
          <w:szCs w:val="16"/>
          <w:lang w:val="es-ES"/>
        </w:rPr>
      </w:pPr>
      <w:r w:rsidRPr="007A18D6">
        <w:rPr>
          <w:rStyle w:val="Refdenotaalpie"/>
          <w:rFonts w:ascii="Arial" w:hAnsi="Arial" w:cs="Arial"/>
          <w:sz w:val="16"/>
          <w:szCs w:val="16"/>
        </w:rPr>
        <w:footnoteRef/>
      </w:r>
      <w:r w:rsidRPr="007A18D6">
        <w:rPr>
          <w:rFonts w:ascii="Arial" w:hAnsi="Arial" w:cs="Arial"/>
          <w:sz w:val="16"/>
          <w:szCs w:val="16"/>
        </w:rPr>
        <w:t xml:space="preserve"> </w:t>
      </w:r>
      <w:r w:rsidRPr="007A18D6">
        <w:rPr>
          <w:rFonts w:ascii="Arial" w:eastAsia="Calibri" w:hAnsi="Arial" w:cs="Arial"/>
          <w:sz w:val="16"/>
          <w:szCs w:val="16"/>
          <w:lang w:eastAsia="en-US"/>
        </w:rPr>
        <w:t xml:space="preserve">Artículo. 16. Nadie puede ser molestado en su persona, familia, domicilio, papeles o posesiones, sino en virtud de mandamiento escrito de la autoridad competente, que funde y motive la causa legal del procedimiento.” </w:t>
      </w:r>
      <w:r w:rsidRPr="007A18D6">
        <w:rPr>
          <w:rFonts w:ascii="Arial" w:hAnsi="Arial" w:cs="Arial"/>
          <w:sz w:val="16"/>
          <w:szCs w:val="16"/>
        </w:rPr>
        <w:t>Artículo 16, de la Constitución Política de los Estados Unidos Mexicanos, con última reforma publicada en el Diario Oficial de la Federación, el 17 diecisiete de enero de 2025 dos mil veinticinco.</w:t>
      </w:r>
    </w:p>
  </w:footnote>
  <w:footnote w:id="33">
    <w:p w14:paraId="3C80DFFB"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ARTÍCULO 164. Son elementos del acto administrativo: </w:t>
      </w:r>
    </w:p>
    <w:p w14:paraId="371D82A4"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I. Ser expedido por autoridades competentes, a través de servidor público u órgano colegiado facultados para tal efecto, y en términos de las disposiciones jurídicas aplicables; </w:t>
      </w:r>
    </w:p>
    <w:p w14:paraId="02299AFC"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II. Que su objeto esté previsto por el ordenamiento jurídico aplicable, determinado o determinable y preciso en cuanto a las circunstancias de tiempo y lugar; </w:t>
      </w:r>
    </w:p>
    <w:p w14:paraId="112B5B04"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III. Cumplir con la finalidad de interés público, derivado de las normas jurídicas que regulen la materia; </w:t>
      </w:r>
    </w:p>
    <w:p w14:paraId="474F550A"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IV. Constar por escrito, indicando la autoridad de que emana; </w:t>
      </w:r>
    </w:p>
    <w:p w14:paraId="497E2E09"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V. Estar fundado y motivado; y</w:t>
      </w:r>
    </w:p>
    <w:p w14:paraId="08B8DB1A"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VI. Ser expedido sin que medie error de hecho o de derecho sobre el objeto, causa o motivo, o fin del acto y su emisión, VII. Ser expedido sin que medie dolo o violencia en su emisión.</w:t>
      </w:r>
    </w:p>
  </w:footnote>
  <w:footnote w:id="34">
    <w:p w14:paraId="36BA2107"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ARTÍCULO 165. Son requisitos del acto administrativo: </w:t>
      </w:r>
    </w:p>
    <w:p w14:paraId="1D91E64E"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I. Que cumpla con las formalidades del procedimiento; </w:t>
      </w:r>
    </w:p>
    <w:p w14:paraId="013D133C"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II. Que se encuentre adecuadamente fundado y motivado; </w:t>
      </w:r>
    </w:p>
    <w:p w14:paraId="1F17908F"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III. Que se expida de manera congruente con lo solicitado y resolver expresamente todos los puntos propuestos por el interesado o previstos por las normas. </w:t>
      </w:r>
    </w:p>
    <w:p w14:paraId="6611746C"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IV. Que en su expedición se señale lugar y fecha de emisión; </w:t>
      </w:r>
    </w:p>
    <w:p w14:paraId="46AC3A99"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 xml:space="preserve">V. Tratándose de actos administrativos que deban notificarse deberá hacerse mención de la oficina en que se encuentra y pueda ser consultado el expediente respectivo, y </w:t>
      </w:r>
    </w:p>
    <w:p w14:paraId="5850DC31" w14:textId="77777777" w:rsidR="00AF1E38" w:rsidRPr="007A18D6" w:rsidRDefault="00AF1E38" w:rsidP="004246C0">
      <w:pPr>
        <w:pStyle w:val="Textonotapie"/>
        <w:rPr>
          <w:rFonts w:ascii="Arial" w:hAnsi="Arial" w:cs="Arial"/>
          <w:sz w:val="16"/>
          <w:szCs w:val="16"/>
        </w:rPr>
      </w:pPr>
      <w:r w:rsidRPr="007A18D6">
        <w:rPr>
          <w:rFonts w:ascii="Arial" w:hAnsi="Arial" w:cs="Arial"/>
          <w:sz w:val="16"/>
          <w:szCs w:val="16"/>
        </w:rPr>
        <w:t>VI. Tratándose de actos administrativos recurribles, deberá mencionarse el recurso que proceda y el término con que se cuenta para interponerlo, así como la autoridad ante la cual puede ser presentado. […]”.</w:t>
      </w:r>
    </w:p>
  </w:footnote>
  <w:footnote w:id="35">
    <w:p w14:paraId="5B1B6258" w14:textId="4C218E1B" w:rsidR="00AF1E38" w:rsidRPr="007A18D6" w:rsidRDefault="00AF1E38" w:rsidP="001527F4">
      <w:pPr>
        <w:pStyle w:val="Estilo"/>
        <w:rPr>
          <w:rFonts w:cs="Arial"/>
          <w:sz w:val="16"/>
          <w:szCs w:val="16"/>
        </w:rPr>
      </w:pPr>
      <w:r w:rsidRPr="007A18D6">
        <w:rPr>
          <w:rStyle w:val="Refdenotaalpie"/>
          <w:rFonts w:cs="Arial"/>
          <w:sz w:val="16"/>
          <w:szCs w:val="16"/>
        </w:rPr>
        <w:footnoteRef/>
      </w:r>
      <w:r w:rsidRPr="007A18D6">
        <w:rPr>
          <w:rFonts w:cs="Arial"/>
          <w:sz w:val="16"/>
          <w:szCs w:val="16"/>
        </w:rPr>
        <w:t xml:space="preserve"> ARTÍCULO 129. Como información reservada podrá clasificarse aquella cuya publicación:</w:t>
      </w:r>
    </w:p>
  </w:footnote>
  <w:footnote w:id="36">
    <w:p w14:paraId="3D9C13FA" w14:textId="78C68710" w:rsidR="00AF1E38" w:rsidRPr="007A18D6" w:rsidRDefault="00AF1E38" w:rsidP="001527F4">
      <w:pPr>
        <w:pStyle w:val="Estilo"/>
        <w:rPr>
          <w:rFonts w:cs="Arial"/>
          <w:sz w:val="16"/>
          <w:szCs w:val="16"/>
        </w:rPr>
      </w:pPr>
      <w:r w:rsidRPr="007A18D6">
        <w:rPr>
          <w:rStyle w:val="Refdenotaalpie"/>
          <w:rFonts w:cs="Arial"/>
          <w:sz w:val="16"/>
          <w:szCs w:val="16"/>
        </w:rPr>
        <w:footnoteRef/>
      </w:r>
      <w:r w:rsidRPr="007A18D6">
        <w:rPr>
          <w:rFonts w:cs="Arial"/>
          <w:sz w:val="16"/>
          <w:szCs w:val="16"/>
        </w:rPr>
        <w:t xml:space="preserve"> XI. Se encuentre contenida dentro de las investigaciones de hechos que la ley señale como delitos y se tramiten ante el Ministerio Público, y</w:t>
      </w:r>
    </w:p>
  </w:footnote>
  <w:footnote w:id="37">
    <w:p w14:paraId="3398470D" w14:textId="1B6C242F" w:rsidR="00AF1E38" w:rsidRPr="007A18D6" w:rsidRDefault="00AF1E38" w:rsidP="001527F4">
      <w:pPr>
        <w:pStyle w:val="Estilo"/>
        <w:rPr>
          <w:rFonts w:cs="Arial"/>
          <w:sz w:val="16"/>
          <w:szCs w:val="16"/>
        </w:rPr>
      </w:pPr>
      <w:r w:rsidRPr="007A18D6">
        <w:rPr>
          <w:rStyle w:val="Refdenotaalpie"/>
          <w:rFonts w:cs="Arial"/>
          <w:sz w:val="16"/>
          <w:szCs w:val="16"/>
        </w:rPr>
        <w:footnoteRef/>
      </w:r>
      <w:r w:rsidRPr="007A18D6">
        <w:rPr>
          <w:rFonts w:cs="Arial"/>
          <w:sz w:val="16"/>
          <w:szCs w:val="16"/>
        </w:rPr>
        <w:t xml:space="preserve"> XII. Las que por disposición expresa de una ley tengan tal carácter, siempre que sean acordes con las bases, principios y disposiciones establecidos en esta Ley y no la contravengan; así como las previstas en tratados internacionales.</w:t>
      </w:r>
    </w:p>
  </w:footnote>
  <w:footnote w:id="38">
    <w:p w14:paraId="311C311F" w14:textId="77777777" w:rsidR="00AF1E38" w:rsidRPr="007A18D6" w:rsidRDefault="00AF1E38" w:rsidP="004246C0">
      <w:pPr>
        <w:pStyle w:val="Estilo"/>
        <w:rPr>
          <w:rFonts w:cs="Arial"/>
          <w:sz w:val="16"/>
          <w:szCs w:val="16"/>
        </w:rPr>
      </w:pPr>
      <w:r w:rsidRPr="007A18D6">
        <w:rPr>
          <w:rStyle w:val="Refdenotaalpie"/>
          <w:rFonts w:cs="Arial"/>
          <w:sz w:val="16"/>
          <w:szCs w:val="16"/>
        </w:rPr>
        <w:footnoteRef/>
      </w:r>
      <w:r w:rsidRPr="007A18D6">
        <w:rPr>
          <w:rFonts w:cs="Arial"/>
          <w:sz w:val="16"/>
          <w:szCs w:val="16"/>
        </w:rPr>
        <w:t xml:space="preserve"> ARTÍCULO 123. Los lineamientos generales que emita el Sistema Nacional en materia de clasificación de la información reservada y confidencial y, para la elaboración de versiones públicas, serán de observancia obligatoria para los sujetos obligados.</w:t>
      </w:r>
    </w:p>
  </w:footnote>
  <w:footnote w:id="39">
    <w:p w14:paraId="21954CA1"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“REGLAMENTO” Diccionario Multimedia “DICCIONARIO JURÍDICO 2000”, Editorial Desarrollo Jurídico Copyright 2000, México 2000, DJ2K-2205.</w:t>
      </w:r>
    </w:p>
  </w:footnote>
  <w:footnote w:id="40">
    <w:p w14:paraId="77A97235"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FRAGA, Gabino. "DERECHO ADMINISTRATIVO" vigésima Octava Edición, Editorial Porrúa, México 1989. pág 104.</w:t>
      </w:r>
    </w:p>
  </w:footnote>
  <w:footnote w:id="41">
    <w:p w14:paraId="3A8F6486"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SERRA ROJAS, Andrés, “Derecho Administrativo segundo curso” Decimonovena Edición, Porrúa, México 1999.</w:t>
      </w:r>
    </w:p>
  </w:footnote>
  <w:footnote w:id="42">
    <w:p w14:paraId="2A103987"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BURGOA ORIHUELA, Ignacio, “Derecho Constitucional Mexicano” Novena Edición, Porrúa México 1994. pág. 780.</w:t>
      </w:r>
    </w:p>
  </w:footnote>
  <w:footnote w:id="43">
    <w:p w14:paraId="4B7BC982"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CORONADO, Mariano. "Elementos de Derecho constitucional". Citado por CERRA ROJAS, Andres, Op. cit. página 222.</w:t>
      </w:r>
    </w:p>
  </w:footnote>
  <w:footnote w:id="44">
    <w:p w14:paraId="66EE556B"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GORDILLO AGUSTÍN. Citado por MARTÍNEZ MORALES Rafaél I. "Derecho Administrativo 1er y 2do. Cursos" Cuarta Edición, Editorial Oxford University Press, pág 308.</w:t>
      </w:r>
    </w:p>
  </w:footnote>
  <w:footnote w:id="45">
    <w:p w14:paraId="604FD7DD"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Cfr. Jurisprudencia número I. 3o. A. J/25 , visible en la Octava Época, de la Gaceta del Semanario Judicial de la Federación, Libro 13, Enero 1991, Tomo VII, página 83. Instancia: Tribunales Colegiados de Circuito, con Registro electrónico:  223611.</w:t>
      </w:r>
    </w:p>
  </w:footnote>
  <w:footnote w:id="46">
    <w:p w14:paraId="72192BFF"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Cfr. Tesis Aislada, visible en la Quinta Época, de la Gaceta del Semanario Judicial de la Federación, Tomo CXXIX, página 762 . Instancia: Segunda Sala de la Suprema Corte de Justicia de la Nación, con Registro electrónico:  316251</w:t>
      </w:r>
    </w:p>
  </w:footnote>
  <w:footnote w:id="47">
    <w:p w14:paraId="4AB9D95C"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Cfr. Tesis Aislada, visible en la Séptima Época, de la Gaceta del Semanario Judicial de la Federación, Volumen 103-108, Sexta Parte, página 198. Instancia: Tribunales Colegiados de Circuito, con Registro electrónico:  252861</w:t>
      </w:r>
    </w:p>
  </w:footnote>
  <w:footnote w:id="48">
    <w:p w14:paraId="56D484D9"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Cfr. Tesis Aislada, número:  P. XIX/96, visible en la Novena Época, de la Gaceta del Semanario Judicial de la Federación, Tomo III, Marzo de 1996, página 465 . Instancia: Tribunales Colegiados de Circuito, con Registro electrónico:  200184</w:t>
      </w:r>
    </w:p>
  </w:footnote>
  <w:footnote w:id="49">
    <w:p w14:paraId="31F95E49"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Semanario Judicial de la Federación y su Gaceta, Novena Época, </w:t>
      </w:r>
      <w:r w:rsidRPr="007A18D6">
        <w:rPr>
          <w:rStyle w:val="ng-star-inserted"/>
          <w:rFonts w:ascii="Arial" w:hAnsi="Arial" w:cs="Arial"/>
          <w:sz w:val="16"/>
          <w:szCs w:val="16"/>
        </w:rPr>
        <w:t>Tomo III, Marzo de 1996</w:t>
      </w:r>
      <w:r w:rsidRPr="007A18D6">
        <w:rPr>
          <w:rFonts w:ascii="Arial" w:hAnsi="Arial" w:cs="Arial"/>
          <w:sz w:val="16"/>
          <w:szCs w:val="16"/>
        </w:rPr>
        <w:t>, Pleno de la Suprema Corte de Justicia de la Nación, p. 465, Tesis: P. XX/96, Registro: 200185.</w:t>
      </w:r>
    </w:p>
  </w:footnote>
  <w:footnote w:id="50">
    <w:p w14:paraId="46A2EE1C"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Cfr. Tesis Aislada, número:  P. XIX/96, visible en la Séptima Época, de la Gaceta del Semanario Judicial de la Federación, Volumen 61, Sexta Parte, página 53. Instancia: Tribunales Colegiados de Circuito, con Registro electrónico:  255178.</w:t>
      </w:r>
    </w:p>
  </w:footnote>
  <w:footnote w:id="51">
    <w:p w14:paraId="73958EF8" w14:textId="77777777" w:rsidR="00AF1E38" w:rsidRPr="007A18D6" w:rsidRDefault="00AF1E38" w:rsidP="004246C0">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w:t>
      </w:r>
      <w:r w:rsidRPr="007A18D6">
        <w:rPr>
          <w:rFonts w:ascii="Arial" w:hAnsi="Arial" w:cs="Arial"/>
          <w:i/>
          <w:sz w:val="16"/>
          <w:szCs w:val="16"/>
        </w:rPr>
        <w:t>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w:t>
      </w:r>
      <w:r w:rsidRPr="007A18D6">
        <w:rPr>
          <w:rFonts w:ascii="Arial" w:hAnsi="Arial" w:cs="Arial"/>
          <w:sz w:val="16"/>
          <w:szCs w:val="16"/>
        </w:rPr>
        <w:t>[…]” Constitución Política de los Estados Unidos Mexicanos, con última Reforma publicada en el Diario Oficial de la Federación, el quince de octubre de dos mil veinticinco.</w:t>
      </w:r>
    </w:p>
  </w:footnote>
  <w:footnote w:id="52">
    <w:p w14:paraId="4B9AC863" w14:textId="77777777" w:rsidR="00AF1E38" w:rsidRPr="007A18D6" w:rsidRDefault="00AF1E38" w:rsidP="004246C0">
      <w:pPr>
        <w:spacing w:after="0" w:line="240" w:lineRule="auto"/>
        <w:jc w:val="both"/>
        <w:rPr>
          <w:rFonts w:ascii="Arial" w:eastAsia="Times New Roman" w:hAnsi="Arial" w:cs="Arial"/>
          <w:sz w:val="16"/>
          <w:szCs w:val="16"/>
          <w:lang w:eastAsia="es-MX"/>
        </w:rPr>
      </w:pPr>
      <w:r w:rsidRPr="007A18D6">
        <w:rPr>
          <w:rStyle w:val="Refdenotaalpie"/>
          <w:rFonts w:ascii="Arial" w:hAnsi="Arial" w:cs="Arial"/>
          <w:sz w:val="16"/>
          <w:szCs w:val="16"/>
        </w:rPr>
        <w:footnoteRef/>
      </w:r>
      <w:r w:rsidRPr="007A18D6">
        <w:rPr>
          <w:rFonts w:ascii="Arial" w:hAnsi="Arial" w:cs="Arial"/>
          <w:sz w:val="16"/>
          <w:szCs w:val="16"/>
        </w:rPr>
        <w:t xml:space="preserve"> “</w:t>
      </w:r>
      <w:r w:rsidRPr="007A18D6">
        <w:rPr>
          <w:rFonts w:ascii="Arial" w:eastAsia="Times New Roman" w:hAnsi="Arial" w:cs="Arial"/>
          <w:sz w:val="16"/>
          <w:szCs w:val="16"/>
          <w:lang w:eastAsia="es-MX"/>
        </w:rPr>
        <w:t>PRINCIPIO DE PROGRESIVIDAD DE LOS DERECHOS HUMANOS. LA PROHIBICIÓN QUE TIENEN LAS AUTORIDADES DEL ESTADO MEXICANO DE ADOPTAR MEDIDAS REGRESIVAS NO ES ABSOLUTA, PUES EXCEPCIONALMENTE ÉSTAS SON ADMISIBLES SI SE JUSTIFICAN PLENAMENTE.</w:t>
      </w:r>
    </w:p>
    <w:p w14:paraId="0C066764" w14:textId="77777777" w:rsidR="00AF1E38" w:rsidRPr="007A18D6" w:rsidRDefault="00AF1E38" w:rsidP="004246C0">
      <w:pPr>
        <w:spacing w:after="0" w:line="240" w:lineRule="auto"/>
        <w:jc w:val="both"/>
        <w:rPr>
          <w:rFonts w:ascii="Arial" w:eastAsia="Times New Roman" w:hAnsi="Arial" w:cs="Arial"/>
          <w:sz w:val="16"/>
          <w:szCs w:val="16"/>
          <w:lang w:eastAsia="es-MX"/>
        </w:rPr>
      </w:pPr>
      <w:r w:rsidRPr="007A18D6">
        <w:rPr>
          <w:rFonts w:ascii="Arial" w:eastAsia="Times New Roman" w:hAnsi="Arial" w:cs="Arial"/>
          <w:sz w:val="16"/>
          <w:szCs w:val="16"/>
          <w:lang w:eastAsia="es-MX"/>
        </w:rPr>
        <w:t xml:space="preserve">El principio referido impone al Estado, entre otras cuestiones, la prohibición de regresividad, la cual no es absoluta y puede haber circunstancias que justifiquen una regresión en cuanto al alcance y tutela de un determinado derecho fundamental. Sin embargo, dichas circunstancias están sujetas a un escrutinio estricto, pues implican la restricción de un derecho humano. En este sentido, </w:t>
      </w:r>
      <w:r w:rsidRPr="007A18D6">
        <w:rPr>
          <w:rFonts w:ascii="Arial" w:eastAsia="Times New Roman" w:hAnsi="Arial" w:cs="Arial"/>
          <w:b/>
          <w:sz w:val="16"/>
          <w:szCs w:val="16"/>
          <w:lang w:eastAsia="es-MX"/>
        </w:rPr>
        <w:t>corresponde a la autoridad que pretende realizar una medida regresiva</w:t>
      </w:r>
      <w:r w:rsidRPr="007A18D6">
        <w:rPr>
          <w:rFonts w:ascii="Arial" w:eastAsia="Times New Roman" w:hAnsi="Arial" w:cs="Arial"/>
          <w:sz w:val="16"/>
          <w:szCs w:val="16"/>
          <w:lang w:eastAsia="es-MX"/>
        </w:rPr>
        <w:t xml:space="preserve"> (legislativa, administrativa o, incluso, judicial) </w:t>
      </w:r>
      <w:r w:rsidRPr="007A18D6">
        <w:rPr>
          <w:rFonts w:ascii="Arial" w:eastAsia="Times New Roman" w:hAnsi="Arial" w:cs="Arial"/>
          <w:b/>
          <w:sz w:val="16"/>
          <w:szCs w:val="16"/>
          <w:lang w:eastAsia="es-MX"/>
        </w:rPr>
        <w:t>justificar plenamente esa decisión</w:t>
      </w:r>
      <w:r w:rsidRPr="007A18D6">
        <w:rPr>
          <w:rFonts w:ascii="Arial" w:eastAsia="Times New Roman" w:hAnsi="Arial" w:cs="Arial"/>
          <w:sz w:val="16"/>
          <w:szCs w:val="16"/>
          <w:lang w:eastAsia="es-MX"/>
        </w:rPr>
        <w:t xml:space="preserve">. En efecto, en virtud de que el artículo </w:t>
      </w:r>
      <w:hyperlink r:id="rId2" w:history="1">
        <w:r w:rsidRPr="007A18D6">
          <w:rPr>
            <w:rFonts w:ascii="Arial" w:eastAsia="Times New Roman" w:hAnsi="Arial" w:cs="Arial"/>
            <w:b/>
            <w:bCs/>
            <w:color w:val="0000FF"/>
            <w:sz w:val="16"/>
            <w:szCs w:val="16"/>
            <w:u w:val="single"/>
            <w:lang w:eastAsia="es-MX"/>
          </w:rPr>
          <w:t>1o. de la Constitución Política de los Estados Unidos Mexicanos</w:t>
        </w:r>
      </w:hyperlink>
      <w:r w:rsidRPr="007A18D6">
        <w:rPr>
          <w:rFonts w:ascii="Arial" w:eastAsia="Times New Roman" w:hAnsi="Arial" w:cs="Arial"/>
          <w:sz w:val="16"/>
          <w:szCs w:val="16"/>
          <w:lang w:eastAsia="es-MX"/>
        </w:rPr>
        <w:t xml:space="preserve"> impone a todas las autoridades del Estado Mexicano la obligación de respetar el principio de progresividad, </w:t>
      </w:r>
      <w:r w:rsidRPr="007A18D6">
        <w:rPr>
          <w:rFonts w:ascii="Arial" w:eastAsia="Times New Roman" w:hAnsi="Arial" w:cs="Arial"/>
          <w:b/>
          <w:sz w:val="16"/>
          <w:szCs w:val="16"/>
          <w:lang w:eastAsia="es-MX"/>
        </w:rPr>
        <w:t>cuando cualquier autoridad, en el ámbito de su competencia, adopta una medida regresiva en perjuicio de un derecho humano y alega para justificar su actuación</w:t>
      </w:r>
      <w:r w:rsidRPr="007A18D6">
        <w:rPr>
          <w:rFonts w:ascii="Arial" w:eastAsia="Times New Roman" w:hAnsi="Arial" w:cs="Arial"/>
          <w:sz w:val="16"/>
          <w:szCs w:val="16"/>
          <w:lang w:eastAsia="es-MX"/>
        </w:rPr>
        <w:t xml:space="preserve">, por ejemplo, la falta de recursos, </w:t>
      </w:r>
      <w:r w:rsidRPr="007A18D6">
        <w:rPr>
          <w:rFonts w:ascii="Arial" w:eastAsia="Times New Roman" w:hAnsi="Arial" w:cs="Arial"/>
          <w:b/>
          <w:sz w:val="16"/>
          <w:szCs w:val="16"/>
          <w:lang w:eastAsia="es-MX"/>
        </w:rPr>
        <w:t>en ella recae la carga de probar fehacientemente esa situación</w:t>
      </w:r>
      <w:r w:rsidRPr="007A18D6">
        <w:rPr>
          <w:rFonts w:ascii="Arial" w:eastAsia="Times New Roman" w:hAnsi="Arial" w:cs="Arial"/>
          <w:sz w:val="16"/>
          <w:szCs w:val="16"/>
          <w:lang w:eastAsia="es-MX"/>
        </w:rPr>
        <w:t xml:space="preserve">, es decir, no sólo la carencia de recursos, sino que realizó todos los esfuerzos posibles para utilizar los recursos a su disposición, en el entendido de que las acciones y omisiones que impliquen regresión en el alcance y la tutela de un derecho humano sólo pueden justificarse si: a) se acredita la falta de recursos; b) se demuestra que se realizaron todos los esfuerzos necesarios para obtenerlos, sin éxito; y, c) se demuestra que se aplicó el máximo de los recursos o que los recursos de que se disponía se aplicaron a tutelar otro derecho humano (y no cualquier objetivo social), y que la importancia relativa de satisfacerlo prioritariamente, era mayor. </w:t>
      </w:r>
      <w:r w:rsidRPr="007A18D6">
        <w:rPr>
          <w:rFonts w:ascii="Arial" w:eastAsia="Times New Roman" w:hAnsi="Arial" w:cs="Arial"/>
          <w:b/>
          <w:sz w:val="16"/>
          <w:szCs w:val="16"/>
          <w:lang w:eastAsia="es-MX"/>
        </w:rPr>
        <w:t xml:space="preserve">Esto es, si bien es cierto que las autoridades legislativas y administrativas tienen, en ciertos ámbitos, un holgado margen de actuación para diseñar políticas públicas, determinar su prioridad relativa y asignar recursos, también lo es que dicha libertad se restringe significativamente cuando está en juego la garantía de los diversos derechos humanos reconocidos por nuestro sistema jurídico, ya que éstos, en tanto normas que expresan el reconocimiento de principios de justicia de la máxima importancia moral, tienen prioridad prima facie frente a cualquier otro objetivo social o colectivo, pues en una sociedad liberal y democrática, estos últimos tienen solamente valor instrumental y no final, como los derechos humanos.” </w:t>
      </w:r>
      <w:r w:rsidRPr="007A18D6">
        <w:rPr>
          <w:rFonts w:ascii="Arial" w:hAnsi="Arial" w:cs="Arial"/>
          <w:sz w:val="16"/>
          <w:szCs w:val="16"/>
        </w:rPr>
        <w:t xml:space="preserve">Cfr. Jurisprudencia número 1a./J. 87/2017 (10a.), visible en la Décima Época, de la Gaceta del Semanario Judicial de la Federación </w:t>
      </w:r>
      <w:r w:rsidRPr="007A18D6">
        <w:rPr>
          <w:rStyle w:val="ng-star-inserted"/>
          <w:rFonts w:ascii="Arial" w:hAnsi="Arial" w:cs="Arial"/>
          <w:sz w:val="16"/>
          <w:szCs w:val="16"/>
        </w:rPr>
        <w:t>Libro 47, Octubre de 2017, Tomo I, página 188</w:t>
      </w:r>
      <w:r w:rsidRPr="007A18D6">
        <w:rPr>
          <w:rFonts w:ascii="Arial" w:hAnsi="Arial" w:cs="Arial"/>
          <w:sz w:val="16"/>
          <w:szCs w:val="16"/>
        </w:rPr>
        <w:t>. Instancia: Primera Sala de la Suprema Corte de Justicia de la Nación, con Registro electrónico: 2015304.</w:t>
      </w:r>
    </w:p>
  </w:footnote>
  <w:footnote w:id="53">
    <w:p w14:paraId="6CB9309B" w14:textId="77777777" w:rsidR="00AF1E38" w:rsidRPr="007A18D6" w:rsidRDefault="00AF1E38" w:rsidP="004246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Arial" w:hAnsi="Arial" w:cs="Arial"/>
          <w:sz w:val="16"/>
          <w:szCs w:val="16"/>
          <w:lang w:val="es-ES_tradnl"/>
        </w:rPr>
      </w:pPr>
      <w:r w:rsidRPr="007A18D6">
        <w:rPr>
          <w:rStyle w:val="Refdenotaalpie"/>
          <w:rFonts w:ascii="Arial" w:hAnsi="Arial" w:cs="Arial"/>
          <w:sz w:val="16"/>
          <w:szCs w:val="16"/>
        </w:rPr>
        <w:footnoteRef/>
      </w:r>
      <w:r w:rsidRPr="007A18D6">
        <w:rPr>
          <w:rFonts w:ascii="Arial" w:hAnsi="Arial" w:cs="Arial"/>
          <w:sz w:val="16"/>
          <w:szCs w:val="16"/>
        </w:rPr>
        <w:t xml:space="preserve"> </w:t>
      </w:r>
      <w:r w:rsidRPr="007A18D6">
        <w:rPr>
          <w:rFonts w:ascii="Arial" w:hAnsi="Arial" w:cs="Arial"/>
          <w:sz w:val="16"/>
          <w:szCs w:val="16"/>
          <w:lang w:val="es-ES_tradnl"/>
        </w:rPr>
        <w:t>Trigésimo. De conformidad con el artículo 113, fracción XI de la Ley General, podrá considerarse como información reservada, aquella que vulnere la conducción de los expedientes judiciales o de los procedimientos administrativos seguidos en forma de juicio, siempre y cuando se acrediten los siguientes elementos: […]</w:t>
      </w:r>
    </w:p>
  </w:footnote>
  <w:footnote w:id="54">
    <w:p w14:paraId="178A9CE0" w14:textId="77777777" w:rsidR="00AF1E38" w:rsidRPr="007A18D6" w:rsidRDefault="00AF1E38" w:rsidP="004246C0">
      <w:pPr>
        <w:pStyle w:val="Textonotapie"/>
        <w:rPr>
          <w:rFonts w:ascii="Arial" w:hAnsi="Arial" w:cs="Arial"/>
          <w:sz w:val="16"/>
          <w:szCs w:val="16"/>
          <w:lang w:val="es-ES"/>
        </w:rPr>
      </w:pPr>
      <w:r w:rsidRPr="007A18D6">
        <w:rPr>
          <w:rStyle w:val="Refdenotaalpie"/>
          <w:rFonts w:ascii="Arial" w:hAnsi="Arial" w:cs="Arial"/>
          <w:sz w:val="16"/>
          <w:szCs w:val="16"/>
        </w:rPr>
        <w:footnoteRef/>
      </w:r>
      <w:r w:rsidRPr="007A18D6">
        <w:rPr>
          <w:rFonts w:ascii="Arial" w:hAnsi="Arial" w:cs="Arial"/>
          <w:sz w:val="16"/>
          <w:szCs w:val="16"/>
        </w:rPr>
        <w:t xml:space="preserve"> “Interés público” </w:t>
      </w:r>
      <w:r w:rsidRPr="007A18D6">
        <w:rPr>
          <w:rFonts w:ascii="Arial" w:hAnsi="Arial" w:cs="Arial"/>
          <w:sz w:val="16"/>
          <w:szCs w:val="16"/>
          <w:lang w:val="es-ES"/>
        </w:rPr>
        <w:t xml:space="preserve">DICCIONARIO JURÍDICO MEXICANO, Instituto de Investigaciones Jurídicas de la Universidad Nacional Autónoma de México, Primera edición, Edit. Porrúa, México 2004. Pagina 2113. </w:t>
      </w:r>
    </w:p>
  </w:footnote>
  <w:footnote w:id="55">
    <w:p w14:paraId="3BB10CE0" w14:textId="77777777" w:rsidR="00AF1E38" w:rsidRPr="007A18D6" w:rsidRDefault="00AF1E38" w:rsidP="004246C0">
      <w:pPr>
        <w:pStyle w:val="Textonotapie"/>
        <w:rPr>
          <w:rFonts w:ascii="Arial" w:hAnsi="Arial" w:cs="Arial"/>
          <w:sz w:val="16"/>
          <w:szCs w:val="16"/>
          <w:lang w:val="es-ES"/>
        </w:rPr>
      </w:pPr>
      <w:r w:rsidRPr="007A18D6">
        <w:rPr>
          <w:rStyle w:val="Refdenotaalpie"/>
          <w:rFonts w:ascii="Arial" w:hAnsi="Arial" w:cs="Arial"/>
          <w:sz w:val="16"/>
          <w:szCs w:val="16"/>
        </w:rPr>
        <w:footnoteRef/>
      </w:r>
      <w:r w:rsidRPr="007A18D6">
        <w:rPr>
          <w:rFonts w:ascii="Arial" w:hAnsi="Arial" w:cs="Arial"/>
          <w:sz w:val="16"/>
          <w:szCs w:val="16"/>
        </w:rPr>
        <w:t xml:space="preserve"> BREWER-CARIAS R. ALLAN, “LA TÉCNICA DE LOS CONCEPTOS JURÍDICOS INDETERMINADOS COMO MECANISMO DE CONTROL JUDICIAL DE LA ACTIVIDAD ADMINISTRATIVA” Biblioteca Jurídica Virtual del Repositorio Universitario del Instituto de Investigaciones Jurídicas de la Universidad Nacional Autónoma de México”, consultable en: https://archivos.juridicas.unam.mx/www/bjv/libros/5/2396/12.pdf</w:t>
      </w:r>
    </w:p>
  </w:footnote>
  <w:footnote w:id="56">
    <w:p w14:paraId="1247BC81" w14:textId="77777777" w:rsidR="00AF1E38" w:rsidRPr="007A18D6" w:rsidRDefault="00AF1E38" w:rsidP="004246C0">
      <w:pPr>
        <w:pStyle w:val="Textonotapie"/>
        <w:rPr>
          <w:rFonts w:ascii="Arial" w:hAnsi="Arial" w:cs="Arial"/>
          <w:sz w:val="16"/>
          <w:szCs w:val="16"/>
          <w:lang w:val="es-ES"/>
        </w:rPr>
      </w:pPr>
      <w:r w:rsidRPr="007A18D6">
        <w:rPr>
          <w:rStyle w:val="Refdenotaalpie"/>
          <w:rFonts w:ascii="Arial" w:hAnsi="Arial" w:cs="Arial"/>
          <w:sz w:val="16"/>
          <w:szCs w:val="16"/>
        </w:rPr>
        <w:footnoteRef/>
      </w:r>
      <w:r w:rsidRPr="007A18D6">
        <w:rPr>
          <w:rFonts w:ascii="Arial" w:hAnsi="Arial" w:cs="Arial"/>
          <w:sz w:val="16"/>
          <w:szCs w:val="16"/>
        </w:rPr>
        <w:t xml:space="preserve"> Cfr. Jurisprudencia número I.4o.A. J/3 K (11a.), visible en la Undécima Época, de la Gaceta del Semanario Judicial de la Federación, Libro 13, Mayo de 2022, Tomo IV, página 4325. Instancia: Tribunales Colegiados de Circuito, con Registro electrónico: 2024639.</w:t>
      </w:r>
    </w:p>
  </w:footnote>
  <w:footnote w:id="57">
    <w:p w14:paraId="65174D25" w14:textId="77777777" w:rsidR="00AF1E38" w:rsidRPr="007A18D6" w:rsidRDefault="00AF1E38" w:rsidP="004246C0">
      <w:pPr>
        <w:pStyle w:val="Estilo"/>
        <w:rPr>
          <w:rFonts w:cs="Arial"/>
          <w:sz w:val="16"/>
          <w:szCs w:val="16"/>
        </w:rPr>
      </w:pPr>
      <w:r w:rsidRPr="007A18D6">
        <w:rPr>
          <w:rStyle w:val="Refdenotaalpie"/>
          <w:rFonts w:cs="Arial"/>
          <w:sz w:val="16"/>
          <w:szCs w:val="16"/>
        </w:rPr>
        <w:footnoteRef/>
      </w:r>
      <w:r w:rsidRPr="007A18D6">
        <w:rPr>
          <w:rFonts w:cs="Arial"/>
          <w:sz w:val="16"/>
          <w:szCs w:val="16"/>
        </w:rPr>
        <w:t xml:space="preserve"> ARTÍCULO 175. La actuación administrativa en el procedimiento se desarrollará con arreglo a los principios de economía, celeridad, eficacia, legalidad, publicidad, audiencia, igualdad y buena fe.</w:t>
      </w:r>
    </w:p>
    <w:p w14:paraId="49F76BB1" w14:textId="77777777" w:rsidR="00AF1E38" w:rsidRPr="007A18D6" w:rsidRDefault="00AF1E38" w:rsidP="004246C0">
      <w:pPr>
        <w:pStyle w:val="Estilo"/>
        <w:rPr>
          <w:rFonts w:cs="Arial"/>
          <w:sz w:val="16"/>
          <w:szCs w:val="16"/>
        </w:rPr>
      </w:pPr>
      <w:r w:rsidRPr="007A18D6">
        <w:rPr>
          <w:rFonts w:cs="Arial"/>
          <w:sz w:val="16"/>
          <w:szCs w:val="16"/>
        </w:rPr>
        <w:t>Las manifestaciones, informes o declaraciones rendidas por los interesados a la autoridad competente, se presumirán ciertas salvo prueba en contrario, quedando sujetas al control y verificación de la autoridad.</w:t>
      </w:r>
    </w:p>
    <w:p w14:paraId="33EB4AAE" w14:textId="77777777" w:rsidR="00AF1E38" w:rsidRPr="007A18D6" w:rsidRDefault="00AF1E38" w:rsidP="004246C0">
      <w:pPr>
        <w:pStyle w:val="Estilo"/>
        <w:rPr>
          <w:rFonts w:cs="Arial"/>
          <w:sz w:val="16"/>
          <w:szCs w:val="16"/>
        </w:rPr>
      </w:pPr>
      <w:r w:rsidRPr="007A18D6">
        <w:rPr>
          <w:rFonts w:cs="Arial"/>
          <w:sz w:val="16"/>
          <w:szCs w:val="16"/>
        </w:rPr>
        <w:t>Si los informes o declaraciones proporcionados por el particular resultan falsos, se aplicarán las sanciones administrativas correspondientes, sin perjuicio de la responsabilidad penal que por tal motivo pudiera resultar.</w:t>
      </w:r>
    </w:p>
  </w:footnote>
  <w:footnote w:id="58">
    <w:p w14:paraId="649CC5D5" w14:textId="4DA20149" w:rsidR="00AF1E38" w:rsidRPr="007A18D6" w:rsidRDefault="00AF1E38" w:rsidP="00F44775">
      <w:pPr>
        <w:spacing w:after="0"/>
        <w:rPr>
          <w:rFonts w:ascii="Arial" w:eastAsia="Times New Roman" w:hAnsi="Arial" w:cs="Arial"/>
          <w:sz w:val="16"/>
          <w:szCs w:val="16"/>
          <w:lang w:eastAsia="es-ES"/>
        </w:rPr>
      </w:pPr>
      <w:r w:rsidRPr="007A18D6">
        <w:rPr>
          <w:rStyle w:val="Refdenotaalpie"/>
          <w:rFonts w:ascii="Arial" w:hAnsi="Arial" w:cs="Arial"/>
          <w:sz w:val="16"/>
          <w:szCs w:val="16"/>
        </w:rPr>
        <w:footnoteRef/>
      </w:r>
      <w:r w:rsidRPr="007A18D6">
        <w:rPr>
          <w:rFonts w:ascii="Arial" w:eastAsia="Times New Roman" w:hAnsi="Arial" w:cs="Arial"/>
          <w:sz w:val="16"/>
          <w:szCs w:val="16"/>
          <w:lang w:eastAsia="es-ES"/>
        </w:rPr>
        <w:t>“</w:t>
      </w:r>
      <w:r w:rsidRPr="007A18D6">
        <w:rPr>
          <w:rFonts w:ascii="Arial" w:hAnsi="Arial" w:cs="Arial"/>
          <w:sz w:val="16"/>
          <w:szCs w:val="16"/>
        </w:rPr>
        <w:t xml:space="preserve"> </w:t>
      </w:r>
      <w:r w:rsidRPr="007A18D6">
        <w:rPr>
          <w:rFonts w:ascii="Arial" w:eastAsia="Times New Roman" w:hAnsi="Arial" w:cs="Arial"/>
          <w:sz w:val="16"/>
          <w:szCs w:val="16"/>
          <w:lang w:eastAsia="es-ES"/>
        </w:rPr>
        <w:t>XI. Se encuentre contenida dentro de las investigaciones de hechos que la ley señale como delitos y se tramiten ante el Ministerio Público, y</w:t>
      </w:r>
    </w:p>
  </w:footnote>
  <w:footnote w:id="59">
    <w:p w14:paraId="15631F84" w14:textId="24DF5DCD" w:rsidR="00AF1E38" w:rsidRPr="007A18D6" w:rsidRDefault="00AF1E38">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XII. Las que por disposición expresa de una ley tengan tal carácter, siempre que sean acordes con las bases, principios y disposiciones establecidos en esta Ley y no la contravengan; así como las previstas en tratados internacionales.</w:t>
      </w:r>
    </w:p>
  </w:footnote>
  <w:footnote w:id="60">
    <w:p w14:paraId="6D5E674D" w14:textId="77777777" w:rsidR="00AF1E38" w:rsidRPr="007A18D6" w:rsidRDefault="00AF1E38" w:rsidP="004246C0">
      <w:pPr>
        <w:pStyle w:val="Estilo"/>
        <w:rPr>
          <w:rFonts w:cs="Arial"/>
          <w:sz w:val="16"/>
          <w:szCs w:val="16"/>
        </w:rPr>
      </w:pPr>
      <w:r w:rsidRPr="007A18D6">
        <w:rPr>
          <w:rStyle w:val="Refdenotaalpie"/>
          <w:rFonts w:cs="Arial"/>
          <w:sz w:val="16"/>
          <w:szCs w:val="16"/>
        </w:rPr>
        <w:footnoteRef/>
      </w:r>
      <w:r w:rsidRPr="007A18D6">
        <w:rPr>
          <w:rFonts w:cs="Arial"/>
          <w:sz w:val="16"/>
          <w:szCs w:val="16"/>
        </w:rPr>
        <w:t xml:space="preserve"> “ARTÍCULO 129. Como información reservada podrá clasificarse aquella cuya publicación:”</w:t>
      </w:r>
    </w:p>
  </w:footnote>
  <w:footnote w:id="61">
    <w:p w14:paraId="5D932CA7" w14:textId="7FFB85A2" w:rsidR="00AF1E38" w:rsidRPr="007A18D6" w:rsidRDefault="00AF1E38" w:rsidP="003A7898">
      <w:pPr>
        <w:pStyle w:val="Estilo"/>
        <w:rPr>
          <w:rFonts w:cs="Arial"/>
          <w:sz w:val="16"/>
          <w:szCs w:val="16"/>
        </w:rPr>
      </w:pPr>
      <w:r w:rsidRPr="007A18D6">
        <w:rPr>
          <w:rStyle w:val="Refdenotaalpie"/>
          <w:rFonts w:cs="Arial"/>
          <w:sz w:val="16"/>
          <w:szCs w:val="16"/>
        </w:rPr>
        <w:footnoteRef/>
      </w:r>
      <w:r w:rsidRPr="007A18D6">
        <w:rPr>
          <w:rFonts w:cs="Arial"/>
          <w:sz w:val="16"/>
          <w:szCs w:val="16"/>
        </w:rPr>
        <w:t xml:space="preserve">Artículo 218 del Código Nacional de Procedimientos Penales, con última Reforma Publicada en el Diario Oficial de la Federación el 28 de noviembre de 2025 </w:t>
      </w:r>
    </w:p>
  </w:footnote>
  <w:footnote w:id="62">
    <w:p w14:paraId="35F514D0" w14:textId="77777777" w:rsidR="00BA7B7E" w:rsidRPr="007A18D6" w:rsidRDefault="00BA7B7E" w:rsidP="00BA7B7E">
      <w:pPr>
        <w:pStyle w:val="Estilo"/>
        <w:rPr>
          <w:rFonts w:cs="Arial"/>
          <w:sz w:val="16"/>
          <w:szCs w:val="16"/>
        </w:rPr>
      </w:pPr>
      <w:r w:rsidRPr="007A18D6">
        <w:rPr>
          <w:rStyle w:val="Refdenotaalpie"/>
          <w:rFonts w:cs="Arial"/>
          <w:sz w:val="16"/>
          <w:szCs w:val="16"/>
        </w:rPr>
        <w:footnoteRef/>
      </w:r>
      <w:r w:rsidRPr="007A18D6">
        <w:rPr>
          <w:rFonts w:cs="Arial"/>
          <w:sz w:val="16"/>
          <w:szCs w:val="16"/>
        </w:rPr>
        <w:t xml:space="preserve"> “Art. 21.- La investigación de los delitos corresponde al Ministerio Público, a la secretaría del ramo de seguridad pública del Ejecutivo Federal, a la Guardia Nacional y a las policías, en el ámbito de su competencia, las cuales actuarán bajo la conducción y mando de aquél en el ejercicio de esta función.” Artículo 21 de la Constitución Política de los Estados Unidos Mexicanos, con  última Reforma Publicada el 15 de octubre de 2025 en el Periódico Oficial de la Federación.</w:t>
      </w:r>
    </w:p>
  </w:footnote>
  <w:footnote w:id="63">
    <w:p w14:paraId="70A68739" w14:textId="77777777" w:rsidR="00BA7B7E" w:rsidRPr="007A18D6" w:rsidRDefault="00BA7B7E" w:rsidP="00BA7B7E">
      <w:pPr>
        <w:pStyle w:val="Estilo"/>
        <w:rPr>
          <w:rFonts w:cs="Arial"/>
          <w:sz w:val="16"/>
          <w:szCs w:val="16"/>
        </w:rPr>
      </w:pPr>
      <w:r w:rsidRPr="007A18D6">
        <w:rPr>
          <w:rStyle w:val="Refdenotaalpie"/>
          <w:rFonts w:cs="Arial"/>
          <w:sz w:val="16"/>
          <w:szCs w:val="16"/>
        </w:rPr>
        <w:footnoteRef/>
      </w:r>
      <w:r w:rsidRPr="007A18D6">
        <w:rPr>
          <w:rFonts w:cs="Arial"/>
          <w:sz w:val="16"/>
          <w:szCs w:val="16"/>
        </w:rPr>
        <w:t xml:space="preserve"> Art. 102.-</w:t>
      </w:r>
    </w:p>
    <w:p w14:paraId="3F9E7757" w14:textId="77777777" w:rsidR="00BA7B7E" w:rsidRPr="007A18D6" w:rsidRDefault="00BA7B7E" w:rsidP="00BA7B7E">
      <w:pPr>
        <w:pStyle w:val="Estilo"/>
        <w:rPr>
          <w:rFonts w:cs="Arial"/>
          <w:sz w:val="16"/>
          <w:szCs w:val="16"/>
        </w:rPr>
      </w:pPr>
      <w:r w:rsidRPr="007A18D6">
        <w:rPr>
          <w:rFonts w:cs="Arial"/>
          <w:sz w:val="16"/>
          <w:szCs w:val="16"/>
        </w:rPr>
        <w:t>A. El Ministerio Público de la Federación se organizará en una Fiscalía General de la República como órgano público autónomo, dotado de personalidad jurídica y patrimonio propio.</w:t>
      </w:r>
    </w:p>
    <w:p w14:paraId="3D552916" w14:textId="77777777" w:rsidR="00BA7B7E" w:rsidRPr="007A18D6" w:rsidRDefault="00BA7B7E" w:rsidP="00BA7B7E">
      <w:pPr>
        <w:pStyle w:val="Estilo"/>
        <w:rPr>
          <w:rFonts w:cs="Arial"/>
          <w:sz w:val="16"/>
          <w:szCs w:val="16"/>
        </w:rPr>
      </w:pPr>
      <w:r w:rsidRPr="007A18D6">
        <w:rPr>
          <w:rFonts w:cs="Arial"/>
          <w:sz w:val="16"/>
          <w:szCs w:val="16"/>
        </w:rPr>
        <w:t>VI. Las ausencias del Fiscal General serán suplidas en los términos que determine la ley.</w:t>
      </w:r>
    </w:p>
    <w:p w14:paraId="169203B3" w14:textId="4D598E0A" w:rsidR="00BA7B7E" w:rsidRPr="007A18D6" w:rsidRDefault="00BA7B7E" w:rsidP="00BA7B7E">
      <w:pPr>
        <w:pStyle w:val="Estilo"/>
        <w:rPr>
          <w:rFonts w:cs="Arial"/>
          <w:sz w:val="16"/>
          <w:szCs w:val="16"/>
        </w:rPr>
      </w:pPr>
      <w:r w:rsidRPr="007A18D6">
        <w:rPr>
          <w:rFonts w:cs="Arial"/>
          <w:sz w:val="16"/>
          <w:szCs w:val="16"/>
        </w:rPr>
        <w:t>Corresponde al Ministerio Público de la Federación la persecución, ante los tribunales, de todos los delitos del orden federal; y, por lo mismo, solicitará las medidas cautelares contra los imputados; buscará y presentará las pruebas que acrediten la participación de éstos en hechos que las leyes señalen como delito; procurará que los juicios federales en materia penal se sigan con toda regularidad para que la impartición de justicia sea pronta y expedita; pedirá la aplicación de las penas, e intervendrá en todos los asuntos que la ley determine.</w:t>
      </w:r>
    </w:p>
  </w:footnote>
  <w:footnote w:id="64">
    <w:p w14:paraId="201D75B5" w14:textId="77777777" w:rsidR="00AF1E38" w:rsidRPr="007A18D6" w:rsidRDefault="00AF1E38" w:rsidP="00ED4552">
      <w:pPr>
        <w:pStyle w:val="Estilo"/>
        <w:rPr>
          <w:rFonts w:cs="Arial"/>
          <w:sz w:val="16"/>
          <w:szCs w:val="16"/>
        </w:rPr>
      </w:pPr>
      <w:r w:rsidRPr="007A18D6">
        <w:rPr>
          <w:rStyle w:val="Refdenotaalpie"/>
          <w:rFonts w:cs="Arial"/>
          <w:sz w:val="16"/>
          <w:szCs w:val="16"/>
        </w:rPr>
        <w:footnoteRef/>
      </w:r>
      <w:r w:rsidRPr="007A18D6">
        <w:rPr>
          <w:rFonts w:cs="Arial"/>
          <w:sz w:val="16"/>
          <w:szCs w:val="16"/>
        </w:rPr>
        <w:t xml:space="preserve"> Artículo 217. Registro de los actos de investigación</w:t>
      </w:r>
    </w:p>
    <w:p w14:paraId="253958BA" w14:textId="77777777" w:rsidR="00AF1E38" w:rsidRPr="007A18D6" w:rsidRDefault="00AF1E38" w:rsidP="00ED4552">
      <w:pPr>
        <w:pStyle w:val="Estilo"/>
        <w:rPr>
          <w:rFonts w:cs="Arial"/>
          <w:sz w:val="16"/>
          <w:szCs w:val="16"/>
        </w:rPr>
      </w:pPr>
      <w:r w:rsidRPr="007A18D6">
        <w:rPr>
          <w:rFonts w:cs="Arial"/>
          <w:sz w:val="16"/>
          <w:szCs w:val="16"/>
        </w:rPr>
        <w:t>El Ministerio Público y la Policía deberán dejar registro de todas las actuaciones que se realicen durante la investigación de los delitos, utilizando al efecto cualquier medio que permita garantizar que la información recabada sea completa, íntegra y exacta, así como el acceso a la misma por parte de los sujetos que de acuerdo con la ley tuvieren derecho a exigirlo.</w:t>
      </w:r>
    </w:p>
    <w:p w14:paraId="240DA559" w14:textId="77777777" w:rsidR="00AF1E38" w:rsidRPr="007A18D6" w:rsidRDefault="00AF1E38" w:rsidP="00ED4552">
      <w:pPr>
        <w:pStyle w:val="Estilo"/>
        <w:rPr>
          <w:rFonts w:cs="Arial"/>
          <w:sz w:val="16"/>
          <w:szCs w:val="16"/>
        </w:rPr>
      </w:pPr>
      <w:r w:rsidRPr="007A18D6">
        <w:rPr>
          <w:rFonts w:cs="Arial"/>
          <w:sz w:val="16"/>
          <w:szCs w:val="16"/>
        </w:rPr>
        <w:t>Cada acto de investigación se registrará por separado, y será firmado por quienes hayan intervenido. Si no quisieren o no pudieren firmar, se imprimirá su huella digital. En caso de que esto no sea posible o la persona se niegue a imprimir su huella, se hará constar el motivo.</w:t>
      </w:r>
    </w:p>
    <w:p w14:paraId="3A8D0FA3" w14:textId="77777777" w:rsidR="00AF1E38" w:rsidRPr="007A18D6" w:rsidRDefault="00AF1E38" w:rsidP="00ED4552">
      <w:pPr>
        <w:pStyle w:val="Estilo"/>
        <w:rPr>
          <w:rFonts w:cs="Arial"/>
          <w:sz w:val="16"/>
          <w:szCs w:val="16"/>
        </w:rPr>
      </w:pPr>
      <w:r w:rsidRPr="007A18D6">
        <w:rPr>
          <w:rFonts w:cs="Arial"/>
          <w:sz w:val="16"/>
          <w:szCs w:val="16"/>
        </w:rPr>
        <w:t>El registro de cada actuación deberá contener por lo menos la indicación de la fecha, hora y lugar en que se haya efectuado, identificación de los servidores públicos y demás personas que hayan intervenido y una breve descripción de la actuación y, en su caso, de sus resultados.</w:t>
      </w:r>
    </w:p>
  </w:footnote>
  <w:footnote w:id="65">
    <w:p w14:paraId="509DC4EB" w14:textId="77777777" w:rsidR="00AF1E38" w:rsidRPr="007A18D6" w:rsidRDefault="00AF1E38" w:rsidP="00ED4552">
      <w:pPr>
        <w:pStyle w:val="Estilo"/>
        <w:rPr>
          <w:rFonts w:cs="Arial"/>
          <w:sz w:val="16"/>
          <w:szCs w:val="16"/>
        </w:rPr>
      </w:pPr>
      <w:r w:rsidRPr="007A18D6">
        <w:rPr>
          <w:rStyle w:val="Refdenotaalpie"/>
          <w:rFonts w:cs="Arial"/>
          <w:sz w:val="16"/>
          <w:szCs w:val="16"/>
        </w:rPr>
        <w:footnoteRef/>
      </w:r>
      <w:r w:rsidRPr="007A18D6">
        <w:rPr>
          <w:rFonts w:cs="Arial"/>
          <w:sz w:val="16"/>
          <w:szCs w:val="16"/>
        </w:rPr>
        <w:t xml:space="preserve"> Artículo 260. Antecedente de investigación</w:t>
      </w:r>
    </w:p>
    <w:p w14:paraId="4F984A01" w14:textId="77777777" w:rsidR="00AF1E38" w:rsidRPr="007A18D6" w:rsidRDefault="00AF1E38" w:rsidP="00ED4552">
      <w:pPr>
        <w:pStyle w:val="Estilo"/>
        <w:rPr>
          <w:rFonts w:cs="Arial"/>
          <w:sz w:val="16"/>
          <w:szCs w:val="16"/>
        </w:rPr>
      </w:pPr>
      <w:r w:rsidRPr="007A18D6">
        <w:rPr>
          <w:rFonts w:cs="Arial"/>
          <w:sz w:val="16"/>
          <w:szCs w:val="16"/>
        </w:rPr>
        <w:t>El antecedente de investigación es todo registro incorporado en la carpeta de investigación que sirve de sustento para aportar datos de prueba.</w:t>
      </w:r>
    </w:p>
  </w:footnote>
  <w:footnote w:id="66">
    <w:p w14:paraId="205BF204" w14:textId="77777777" w:rsidR="00AF1E38" w:rsidRPr="007A18D6" w:rsidRDefault="00AF1E38" w:rsidP="00ED4552">
      <w:pPr>
        <w:pStyle w:val="Estilo"/>
        <w:rPr>
          <w:rFonts w:cs="Arial"/>
          <w:sz w:val="16"/>
          <w:szCs w:val="16"/>
        </w:rPr>
      </w:pPr>
      <w:r w:rsidRPr="007A18D6">
        <w:rPr>
          <w:rStyle w:val="Refdenotaalpie"/>
          <w:rFonts w:cs="Arial"/>
          <w:sz w:val="16"/>
          <w:szCs w:val="16"/>
        </w:rPr>
        <w:footnoteRef/>
      </w:r>
      <w:r w:rsidRPr="007A18D6">
        <w:rPr>
          <w:rFonts w:cs="Arial"/>
          <w:sz w:val="16"/>
          <w:szCs w:val="16"/>
        </w:rPr>
        <w:t xml:space="preserve"> Artículo 261. Datos de prueba, medios de prueba y pruebas</w:t>
      </w:r>
    </w:p>
    <w:p w14:paraId="02603B47" w14:textId="77777777" w:rsidR="00AF1E38" w:rsidRPr="007A18D6" w:rsidRDefault="00AF1E38" w:rsidP="00ED4552">
      <w:pPr>
        <w:pStyle w:val="Estilo"/>
        <w:rPr>
          <w:rFonts w:cs="Arial"/>
          <w:sz w:val="16"/>
          <w:szCs w:val="16"/>
        </w:rPr>
      </w:pPr>
      <w:r w:rsidRPr="007A18D6">
        <w:rPr>
          <w:rFonts w:cs="Arial"/>
          <w:sz w:val="16"/>
          <w:szCs w:val="16"/>
        </w:rPr>
        <w:t>El dato de prueba es la referencia al contenido de un determinado medio de convicción aún no desahogado ante el Órgano jurisdiccional, que se advierta idóneo y pertinente para establecer razonablemente la existencia de un hecho delictivo y la probable participación del imputado.</w:t>
      </w:r>
    </w:p>
    <w:p w14:paraId="40CED2A2" w14:textId="77777777" w:rsidR="00AF1E38" w:rsidRPr="007A18D6" w:rsidRDefault="00AF1E38" w:rsidP="00ED4552">
      <w:pPr>
        <w:pStyle w:val="Estilo"/>
        <w:rPr>
          <w:rFonts w:cs="Arial"/>
          <w:sz w:val="16"/>
          <w:szCs w:val="16"/>
        </w:rPr>
      </w:pPr>
      <w:r w:rsidRPr="007A18D6">
        <w:rPr>
          <w:rFonts w:cs="Arial"/>
          <w:sz w:val="16"/>
          <w:szCs w:val="16"/>
        </w:rPr>
        <w:t>Los medios o elementos de prueba son toda fuente de información que permite reconstruir los hechos, respetando las formalidades procedimentales previstas para cada uno de ellos.</w:t>
      </w:r>
    </w:p>
    <w:p w14:paraId="59736167" w14:textId="77777777" w:rsidR="00AF1E38" w:rsidRPr="007A18D6" w:rsidRDefault="00AF1E38" w:rsidP="00ED4552">
      <w:pPr>
        <w:pStyle w:val="Estilo"/>
        <w:rPr>
          <w:rFonts w:cs="Arial"/>
          <w:sz w:val="16"/>
          <w:szCs w:val="16"/>
        </w:rPr>
      </w:pPr>
      <w:r w:rsidRPr="007A18D6">
        <w:rPr>
          <w:rFonts w:cs="Arial"/>
          <w:sz w:val="16"/>
          <w:szCs w:val="16"/>
        </w:rPr>
        <w:t>Se denomina prueba a todo conocimiento cierto o probable sobre un hecho, que ingresando al proceso como medio de prueba en una audiencia y desahogada bajo los principios de inmediación y contradicción, sirve al Tribunal de enjuiciamiento como elemento de juicio para llegar a una conclusión cierta sobre los hechos materia de la acusación.</w:t>
      </w:r>
    </w:p>
  </w:footnote>
  <w:footnote w:id="67">
    <w:p w14:paraId="78BDF21A" w14:textId="33E3DB5B" w:rsidR="00564B53" w:rsidRPr="007A18D6" w:rsidRDefault="00564B53">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Amparo en Revisión 173/2012. Suprema Corte de Justicia de la Nación, Primera Sala, resuelto en </w:t>
      </w:r>
      <w:r w:rsidR="00025290" w:rsidRPr="007A18D6">
        <w:rPr>
          <w:rFonts w:ascii="Arial" w:hAnsi="Arial" w:cs="Arial"/>
          <w:sz w:val="16"/>
          <w:szCs w:val="16"/>
        </w:rPr>
        <w:t>Sesión de seis de febrero de dos mil trece</w:t>
      </w:r>
      <w:r w:rsidRPr="007A18D6">
        <w:rPr>
          <w:rFonts w:ascii="Arial" w:hAnsi="Arial" w:cs="Arial"/>
          <w:sz w:val="16"/>
          <w:szCs w:val="16"/>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2C5E8C39" w:rsidR="00AF1E38" w:rsidRDefault="00AF1E38">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1661919015" name="Imagen 1661919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3023284"/>
        <w:docPartObj>
          <w:docPartGallery w:val="Page Numbers (Top of Page)"/>
          <w:docPartUnique/>
        </w:docPartObj>
      </w:sdtPr>
      <w:sdtEndPr/>
      <w:sdtContent>
        <w:r>
          <w:fldChar w:fldCharType="begin"/>
        </w:r>
        <w:r>
          <w:instrText>PAGE   \* MERGEFORMAT</w:instrText>
        </w:r>
        <w:r>
          <w:fldChar w:fldCharType="separate"/>
        </w:r>
        <w:r w:rsidR="00AA2412">
          <w:rPr>
            <w:noProof/>
          </w:rPr>
          <w:t>58</w:t>
        </w:r>
        <w:r>
          <w:fldChar w:fldCharType="end"/>
        </w:r>
      </w:sdtContent>
    </w:sdt>
  </w:p>
  <w:p w14:paraId="73B62FEB" w14:textId="18370400" w:rsidR="00AF1E38" w:rsidRDefault="00AF1E38">
    <w:pPr>
      <w:pStyle w:val="Encabezado"/>
      <w:jc w:val="center"/>
    </w:pPr>
  </w:p>
  <w:p w14:paraId="11A12D19" w14:textId="2D6FFD7A" w:rsidR="00AF1E38" w:rsidRDefault="00AF1E38">
    <w:pPr>
      <w:pStyle w:val="Encabezado"/>
      <w:jc w:val="center"/>
    </w:pPr>
  </w:p>
  <w:p w14:paraId="3C5C0923" w14:textId="7B0FF51F" w:rsidR="00AF1E38" w:rsidRDefault="00AF1E38">
    <w:pPr>
      <w:pStyle w:val="Encabezado"/>
      <w:jc w:val="center"/>
    </w:pPr>
  </w:p>
  <w:p w14:paraId="167ADC62" w14:textId="77777777" w:rsidR="00AF1E38" w:rsidRDefault="00AF1E38" w:rsidP="00E25AE4">
    <w:pPr>
      <w:pStyle w:val="Encabezado"/>
      <w:tabs>
        <w:tab w:val="left" w:pos="5954"/>
      </w:tabs>
      <w:jc w:val="right"/>
      <w:rPr>
        <w:sz w:val="20"/>
        <w:szCs w:val="20"/>
      </w:rPr>
    </w:pPr>
  </w:p>
  <w:p w14:paraId="2E3B98D4" w14:textId="77777777" w:rsidR="00AF1E38" w:rsidRDefault="00AF1E38">
    <w:pPr>
      <w:pStyle w:val="Encabezado"/>
      <w:jc w:val="center"/>
    </w:pPr>
  </w:p>
  <w:p w14:paraId="4E5FFEF8" w14:textId="46E567DF" w:rsidR="00AF1E38" w:rsidRDefault="00AF1E3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50DA9"/>
    <w:multiLevelType w:val="hybridMultilevel"/>
    <w:tmpl w:val="507E70F8"/>
    <w:lvl w:ilvl="0" w:tplc="54A4733C">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11702233"/>
    <w:multiLevelType w:val="hybridMultilevel"/>
    <w:tmpl w:val="D7BC0876"/>
    <w:lvl w:ilvl="0" w:tplc="090C7AE2">
      <w:start w:val="1"/>
      <w:numFmt w:val="lowerLetter"/>
      <w:lvlText w:val="%1."/>
      <w:lvlJc w:val="left"/>
      <w:pPr>
        <w:ind w:left="720" w:hanging="360"/>
      </w:pPr>
      <w:rPr>
        <w:rFonts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42A46F5"/>
    <w:multiLevelType w:val="hybridMultilevel"/>
    <w:tmpl w:val="1B968D86"/>
    <w:lvl w:ilvl="0" w:tplc="8072F42A">
      <w:start w:val="1"/>
      <w:numFmt w:val="lowerLetter"/>
      <w:lvlText w:val="%1)"/>
      <w:lvlJc w:val="left"/>
      <w:pPr>
        <w:ind w:left="2850" w:hanging="360"/>
      </w:pPr>
      <w:rPr>
        <w:rFonts w:hint="default"/>
      </w:rPr>
    </w:lvl>
    <w:lvl w:ilvl="1" w:tplc="D9287C22">
      <w:start w:val="1"/>
      <w:numFmt w:val="decimal"/>
      <w:lvlText w:val="%2."/>
      <w:lvlJc w:val="left"/>
      <w:pPr>
        <w:ind w:left="3615" w:hanging="405"/>
      </w:pPr>
      <w:rPr>
        <w:rFonts w:cs="Arial" w:hint="default"/>
      </w:r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3" w15:restartNumberingAfterBreak="0">
    <w:nsid w:val="14B35DA0"/>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4" w15:restartNumberingAfterBreak="0">
    <w:nsid w:val="14FF2410"/>
    <w:multiLevelType w:val="hybridMultilevel"/>
    <w:tmpl w:val="442474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3555E1"/>
    <w:multiLevelType w:val="hybridMultilevel"/>
    <w:tmpl w:val="3FA8693E"/>
    <w:lvl w:ilvl="0" w:tplc="04C2E6D0">
      <w:start w:val="1"/>
      <w:numFmt w:val="decimal"/>
      <w:lvlText w:val="%1."/>
      <w:lvlJc w:val="left"/>
      <w:pPr>
        <w:ind w:left="1777" w:hanging="360"/>
      </w:pPr>
      <w:rPr>
        <w:rFonts w:hint="default"/>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abstractNum w:abstractNumId="6" w15:restartNumberingAfterBreak="0">
    <w:nsid w:val="18290BF6"/>
    <w:multiLevelType w:val="hybridMultilevel"/>
    <w:tmpl w:val="CF544C1A"/>
    <w:lvl w:ilvl="0" w:tplc="7C507EEE">
      <w:start w:val="1"/>
      <w:numFmt w:val="upperLetter"/>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7" w15:restartNumberingAfterBreak="0">
    <w:nsid w:val="1ED4500F"/>
    <w:multiLevelType w:val="hybridMultilevel"/>
    <w:tmpl w:val="4D4CBDB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221118F3"/>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10" w15:restartNumberingAfterBreak="0">
    <w:nsid w:val="234A0883"/>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1" w15:restartNumberingAfterBreak="0">
    <w:nsid w:val="271A4604"/>
    <w:multiLevelType w:val="hybridMultilevel"/>
    <w:tmpl w:val="AFB41D68"/>
    <w:lvl w:ilvl="0" w:tplc="40F2F88C">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15:restartNumberingAfterBreak="0">
    <w:nsid w:val="27DA1168"/>
    <w:multiLevelType w:val="hybridMultilevel"/>
    <w:tmpl w:val="B402694C"/>
    <w:lvl w:ilvl="0" w:tplc="2BA02758">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DED230F"/>
    <w:multiLevelType w:val="hybridMultilevel"/>
    <w:tmpl w:val="78F4B4B6"/>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15:restartNumberingAfterBreak="0">
    <w:nsid w:val="362B4E6D"/>
    <w:multiLevelType w:val="hybridMultilevel"/>
    <w:tmpl w:val="A5982510"/>
    <w:lvl w:ilvl="0" w:tplc="3A680E5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5" w15:restartNumberingAfterBreak="0">
    <w:nsid w:val="381377F4"/>
    <w:multiLevelType w:val="hybridMultilevel"/>
    <w:tmpl w:val="400C98A4"/>
    <w:lvl w:ilvl="0" w:tplc="C64CC83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6" w15:restartNumberingAfterBreak="0">
    <w:nsid w:val="3CE27AC1"/>
    <w:multiLevelType w:val="hybridMultilevel"/>
    <w:tmpl w:val="96E0A094"/>
    <w:lvl w:ilvl="0" w:tplc="080A001B">
      <w:start w:val="1"/>
      <w:numFmt w:val="lowerRoman"/>
      <w:lvlText w:val="%1."/>
      <w:lvlJc w:val="righ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15:restartNumberingAfterBreak="0">
    <w:nsid w:val="4B0240B5"/>
    <w:multiLevelType w:val="hybridMultilevel"/>
    <w:tmpl w:val="3D7414D8"/>
    <w:lvl w:ilvl="0" w:tplc="CA56F742">
      <w:numFmt w:val="bullet"/>
      <w:lvlText w:val="-"/>
      <w:lvlJc w:val="left"/>
      <w:pPr>
        <w:ind w:left="1428" w:hanging="360"/>
      </w:pPr>
      <w:rPr>
        <w:rFonts w:ascii="Arial" w:eastAsiaTheme="minorHAnsi" w:hAnsi="Arial" w:cs="Arial" w:hint="default"/>
      </w:rPr>
    </w:lvl>
    <w:lvl w:ilvl="1" w:tplc="040A0003" w:tentative="1">
      <w:start w:val="1"/>
      <w:numFmt w:val="bullet"/>
      <w:lvlText w:val="o"/>
      <w:lvlJc w:val="left"/>
      <w:pPr>
        <w:ind w:left="2148" w:hanging="360"/>
      </w:pPr>
      <w:rPr>
        <w:rFonts w:ascii="Courier New" w:hAnsi="Courier New" w:cs="Courier New" w:hint="default"/>
      </w:rPr>
    </w:lvl>
    <w:lvl w:ilvl="2" w:tplc="040A0005" w:tentative="1">
      <w:start w:val="1"/>
      <w:numFmt w:val="bullet"/>
      <w:lvlText w:val=""/>
      <w:lvlJc w:val="left"/>
      <w:pPr>
        <w:ind w:left="2868" w:hanging="360"/>
      </w:pPr>
      <w:rPr>
        <w:rFonts w:ascii="Wingdings" w:hAnsi="Wingdings" w:hint="default"/>
      </w:rPr>
    </w:lvl>
    <w:lvl w:ilvl="3" w:tplc="040A0001" w:tentative="1">
      <w:start w:val="1"/>
      <w:numFmt w:val="bullet"/>
      <w:lvlText w:val=""/>
      <w:lvlJc w:val="left"/>
      <w:pPr>
        <w:ind w:left="3588" w:hanging="360"/>
      </w:pPr>
      <w:rPr>
        <w:rFonts w:ascii="Symbol" w:hAnsi="Symbol" w:hint="default"/>
      </w:rPr>
    </w:lvl>
    <w:lvl w:ilvl="4" w:tplc="040A0003" w:tentative="1">
      <w:start w:val="1"/>
      <w:numFmt w:val="bullet"/>
      <w:lvlText w:val="o"/>
      <w:lvlJc w:val="left"/>
      <w:pPr>
        <w:ind w:left="4308" w:hanging="360"/>
      </w:pPr>
      <w:rPr>
        <w:rFonts w:ascii="Courier New" w:hAnsi="Courier New" w:cs="Courier New" w:hint="default"/>
      </w:rPr>
    </w:lvl>
    <w:lvl w:ilvl="5" w:tplc="040A0005" w:tentative="1">
      <w:start w:val="1"/>
      <w:numFmt w:val="bullet"/>
      <w:lvlText w:val=""/>
      <w:lvlJc w:val="left"/>
      <w:pPr>
        <w:ind w:left="5028" w:hanging="360"/>
      </w:pPr>
      <w:rPr>
        <w:rFonts w:ascii="Wingdings" w:hAnsi="Wingdings" w:hint="default"/>
      </w:rPr>
    </w:lvl>
    <w:lvl w:ilvl="6" w:tplc="040A0001" w:tentative="1">
      <w:start w:val="1"/>
      <w:numFmt w:val="bullet"/>
      <w:lvlText w:val=""/>
      <w:lvlJc w:val="left"/>
      <w:pPr>
        <w:ind w:left="5748" w:hanging="360"/>
      </w:pPr>
      <w:rPr>
        <w:rFonts w:ascii="Symbol" w:hAnsi="Symbol" w:hint="default"/>
      </w:rPr>
    </w:lvl>
    <w:lvl w:ilvl="7" w:tplc="040A0003" w:tentative="1">
      <w:start w:val="1"/>
      <w:numFmt w:val="bullet"/>
      <w:lvlText w:val="o"/>
      <w:lvlJc w:val="left"/>
      <w:pPr>
        <w:ind w:left="6468" w:hanging="360"/>
      </w:pPr>
      <w:rPr>
        <w:rFonts w:ascii="Courier New" w:hAnsi="Courier New" w:cs="Courier New" w:hint="default"/>
      </w:rPr>
    </w:lvl>
    <w:lvl w:ilvl="8" w:tplc="040A0005" w:tentative="1">
      <w:start w:val="1"/>
      <w:numFmt w:val="bullet"/>
      <w:lvlText w:val=""/>
      <w:lvlJc w:val="left"/>
      <w:pPr>
        <w:ind w:left="7188" w:hanging="360"/>
      </w:pPr>
      <w:rPr>
        <w:rFonts w:ascii="Wingdings" w:hAnsi="Wingdings" w:hint="default"/>
      </w:rPr>
    </w:lvl>
  </w:abstractNum>
  <w:abstractNum w:abstractNumId="18" w15:restartNumberingAfterBreak="0">
    <w:nsid w:val="4B7C264A"/>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19"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20" w15:restartNumberingAfterBreak="0">
    <w:nsid w:val="4EBE0DB8"/>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21" w15:restartNumberingAfterBreak="0">
    <w:nsid w:val="4F69437C"/>
    <w:multiLevelType w:val="hybridMultilevel"/>
    <w:tmpl w:val="6EF4EACE"/>
    <w:lvl w:ilvl="0" w:tplc="96E4234A">
      <w:start w:val="2"/>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17A7940"/>
    <w:multiLevelType w:val="hybridMultilevel"/>
    <w:tmpl w:val="B50C4456"/>
    <w:lvl w:ilvl="0" w:tplc="3C16877A">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3" w15:restartNumberingAfterBreak="0">
    <w:nsid w:val="555C7D8F"/>
    <w:multiLevelType w:val="hybridMultilevel"/>
    <w:tmpl w:val="59E410D2"/>
    <w:lvl w:ilvl="0" w:tplc="3FB43114">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4" w15:restartNumberingAfterBreak="0">
    <w:nsid w:val="5582111E"/>
    <w:multiLevelType w:val="hybridMultilevel"/>
    <w:tmpl w:val="DE1212A8"/>
    <w:lvl w:ilvl="0" w:tplc="027C93B0">
      <w:start w:val="1"/>
      <w:numFmt w:val="decimal"/>
      <w:lvlText w:val="%1."/>
      <w:lvlJc w:val="left"/>
      <w:pPr>
        <w:ind w:left="928"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5A979F0"/>
    <w:multiLevelType w:val="multilevel"/>
    <w:tmpl w:val="55A979F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61E7A4D"/>
    <w:multiLevelType w:val="hybridMultilevel"/>
    <w:tmpl w:val="AFBC348C"/>
    <w:lvl w:ilvl="0" w:tplc="42A895E0">
      <w:start w:val="1"/>
      <w:numFmt w:val="lowerLetter"/>
      <w:lvlText w:val="%1."/>
      <w:lvlJc w:val="left"/>
      <w:pPr>
        <w:ind w:left="1788" w:hanging="360"/>
      </w:pPr>
      <w:rPr>
        <w:b/>
      </w:r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7" w15:restartNumberingAfterBreak="0">
    <w:nsid w:val="56577FDA"/>
    <w:multiLevelType w:val="hybridMultilevel"/>
    <w:tmpl w:val="5F10709E"/>
    <w:lvl w:ilvl="0" w:tplc="7C565B98">
      <w:start w:val="1"/>
      <w:numFmt w:val="decimal"/>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28" w15:restartNumberingAfterBreak="0">
    <w:nsid w:val="5E093BFE"/>
    <w:multiLevelType w:val="hybridMultilevel"/>
    <w:tmpl w:val="7BA6F79A"/>
    <w:lvl w:ilvl="0" w:tplc="7FE61094">
      <w:start w:val="1"/>
      <w:numFmt w:val="decimal"/>
      <w:lvlText w:val="%1."/>
      <w:lvlJc w:val="left"/>
      <w:pPr>
        <w:ind w:left="1464" w:hanging="396"/>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9" w15:restartNumberingAfterBreak="0">
    <w:nsid w:val="6B060B36"/>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0" w15:restartNumberingAfterBreak="0">
    <w:nsid w:val="6B654E3F"/>
    <w:multiLevelType w:val="hybridMultilevel"/>
    <w:tmpl w:val="A01CE860"/>
    <w:lvl w:ilvl="0" w:tplc="08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C762C53"/>
    <w:multiLevelType w:val="hybridMultilevel"/>
    <w:tmpl w:val="68805AAA"/>
    <w:lvl w:ilvl="0" w:tplc="9DE4DE32">
      <w:start w:val="9"/>
      <w:numFmt w:val="lowerLetter"/>
      <w:lvlText w:val="%1."/>
      <w:lvlJc w:val="left"/>
      <w:pPr>
        <w:ind w:left="178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1EF362C"/>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33" w15:restartNumberingAfterBreak="0">
    <w:nsid w:val="74842C6F"/>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34" w15:restartNumberingAfterBreak="0">
    <w:nsid w:val="793F498E"/>
    <w:multiLevelType w:val="hybridMultilevel"/>
    <w:tmpl w:val="155609AC"/>
    <w:lvl w:ilvl="0" w:tplc="080A000F">
      <w:start w:val="1"/>
      <w:numFmt w:val="decimal"/>
      <w:lvlText w:val="%1."/>
      <w:lvlJc w:val="left"/>
      <w:pPr>
        <w:ind w:left="1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D1F6251"/>
    <w:multiLevelType w:val="hybridMultilevel"/>
    <w:tmpl w:val="D7206A9A"/>
    <w:lvl w:ilvl="0" w:tplc="412208D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4"/>
  </w:num>
  <w:num w:numId="4">
    <w:abstractNumId w:val="20"/>
  </w:num>
  <w:num w:numId="5">
    <w:abstractNumId w:val="23"/>
  </w:num>
  <w:num w:numId="6">
    <w:abstractNumId w:val="12"/>
  </w:num>
  <w:num w:numId="7">
    <w:abstractNumId w:val="35"/>
  </w:num>
  <w:num w:numId="8">
    <w:abstractNumId w:val="15"/>
  </w:num>
  <w:num w:numId="9">
    <w:abstractNumId w:val="16"/>
  </w:num>
  <w:num w:numId="10">
    <w:abstractNumId w:val="0"/>
  </w:num>
  <w:num w:numId="11">
    <w:abstractNumId w:val="5"/>
  </w:num>
  <w:num w:numId="12">
    <w:abstractNumId w:val="6"/>
  </w:num>
  <w:num w:numId="13">
    <w:abstractNumId w:val="29"/>
  </w:num>
  <w:num w:numId="14">
    <w:abstractNumId w:val="10"/>
  </w:num>
  <w:num w:numId="15">
    <w:abstractNumId w:val="17"/>
  </w:num>
  <w:num w:numId="16">
    <w:abstractNumId w:val="22"/>
  </w:num>
  <w:num w:numId="17">
    <w:abstractNumId w:val="27"/>
  </w:num>
  <w:num w:numId="18">
    <w:abstractNumId w:val="4"/>
  </w:num>
  <w:num w:numId="19">
    <w:abstractNumId w:val="28"/>
  </w:num>
  <w:num w:numId="20">
    <w:abstractNumId w:val="30"/>
  </w:num>
  <w:num w:numId="21">
    <w:abstractNumId w:val="7"/>
  </w:num>
  <w:num w:numId="22">
    <w:abstractNumId w:val="13"/>
  </w:num>
  <w:num w:numId="23">
    <w:abstractNumId w:val="9"/>
  </w:num>
  <w:num w:numId="24">
    <w:abstractNumId w:val="34"/>
  </w:num>
  <w:num w:numId="25">
    <w:abstractNumId w:val="24"/>
  </w:num>
  <w:num w:numId="26">
    <w:abstractNumId w:val="26"/>
  </w:num>
  <w:num w:numId="27">
    <w:abstractNumId w:val="3"/>
  </w:num>
  <w:num w:numId="28">
    <w:abstractNumId w:val="18"/>
  </w:num>
  <w:num w:numId="29">
    <w:abstractNumId w:val="32"/>
  </w:num>
  <w:num w:numId="30">
    <w:abstractNumId w:val="31"/>
  </w:num>
  <w:num w:numId="31">
    <w:abstractNumId w:val="1"/>
  </w:num>
  <w:num w:numId="32">
    <w:abstractNumId w:val="21"/>
  </w:num>
  <w:num w:numId="33">
    <w:abstractNumId w:val="33"/>
  </w:num>
  <w:num w:numId="34">
    <w:abstractNumId w:val="11"/>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6CB"/>
    <w:rsid w:val="00006E2A"/>
    <w:rsid w:val="00010D66"/>
    <w:rsid w:val="000124BC"/>
    <w:rsid w:val="00016245"/>
    <w:rsid w:val="00017BD8"/>
    <w:rsid w:val="00025290"/>
    <w:rsid w:val="00027381"/>
    <w:rsid w:val="00031333"/>
    <w:rsid w:val="000336AF"/>
    <w:rsid w:val="00037320"/>
    <w:rsid w:val="00040FD8"/>
    <w:rsid w:val="00042328"/>
    <w:rsid w:val="00043C35"/>
    <w:rsid w:val="00046E7E"/>
    <w:rsid w:val="000538E6"/>
    <w:rsid w:val="000571B3"/>
    <w:rsid w:val="000655EE"/>
    <w:rsid w:val="000726B3"/>
    <w:rsid w:val="00072F3D"/>
    <w:rsid w:val="00073158"/>
    <w:rsid w:val="00077AAF"/>
    <w:rsid w:val="0008377E"/>
    <w:rsid w:val="00087DF6"/>
    <w:rsid w:val="00090994"/>
    <w:rsid w:val="000A1D2F"/>
    <w:rsid w:val="000A264B"/>
    <w:rsid w:val="000A7739"/>
    <w:rsid w:val="000C198E"/>
    <w:rsid w:val="000C36C0"/>
    <w:rsid w:val="000C3D5B"/>
    <w:rsid w:val="000E016B"/>
    <w:rsid w:val="000E34A3"/>
    <w:rsid w:val="000E6056"/>
    <w:rsid w:val="000F1090"/>
    <w:rsid w:val="000F2744"/>
    <w:rsid w:val="000F3069"/>
    <w:rsid w:val="000F38EE"/>
    <w:rsid w:val="000F3F91"/>
    <w:rsid w:val="000F7309"/>
    <w:rsid w:val="0010128F"/>
    <w:rsid w:val="00102018"/>
    <w:rsid w:val="0010230D"/>
    <w:rsid w:val="00103099"/>
    <w:rsid w:val="0010669C"/>
    <w:rsid w:val="00116052"/>
    <w:rsid w:val="00116558"/>
    <w:rsid w:val="00117D8F"/>
    <w:rsid w:val="00120E40"/>
    <w:rsid w:val="001223E7"/>
    <w:rsid w:val="00123D10"/>
    <w:rsid w:val="001300D8"/>
    <w:rsid w:val="001324A5"/>
    <w:rsid w:val="00132635"/>
    <w:rsid w:val="0013403E"/>
    <w:rsid w:val="00136AF9"/>
    <w:rsid w:val="00137098"/>
    <w:rsid w:val="0013733B"/>
    <w:rsid w:val="00142DE9"/>
    <w:rsid w:val="00144720"/>
    <w:rsid w:val="00146A2F"/>
    <w:rsid w:val="001515C7"/>
    <w:rsid w:val="001527F4"/>
    <w:rsid w:val="00154235"/>
    <w:rsid w:val="001556D1"/>
    <w:rsid w:val="0015714F"/>
    <w:rsid w:val="00163669"/>
    <w:rsid w:val="001653FC"/>
    <w:rsid w:val="001656DD"/>
    <w:rsid w:val="00167759"/>
    <w:rsid w:val="001727BD"/>
    <w:rsid w:val="00177240"/>
    <w:rsid w:val="00177C7B"/>
    <w:rsid w:val="00180183"/>
    <w:rsid w:val="00185BD2"/>
    <w:rsid w:val="00197707"/>
    <w:rsid w:val="001A4540"/>
    <w:rsid w:val="001B1295"/>
    <w:rsid w:val="001B1BF6"/>
    <w:rsid w:val="001B27D5"/>
    <w:rsid w:val="001C055B"/>
    <w:rsid w:val="001C2C4E"/>
    <w:rsid w:val="001D72F3"/>
    <w:rsid w:val="001D7A79"/>
    <w:rsid w:val="001D7B5F"/>
    <w:rsid w:val="001E43FD"/>
    <w:rsid w:val="001E5ECD"/>
    <w:rsid w:val="001E68C6"/>
    <w:rsid w:val="001F0211"/>
    <w:rsid w:val="001F257A"/>
    <w:rsid w:val="001F2A31"/>
    <w:rsid w:val="001F3F21"/>
    <w:rsid w:val="001F4BD0"/>
    <w:rsid w:val="001F56EE"/>
    <w:rsid w:val="002020A1"/>
    <w:rsid w:val="00202ADF"/>
    <w:rsid w:val="00203923"/>
    <w:rsid w:val="002042AA"/>
    <w:rsid w:val="002047AC"/>
    <w:rsid w:val="00211156"/>
    <w:rsid w:val="00212545"/>
    <w:rsid w:val="00216656"/>
    <w:rsid w:val="00217BB5"/>
    <w:rsid w:val="00217EF2"/>
    <w:rsid w:val="00220D5B"/>
    <w:rsid w:val="002231F8"/>
    <w:rsid w:val="00226920"/>
    <w:rsid w:val="00226D01"/>
    <w:rsid w:val="00230FDA"/>
    <w:rsid w:val="0023277F"/>
    <w:rsid w:val="00233756"/>
    <w:rsid w:val="00240A2D"/>
    <w:rsid w:val="0025007D"/>
    <w:rsid w:val="00250696"/>
    <w:rsid w:val="00252377"/>
    <w:rsid w:val="0026070F"/>
    <w:rsid w:val="0026510F"/>
    <w:rsid w:val="00266708"/>
    <w:rsid w:val="00267DA5"/>
    <w:rsid w:val="00267E5B"/>
    <w:rsid w:val="0028125F"/>
    <w:rsid w:val="002818ED"/>
    <w:rsid w:val="00282125"/>
    <w:rsid w:val="00283772"/>
    <w:rsid w:val="002840C0"/>
    <w:rsid w:val="002969BA"/>
    <w:rsid w:val="002976DB"/>
    <w:rsid w:val="002A1989"/>
    <w:rsid w:val="002A620F"/>
    <w:rsid w:val="002A64CA"/>
    <w:rsid w:val="002A6D06"/>
    <w:rsid w:val="002B5A9F"/>
    <w:rsid w:val="002B6DF6"/>
    <w:rsid w:val="002C0E23"/>
    <w:rsid w:val="002C2E4E"/>
    <w:rsid w:val="002C72AE"/>
    <w:rsid w:val="002D790F"/>
    <w:rsid w:val="002E463A"/>
    <w:rsid w:val="002E59EC"/>
    <w:rsid w:val="002F00EE"/>
    <w:rsid w:val="003002FF"/>
    <w:rsid w:val="0030142D"/>
    <w:rsid w:val="0031250F"/>
    <w:rsid w:val="003177A7"/>
    <w:rsid w:val="003258AD"/>
    <w:rsid w:val="0033042C"/>
    <w:rsid w:val="00334132"/>
    <w:rsid w:val="00337919"/>
    <w:rsid w:val="003424A4"/>
    <w:rsid w:val="00350E0B"/>
    <w:rsid w:val="0035474C"/>
    <w:rsid w:val="00355714"/>
    <w:rsid w:val="003624C0"/>
    <w:rsid w:val="00363337"/>
    <w:rsid w:val="003659A3"/>
    <w:rsid w:val="00366D05"/>
    <w:rsid w:val="00372B1B"/>
    <w:rsid w:val="00372F75"/>
    <w:rsid w:val="00376A0E"/>
    <w:rsid w:val="00380565"/>
    <w:rsid w:val="003878E6"/>
    <w:rsid w:val="00397C34"/>
    <w:rsid w:val="003A0202"/>
    <w:rsid w:val="003A5D68"/>
    <w:rsid w:val="003A69A3"/>
    <w:rsid w:val="003A7898"/>
    <w:rsid w:val="003B3FED"/>
    <w:rsid w:val="003B5957"/>
    <w:rsid w:val="003C1533"/>
    <w:rsid w:val="003C3FED"/>
    <w:rsid w:val="003C4D24"/>
    <w:rsid w:val="003D02B7"/>
    <w:rsid w:val="003D723F"/>
    <w:rsid w:val="003D777C"/>
    <w:rsid w:val="003E1CE4"/>
    <w:rsid w:val="003E3A7C"/>
    <w:rsid w:val="003E3E83"/>
    <w:rsid w:val="003E4197"/>
    <w:rsid w:val="003E4F47"/>
    <w:rsid w:val="003E5B72"/>
    <w:rsid w:val="003F12A7"/>
    <w:rsid w:val="003F371B"/>
    <w:rsid w:val="00404429"/>
    <w:rsid w:val="00411979"/>
    <w:rsid w:val="004246C0"/>
    <w:rsid w:val="00426412"/>
    <w:rsid w:val="00427129"/>
    <w:rsid w:val="00431F8E"/>
    <w:rsid w:val="004413F0"/>
    <w:rsid w:val="00443E18"/>
    <w:rsid w:val="00446628"/>
    <w:rsid w:val="00460288"/>
    <w:rsid w:val="004629E7"/>
    <w:rsid w:val="00463C97"/>
    <w:rsid w:val="00472463"/>
    <w:rsid w:val="004736C0"/>
    <w:rsid w:val="00475298"/>
    <w:rsid w:val="004800A0"/>
    <w:rsid w:val="00480233"/>
    <w:rsid w:val="00480BE0"/>
    <w:rsid w:val="00485272"/>
    <w:rsid w:val="004965FC"/>
    <w:rsid w:val="004A2E68"/>
    <w:rsid w:val="004B4DD1"/>
    <w:rsid w:val="004C3E2D"/>
    <w:rsid w:val="004D0694"/>
    <w:rsid w:val="004D2C9A"/>
    <w:rsid w:val="004E2B2F"/>
    <w:rsid w:val="004E2B8F"/>
    <w:rsid w:val="004E37A0"/>
    <w:rsid w:val="004F6EE5"/>
    <w:rsid w:val="0050010E"/>
    <w:rsid w:val="00503156"/>
    <w:rsid w:val="00504AE0"/>
    <w:rsid w:val="00511ADB"/>
    <w:rsid w:val="005155ED"/>
    <w:rsid w:val="00517022"/>
    <w:rsid w:val="00522594"/>
    <w:rsid w:val="005234AE"/>
    <w:rsid w:val="00523AA1"/>
    <w:rsid w:val="00523BDD"/>
    <w:rsid w:val="00526678"/>
    <w:rsid w:val="00533B9E"/>
    <w:rsid w:val="00534B46"/>
    <w:rsid w:val="0053744C"/>
    <w:rsid w:val="0054471F"/>
    <w:rsid w:val="00545F96"/>
    <w:rsid w:val="005475F3"/>
    <w:rsid w:val="00547D80"/>
    <w:rsid w:val="00552FC8"/>
    <w:rsid w:val="00564B53"/>
    <w:rsid w:val="00566190"/>
    <w:rsid w:val="00573797"/>
    <w:rsid w:val="00583179"/>
    <w:rsid w:val="00597598"/>
    <w:rsid w:val="005C7441"/>
    <w:rsid w:val="005D0AE8"/>
    <w:rsid w:val="005D3D3E"/>
    <w:rsid w:val="005D62D1"/>
    <w:rsid w:val="005E68AB"/>
    <w:rsid w:val="005F11A3"/>
    <w:rsid w:val="005F2E5B"/>
    <w:rsid w:val="005F4721"/>
    <w:rsid w:val="005F50EE"/>
    <w:rsid w:val="005F65C1"/>
    <w:rsid w:val="006002F6"/>
    <w:rsid w:val="00600B83"/>
    <w:rsid w:val="0060122A"/>
    <w:rsid w:val="0060272A"/>
    <w:rsid w:val="00612F87"/>
    <w:rsid w:val="00615B5E"/>
    <w:rsid w:val="00621CB8"/>
    <w:rsid w:val="006250BF"/>
    <w:rsid w:val="006262D8"/>
    <w:rsid w:val="006272E4"/>
    <w:rsid w:val="00627823"/>
    <w:rsid w:val="00631115"/>
    <w:rsid w:val="00631C3C"/>
    <w:rsid w:val="00643C55"/>
    <w:rsid w:val="00646191"/>
    <w:rsid w:val="00652872"/>
    <w:rsid w:val="00654DB9"/>
    <w:rsid w:val="00656495"/>
    <w:rsid w:val="006568D7"/>
    <w:rsid w:val="00664695"/>
    <w:rsid w:val="00664E03"/>
    <w:rsid w:val="00667350"/>
    <w:rsid w:val="00674D40"/>
    <w:rsid w:val="006772DF"/>
    <w:rsid w:val="00680439"/>
    <w:rsid w:val="00685483"/>
    <w:rsid w:val="00687DE0"/>
    <w:rsid w:val="006938ED"/>
    <w:rsid w:val="006A0C3F"/>
    <w:rsid w:val="006A2E9D"/>
    <w:rsid w:val="006A5FC8"/>
    <w:rsid w:val="006B1BE3"/>
    <w:rsid w:val="006C3F7A"/>
    <w:rsid w:val="006D0A2F"/>
    <w:rsid w:val="006D108C"/>
    <w:rsid w:val="006D3B1C"/>
    <w:rsid w:val="006D4351"/>
    <w:rsid w:val="006D6953"/>
    <w:rsid w:val="006D7F4D"/>
    <w:rsid w:val="006E4B3A"/>
    <w:rsid w:val="006F66FC"/>
    <w:rsid w:val="006F70A4"/>
    <w:rsid w:val="0070456E"/>
    <w:rsid w:val="007048C8"/>
    <w:rsid w:val="00710A16"/>
    <w:rsid w:val="007144E3"/>
    <w:rsid w:val="00714BE5"/>
    <w:rsid w:val="0072093A"/>
    <w:rsid w:val="00720F5B"/>
    <w:rsid w:val="00721350"/>
    <w:rsid w:val="00721565"/>
    <w:rsid w:val="00735406"/>
    <w:rsid w:val="0074000D"/>
    <w:rsid w:val="00741B77"/>
    <w:rsid w:val="00741C15"/>
    <w:rsid w:val="0074480B"/>
    <w:rsid w:val="00745A63"/>
    <w:rsid w:val="00746F0C"/>
    <w:rsid w:val="00767258"/>
    <w:rsid w:val="00776105"/>
    <w:rsid w:val="007824BC"/>
    <w:rsid w:val="00785FA6"/>
    <w:rsid w:val="007902E0"/>
    <w:rsid w:val="0079131A"/>
    <w:rsid w:val="00793EC5"/>
    <w:rsid w:val="007953BC"/>
    <w:rsid w:val="00797E8E"/>
    <w:rsid w:val="007A00FF"/>
    <w:rsid w:val="007A0851"/>
    <w:rsid w:val="007A18D6"/>
    <w:rsid w:val="007A1D5F"/>
    <w:rsid w:val="007B1A9B"/>
    <w:rsid w:val="007B42FD"/>
    <w:rsid w:val="007B43B8"/>
    <w:rsid w:val="007C0712"/>
    <w:rsid w:val="007C161A"/>
    <w:rsid w:val="007C6199"/>
    <w:rsid w:val="007C65B4"/>
    <w:rsid w:val="007D15CB"/>
    <w:rsid w:val="007D39E8"/>
    <w:rsid w:val="007E145D"/>
    <w:rsid w:val="007E5D2A"/>
    <w:rsid w:val="007E7010"/>
    <w:rsid w:val="007F11CA"/>
    <w:rsid w:val="007F44CA"/>
    <w:rsid w:val="00820BA6"/>
    <w:rsid w:val="00821AFA"/>
    <w:rsid w:val="008256D8"/>
    <w:rsid w:val="008516EC"/>
    <w:rsid w:val="00853B00"/>
    <w:rsid w:val="00857A08"/>
    <w:rsid w:val="00860069"/>
    <w:rsid w:val="00861372"/>
    <w:rsid w:val="008636AE"/>
    <w:rsid w:val="00864397"/>
    <w:rsid w:val="008659B3"/>
    <w:rsid w:val="00866359"/>
    <w:rsid w:val="00867FF4"/>
    <w:rsid w:val="008716A7"/>
    <w:rsid w:val="00872F9F"/>
    <w:rsid w:val="0088237E"/>
    <w:rsid w:val="00884105"/>
    <w:rsid w:val="008871B5"/>
    <w:rsid w:val="00890178"/>
    <w:rsid w:val="00893A6B"/>
    <w:rsid w:val="0089640A"/>
    <w:rsid w:val="008A172E"/>
    <w:rsid w:val="008A2984"/>
    <w:rsid w:val="008A484F"/>
    <w:rsid w:val="008A50B0"/>
    <w:rsid w:val="008B13B7"/>
    <w:rsid w:val="008B432F"/>
    <w:rsid w:val="008B5AC0"/>
    <w:rsid w:val="008B6E0E"/>
    <w:rsid w:val="008D329D"/>
    <w:rsid w:val="008D69FD"/>
    <w:rsid w:val="008E3926"/>
    <w:rsid w:val="008E4105"/>
    <w:rsid w:val="008E7E4C"/>
    <w:rsid w:val="008F0B57"/>
    <w:rsid w:val="008F189E"/>
    <w:rsid w:val="008F277C"/>
    <w:rsid w:val="008F48A9"/>
    <w:rsid w:val="008F56B8"/>
    <w:rsid w:val="00904021"/>
    <w:rsid w:val="0090625B"/>
    <w:rsid w:val="00910225"/>
    <w:rsid w:val="00911049"/>
    <w:rsid w:val="009126CA"/>
    <w:rsid w:val="009132DC"/>
    <w:rsid w:val="00917490"/>
    <w:rsid w:val="00921825"/>
    <w:rsid w:val="00922E1A"/>
    <w:rsid w:val="00927A9E"/>
    <w:rsid w:val="0093057A"/>
    <w:rsid w:val="00932B52"/>
    <w:rsid w:val="0094274E"/>
    <w:rsid w:val="00947841"/>
    <w:rsid w:val="00961BEA"/>
    <w:rsid w:val="00962316"/>
    <w:rsid w:val="00972359"/>
    <w:rsid w:val="00980E19"/>
    <w:rsid w:val="00984ED1"/>
    <w:rsid w:val="00993A23"/>
    <w:rsid w:val="00995AA0"/>
    <w:rsid w:val="00997453"/>
    <w:rsid w:val="00997D9B"/>
    <w:rsid w:val="009A07B7"/>
    <w:rsid w:val="009A23FF"/>
    <w:rsid w:val="009A266D"/>
    <w:rsid w:val="009A4001"/>
    <w:rsid w:val="009A6A1A"/>
    <w:rsid w:val="009B1A81"/>
    <w:rsid w:val="009B4AFE"/>
    <w:rsid w:val="009B7559"/>
    <w:rsid w:val="009C41D1"/>
    <w:rsid w:val="009D18E4"/>
    <w:rsid w:val="009D5E48"/>
    <w:rsid w:val="009E0446"/>
    <w:rsid w:val="009E09E8"/>
    <w:rsid w:val="009E0BA7"/>
    <w:rsid w:val="009E11EC"/>
    <w:rsid w:val="009E2B97"/>
    <w:rsid w:val="009F46E5"/>
    <w:rsid w:val="009F49AF"/>
    <w:rsid w:val="009F6B4D"/>
    <w:rsid w:val="00A0577F"/>
    <w:rsid w:val="00A0642B"/>
    <w:rsid w:val="00A1443B"/>
    <w:rsid w:val="00A16DFB"/>
    <w:rsid w:val="00A234B9"/>
    <w:rsid w:val="00A30399"/>
    <w:rsid w:val="00A351D3"/>
    <w:rsid w:val="00A42363"/>
    <w:rsid w:val="00A46234"/>
    <w:rsid w:val="00A512AC"/>
    <w:rsid w:val="00A55918"/>
    <w:rsid w:val="00A56E15"/>
    <w:rsid w:val="00A609C8"/>
    <w:rsid w:val="00A658DC"/>
    <w:rsid w:val="00A67ACC"/>
    <w:rsid w:val="00A72695"/>
    <w:rsid w:val="00A80D96"/>
    <w:rsid w:val="00A81098"/>
    <w:rsid w:val="00A91AC3"/>
    <w:rsid w:val="00AA2412"/>
    <w:rsid w:val="00AB18DC"/>
    <w:rsid w:val="00AB3CED"/>
    <w:rsid w:val="00AB4516"/>
    <w:rsid w:val="00AC0390"/>
    <w:rsid w:val="00AC129A"/>
    <w:rsid w:val="00AC335F"/>
    <w:rsid w:val="00AC48FA"/>
    <w:rsid w:val="00AD0240"/>
    <w:rsid w:val="00AD25A6"/>
    <w:rsid w:val="00AD3385"/>
    <w:rsid w:val="00AE0D52"/>
    <w:rsid w:val="00AE24B6"/>
    <w:rsid w:val="00AE452E"/>
    <w:rsid w:val="00AE6680"/>
    <w:rsid w:val="00AE6EA3"/>
    <w:rsid w:val="00AE6EED"/>
    <w:rsid w:val="00AE7345"/>
    <w:rsid w:val="00AE7B3C"/>
    <w:rsid w:val="00AF1783"/>
    <w:rsid w:val="00AF1E38"/>
    <w:rsid w:val="00AF29F8"/>
    <w:rsid w:val="00AF5841"/>
    <w:rsid w:val="00B0679B"/>
    <w:rsid w:val="00B13CA3"/>
    <w:rsid w:val="00B224C2"/>
    <w:rsid w:val="00B238D1"/>
    <w:rsid w:val="00B2726D"/>
    <w:rsid w:val="00B332B8"/>
    <w:rsid w:val="00B35C7D"/>
    <w:rsid w:val="00B367EE"/>
    <w:rsid w:val="00B4223C"/>
    <w:rsid w:val="00B43012"/>
    <w:rsid w:val="00B444DD"/>
    <w:rsid w:val="00B6163E"/>
    <w:rsid w:val="00B61E78"/>
    <w:rsid w:val="00B63221"/>
    <w:rsid w:val="00B66AEF"/>
    <w:rsid w:val="00B66CD3"/>
    <w:rsid w:val="00B7234C"/>
    <w:rsid w:val="00B72B31"/>
    <w:rsid w:val="00B734D7"/>
    <w:rsid w:val="00B76AF1"/>
    <w:rsid w:val="00B80C24"/>
    <w:rsid w:val="00B83671"/>
    <w:rsid w:val="00B86114"/>
    <w:rsid w:val="00B9342C"/>
    <w:rsid w:val="00B934BF"/>
    <w:rsid w:val="00BA12A5"/>
    <w:rsid w:val="00BA7B7E"/>
    <w:rsid w:val="00BB4439"/>
    <w:rsid w:val="00BB51BC"/>
    <w:rsid w:val="00BB58C4"/>
    <w:rsid w:val="00BB76BC"/>
    <w:rsid w:val="00BC051E"/>
    <w:rsid w:val="00BC2D4D"/>
    <w:rsid w:val="00BD1FDC"/>
    <w:rsid w:val="00BD2839"/>
    <w:rsid w:val="00BD2B59"/>
    <w:rsid w:val="00BE3561"/>
    <w:rsid w:val="00BE57D5"/>
    <w:rsid w:val="00BF0403"/>
    <w:rsid w:val="00BF0F17"/>
    <w:rsid w:val="00BF1BCF"/>
    <w:rsid w:val="00BF2E83"/>
    <w:rsid w:val="00BF4212"/>
    <w:rsid w:val="00BF5D40"/>
    <w:rsid w:val="00BF76BC"/>
    <w:rsid w:val="00C133CA"/>
    <w:rsid w:val="00C1710E"/>
    <w:rsid w:val="00C22141"/>
    <w:rsid w:val="00C22D53"/>
    <w:rsid w:val="00C22E74"/>
    <w:rsid w:val="00C27A47"/>
    <w:rsid w:val="00C30B2F"/>
    <w:rsid w:val="00C31133"/>
    <w:rsid w:val="00C338D0"/>
    <w:rsid w:val="00C37D11"/>
    <w:rsid w:val="00C43FD1"/>
    <w:rsid w:val="00C56811"/>
    <w:rsid w:val="00C6078B"/>
    <w:rsid w:val="00C60C6C"/>
    <w:rsid w:val="00C61723"/>
    <w:rsid w:val="00C62CA9"/>
    <w:rsid w:val="00C70877"/>
    <w:rsid w:val="00C741DB"/>
    <w:rsid w:val="00C74D95"/>
    <w:rsid w:val="00C8255A"/>
    <w:rsid w:val="00C862C0"/>
    <w:rsid w:val="00C913A0"/>
    <w:rsid w:val="00C92ADE"/>
    <w:rsid w:val="00C94280"/>
    <w:rsid w:val="00C94B34"/>
    <w:rsid w:val="00C95AB7"/>
    <w:rsid w:val="00C95B29"/>
    <w:rsid w:val="00CA4586"/>
    <w:rsid w:val="00CA6AD2"/>
    <w:rsid w:val="00CB0B39"/>
    <w:rsid w:val="00CB23D1"/>
    <w:rsid w:val="00CC74BD"/>
    <w:rsid w:val="00CD1307"/>
    <w:rsid w:val="00CF15B8"/>
    <w:rsid w:val="00CF1ACC"/>
    <w:rsid w:val="00D12106"/>
    <w:rsid w:val="00D12B58"/>
    <w:rsid w:val="00D13CEC"/>
    <w:rsid w:val="00D23541"/>
    <w:rsid w:val="00D23888"/>
    <w:rsid w:val="00D3256E"/>
    <w:rsid w:val="00D32BD5"/>
    <w:rsid w:val="00D3311D"/>
    <w:rsid w:val="00D370D5"/>
    <w:rsid w:val="00D400A4"/>
    <w:rsid w:val="00D42945"/>
    <w:rsid w:val="00D439D9"/>
    <w:rsid w:val="00D52309"/>
    <w:rsid w:val="00D55C75"/>
    <w:rsid w:val="00D64C7E"/>
    <w:rsid w:val="00D65CEF"/>
    <w:rsid w:val="00D67A32"/>
    <w:rsid w:val="00D7055B"/>
    <w:rsid w:val="00D73737"/>
    <w:rsid w:val="00D746C9"/>
    <w:rsid w:val="00D77857"/>
    <w:rsid w:val="00D80679"/>
    <w:rsid w:val="00D82007"/>
    <w:rsid w:val="00D830B0"/>
    <w:rsid w:val="00D8333F"/>
    <w:rsid w:val="00D87E97"/>
    <w:rsid w:val="00D92734"/>
    <w:rsid w:val="00D935FA"/>
    <w:rsid w:val="00D979D7"/>
    <w:rsid w:val="00DB0379"/>
    <w:rsid w:val="00DB5F8E"/>
    <w:rsid w:val="00DC0D44"/>
    <w:rsid w:val="00DC1C0A"/>
    <w:rsid w:val="00DC4860"/>
    <w:rsid w:val="00DC5C10"/>
    <w:rsid w:val="00DD2BA2"/>
    <w:rsid w:val="00DE370C"/>
    <w:rsid w:val="00DE4F67"/>
    <w:rsid w:val="00DF2CC8"/>
    <w:rsid w:val="00DF4D4A"/>
    <w:rsid w:val="00DF5287"/>
    <w:rsid w:val="00DF53A5"/>
    <w:rsid w:val="00E014D4"/>
    <w:rsid w:val="00E067B5"/>
    <w:rsid w:val="00E118F1"/>
    <w:rsid w:val="00E11E76"/>
    <w:rsid w:val="00E134F5"/>
    <w:rsid w:val="00E15983"/>
    <w:rsid w:val="00E2201B"/>
    <w:rsid w:val="00E25AE4"/>
    <w:rsid w:val="00E264AC"/>
    <w:rsid w:val="00E30026"/>
    <w:rsid w:val="00E31C4D"/>
    <w:rsid w:val="00E32947"/>
    <w:rsid w:val="00E33DFE"/>
    <w:rsid w:val="00E342A6"/>
    <w:rsid w:val="00E362CD"/>
    <w:rsid w:val="00E4294E"/>
    <w:rsid w:val="00E44932"/>
    <w:rsid w:val="00E515A3"/>
    <w:rsid w:val="00E54AE5"/>
    <w:rsid w:val="00E61CD8"/>
    <w:rsid w:val="00E63B14"/>
    <w:rsid w:val="00E70C64"/>
    <w:rsid w:val="00E73683"/>
    <w:rsid w:val="00E7509F"/>
    <w:rsid w:val="00E835DD"/>
    <w:rsid w:val="00E843F2"/>
    <w:rsid w:val="00E86952"/>
    <w:rsid w:val="00E87B4C"/>
    <w:rsid w:val="00E91E7D"/>
    <w:rsid w:val="00E92722"/>
    <w:rsid w:val="00E92C9A"/>
    <w:rsid w:val="00E97FC1"/>
    <w:rsid w:val="00EA6BAA"/>
    <w:rsid w:val="00EB3DFA"/>
    <w:rsid w:val="00EC39F4"/>
    <w:rsid w:val="00EC3EC5"/>
    <w:rsid w:val="00ED3CC4"/>
    <w:rsid w:val="00ED4552"/>
    <w:rsid w:val="00ED6B74"/>
    <w:rsid w:val="00EE1ED0"/>
    <w:rsid w:val="00EE5AAB"/>
    <w:rsid w:val="00EE5ADF"/>
    <w:rsid w:val="00EE70D5"/>
    <w:rsid w:val="00EF0332"/>
    <w:rsid w:val="00EF0945"/>
    <w:rsid w:val="00EF24FB"/>
    <w:rsid w:val="00EF5104"/>
    <w:rsid w:val="00EF685D"/>
    <w:rsid w:val="00F06187"/>
    <w:rsid w:val="00F062BD"/>
    <w:rsid w:val="00F07E4A"/>
    <w:rsid w:val="00F10AD6"/>
    <w:rsid w:val="00F117E0"/>
    <w:rsid w:val="00F13448"/>
    <w:rsid w:val="00F14F93"/>
    <w:rsid w:val="00F24D61"/>
    <w:rsid w:val="00F25088"/>
    <w:rsid w:val="00F25EED"/>
    <w:rsid w:val="00F3006C"/>
    <w:rsid w:val="00F3096A"/>
    <w:rsid w:val="00F44775"/>
    <w:rsid w:val="00F45B92"/>
    <w:rsid w:val="00F460D8"/>
    <w:rsid w:val="00F466F2"/>
    <w:rsid w:val="00F47B79"/>
    <w:rsid w:val="00F47FC3"/>
    <w:rsid w:val="00F61D24"/>
    <w:rsid w:val="00F725B7"/>
    <w:rsid w:val="00F77BEB"/>
    <w:rsid w:val="00F80F75"/>
    <w:rsid w:val="00F821B0"/>
    <w:rsid w:val="00F9430F"/>
    <w:rsid w:val="00F9451E"/>
    <w:rsid w:val="00F94925"/>
    <w:rsid w:val="00FA34E5"/>
    <w:rsid w:val="00FA3B9E"/>
    <w:rsid w:val="00FA3D21"/>
    <w:rsid w:val="00FA5019"/>
    <w:rsid w:val="00FA783E"/>
    <w:rsid w:val="00FA7E83"/>
    <w:rsid w:val="00FB2909"/>
    <w:rsid w:val="00FB2913"/>
    <w:rsid w:val="00FB6615"/>
    <w:rsid w:val="00FC546B"/>
    <w:rsid w:val="00FC7411"/>
    <w:rsid w:val="00FD4776"/>
    <w:rsid w:val="00FD5162"/>
    <w:rsid w:val="00FD67CD"/>
    <w:rsid w:val="00FE2A7F"/>
    <w:rsid w:val="00FE33F8"/>
    <w:rsid w:val="00FE39F3"/>
    <w:rsid w:val="00FE3C7E"/>
    <w:rsid w:val="00FE63C3"/>
    <w:rsid w:val="00FE78E9"/>
    <w:rsid w:val="00FF12A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docId w15:val="{2D9AB3DE-A645-4E6E-8AE6-0710331B9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57A"/>
    <w:rPr>
      <w:lang w:val="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R"/>
    <w:basedOn w:val="Fuentedeprrafopredeter"/>
    <w:link w:val="4GCha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0124BC"/>
    <w:rPr>
      <w:color w:val="0563C1" w:themeColor="hyperlink"/>
      <w:u w:val="single"/>
    </w:rPr>
  </w:style>
  <w:style w:type="paragraph" w:customStyle="1" w:styleId="xmsonormal">
    <w:name w:val="xmsonormal"/>
    <w:basedOn w:val="Normal"/>
    <w:rsid w:val="00D400A4"/>
    <w:pPr>
      <w:spacing w:before="100" w:beforeAutospacing="1" w:after="100" w:afterAutospacing="1" w:line="240" w:lineRule="auto"/>
    </w:pPr>
    <w:rPr>
      <w:rFonts w:ascii="Times New Roman" w:hAnsi="Times New Roman" w:cs="Times New Roman"/>
      <w:sz w:val="24"/>
      <w:szCs w:val="24"/>
      <w:lang w:eastAsia="es-MX"/>
    </w:rPr>
  </w:style>
  <w:style w:type="paragraph" w:styleId="Textoindependiente">
    <w:name w:val="Body Text"/>
    <w:basedOn w:val="Normal"/>
    <w:link w:val="TextoindependienteCar"/>
    <w:uiPriority w:val="99"/>
    <w:semiHidden/>
    <w:unhideWhenUsed/>
    <w:rsid w:val="00AC129A"/>
    <w:pPr>
      <w:spacing w:after="120"/>
    </w:pPr>
  </w:style>
  <w:style w:type="character" w:customStyle="1" w:styleId="TextoindependienteCar">
    <w:name w:val="Texto independiente Car"/>
    <w:basedOn w:val="Fuentedeprrafopredeter"/>
    <w:link w:val="Textoindependiente"/>
    <w:uiPriority w:val="99"/>
    <w:semiHidden/>
    <w:rsid w:val="00AC129A"/>
    <w:rPr>
      <w:lang w:val="es-MX"/>
    </w:rPr>
  </w:style>
  <w:style w:type="paragraph" w:styleId="Textoindependienteprimerasangra">
    <w:name w:val="Body Text First Indent"/>
    <w:basedOn w:val="Textoindependiente"/>
    <w:link w:val="TextoindependienteprimerasangraCar"/>
    <w:rsid w:val="00AC129A"/>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AC129A"/>
    <w:rPr>
      <w:rFonts w:eastAsia="Times New Roman" w:cs="Times New Roman"/>
      <w:sz w:val="26"/>
      <w:szCs w:val="24"/>
      <w:lang w:val="es-MX" w:eastAsia="es-ES"/>
    </w:rPr>
  </w:style>
  <w:style w:type="paragraph" w:styleId="Textodeglobo">
    <w:name w:val="Balloon Text"/>
    <w:basedOn w:val="Normal"/>
    <w:link w:val="TextodegloboCar"/>
    <w:uiPriority w:val="99"/>
    <w:semiHidden/>
    <w:unhideWhenUsed/>
    <w:rsid w:val="007F44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44CA"/>
    <w:rPr>
      <w:rFonts w:ascii="Segoe UI" w:hAnsi="Segoe UI" w:cs="Segoe UI"/>
      <w:sz w:val="18"/>
      <w:szCs w:val="18"/>
      <w:lang w:val="es-MX"/>
    </w:rPr>
  </w:style>
  <w:style w:type="paragraph" w:styleId="NormalWeb">
    <w:name w:val="Normal (Web)"/>
    <w:basedOn w:val="Normal"/>
    <w:uiPriority w:val="99"/>
    <w:unhideWhenUsed/>
    <w:rsid w:val="00F9451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link w:val="corte4fondoCar1"/>
    <w:qFormat/>
    <w:rsid w:val="00566190"/>
    <w:pPr>
      <w:spacing w:after="0" w:line="360" w:lineRule="auto"/>
      <w:ind w:firstLine="709"/>
      <w:jc w:val="both"/>
    </w:pPr>
    <w:rPr>
      <w:rFonts w:ascii="Arial" w:eastAsia="Times New Roman" w:hAnsi="Arial" w:cs="Times New Roman"/>
      <w:sz w:val="30"/>
      <w:szCs w:val="20"/>
      <w:lang w:val="x-none" w:eastAsia="es-MX"/>
    </w:rPr>
  </w:style>
  <w:style w:type="character" w:customStyle="1" w:styleId="corte4fondoCar1">
    <w:name w:val="corte4 fondo Car1"/>
    <w:link w:val="corte4fondo"/>
    <w:rsid w:val="00566190"/>
    <w:rPr>
      <w:rFonts w:ascii="Arial" w:eastAsia="Times New Roman" w:hAnsi="Arial" w:cs="Times New Roman"/>
      <w:sz w:val="30"/>
      <w:szCs w:val="20"/>
      <w:lang w:val="x-none" w:eastAsia="es-MX"/>
    </w:rPr>
  </w:style>
  <w:style w:type="paragraph" w:customStyle="1" w:styleId="Estilo">
    <w:name w:val="Estilo"/>
    <w:basedOn w:val="Sinespaciado"/>
    <w:link w:val="EstiloCar"/>
    <w:qFormat/>
    <w:rsid w:val="007E7010"/>
    <w:pPr>
      <w:jc w:val="both"/>
    </w:pPr>
    <w:rPr>
      <w:rFonts w:ascii="Arial" w:hAnsi="Arial"/>
      <w:sz w:val="24"/>
    </w:rPr>
  </w:style>
  <w:style w:type="character" w:customStyle="1" w:styleId="EstiloCar">
    <w:name w:val="Estilo Car"/>
    <w:basedOn w:val="Fuentedeprrafopredeter"/>
    <w:link w:val="Estilo"/>
    <w:rsid w:val="007E7010"/>
    <w:rPr>
      <w:rFonts w:ascii="Arial" w:hAnsi="Arial"/>
      <w:sz w:val="24"/>
      <w:lang w:val="es-MX"/>
    </w:rPr>
  </w:style>
  <w:style w:type="paragraph" w:styleId="Sinespaciado">
    <w:name w:val="No Spacing"/>
    <w:uiPriority w:val="1"/>
    <w:qFormat/>
    <w:rsid w:val="007E7010"/>
    <w:pPr>
      <w:spacing w:after="0" w:line="240" w:lineRule="auto"/>
    </w:pPr>
    <w:rPr>
      <w:lang w:val="es-MX"/>
    </w:rPr>
  </w:style>
  <w:style w:type="character" w:customStyle="1" w:styleId="text-justify">
    <w:name w:val="text-justify"/>
    <w:basedOn w:val="Fuentedeprrafopredeter"/>
    <w:rsid w:val="00E134F5"/>
  </w:style>
  <w:style w:type="character" w:customStyle="1" w:styleId="ng-star-inserted">
    <w:name w:val="ng-star-inserted"/>
    <w:basedOn w:val="Fuentedeprrafopredeter"/>
    <w:rsid w:val="00F10AD6"/>
  </w:style>
  <w:style w:type="table" w:styleId="Tabladecuadrcula1clara">
    <w:name w:val="Grid Table 1 Light"/>
    <w:basedOn w:val="Tablanormal"/>
    <w:uiPriority w:val="46"/>
    <w:rsid w:val="006938E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4-nfasis5">
    <w:name w:val="Grid Table 4 Accent 5"/>
    <w:basedOn w:val="Tablanormal"/>
    <w:uiPriority w:val="49"/>
    <w:rsid w:val="006938E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Refdecomentario">
    <w:name w:val="annotation reference"/>
    <w:basedOn w:val="Fuentedeprrafopredeter"/>
    <w:uiPriority w:val="99"/>
    <w:semiHidden/>
    <w:unhideWhenUsed/>
    <w:rsid w:val="001515C7"/>
    <w:rPr>
      <w:sz w:val="16"/>
      <w:szCs w:val="16"/>
    </w:rPr>
  </w:style>
  <w:style w:type="paragraph" w:styleId="Textocomentario">
    <w:name w:val="annotation text"/>
    <w:basedOn w:val="Normal"/>
    <w:link w:val="TextocomentarioCar"/>
    <w:uiPriority w:val="99"/>
    <w:semiHidden/>
    <w:unhideWhenUsed/>
    <w:rsid w:val="001515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515C7"/>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515C7"/>
    <w:rPr>
      <w:b/>
      <w:bCs/>
    </w:rPr>
  </w:style>
  <w:style w:type="character" w:customStyle="1" w:styleId="AsuntodelcomentarioCar">
    <w:name w:val="Asunto del comentario Car"/>
    <w:basedOn w:val="TextocomentarioCar"/>
    <w:link w:val="Asuntodelcomentario"/>
    <w:uiPriority w:val="99"/>
    <w:semiHidden/>
    <w:rsid w:val="001515C7"/>
    <w:rPr>
      <w:b/>
      <w:bCs/>
      <w:sz w:val="20"/>
      <w:szCs w:val="20"/>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rsid w:val="00FA5019"/>
    <w:pPr>
      <w:spacing w:after="0" w:line="240" w:lineRule="auto"/>
      <w:jc w:val="both"/>
    </w:pPr>
    <w:rPr>
      <w:vertAlign w:val="superscript"/>
      <w:lang w:val="es-ES"/>
    </w:rPr>
  </w:style>
  <w:style w:type="table" w:styleId="Tabladecuadrcula4-nfasis3">
    <w:name w:val="Grid Table 4 Accent 3"/>
    <w:basedOn w:val="Tablanormal"/>
    <w:uiPriority w:val="49"/>
    <w:rsid w:val="004246C0"/>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Texto">
    <w:name w:val="Texto"/>
    <w:basedOn w:val="Normal"/>
    <w:link w:val="TextoCar"/>
    <w:qFormat/>
    <w:rsid w:val="007B43B8"/>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7B43B8"/>
    <w:rPr>
      <w:rFonts w:ascii="Arial" w:eastAsia="Times New Roman" w:hAnsi="Arial" w:cs="Arial"/>
      <w:sz w:val="18"/>
      <w:szCs w:val="20"/>
    </w:rPr>
  </w:style>
  <w:style w:type="character" w:styleId="Textoennegrita">
    <w:name w:val="Strong"/>
    <w:basedOn w:val="Fuentedeprrafopredeter"/>
    <w:uiPriority w:val="22"/>
    <w:qFormat/>
    <w:rsid w:val="007B43B8"/>
    <w:rPr>
      <w:b/>
      <w:bCs/>
    </w:rPr>
  </w:style>
  <w:style w:type="paragraph" w:customStyle="1" w:styleId="Default">
    <w:name w:val="Default"/>
    <w:rsid w:val="00142DE9"/>
    <w:pPr>
      <w:autoSpaceDE w:val="0"/>
      <w:autoSpaceDN w:val="0"/>
      <w:adjustRightInd w:val="0"/>
      <w:spacing w:after="0" w:line="240" w:lineRule="auto"/>
    </w:pPr>
    <w:rPr>
      <w:rFonts w:ascii="Arial" w:hAnsi="Arial" w:cs="Arial"/>
      <w:color w:val="000000"/>
      <w:sz w:val="24"/>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1955087">
      <w:bodyDiv w:val="1"/>
      <w:marLeft w:val="0"/>
      <w:marRight w:val="0"/>
      <w:marTop w:val="0"/>
      <w:marBottom w:val="0"/>
      <w:divBdr>
        <w:top w:val="none" w:sz="0" w:space="0" w:color="auto"/>
        <w:left w:val="none" w:sz="0" w:space="0" w:color="auto"/>
        <w:bottom w:val="none" w:sz="0" w:space="0" w:color="auto"/>
        <w:right w:val="none" w:sz="0" w:space="0" w:color="auto"/>
      </w:divBdr>
      <w:divsChild>
        <w:div w:id="501549421">
          <w:marLeft w:val="0"/>
          <w:marRight w:val="0"/>
          <w:marTop w:val="0"/>
          <w:marBottom w:val="0"/>
          <w:divBdr>
            <w:top w:val="none" w:sz="0" w:space="0" w:color="auto"/>
            <w:left w:val="none" w:sz="0" w:space="0" w:color="auto"/>
            <w:bottom w:val="none" w:sz="0" w:space="0" w:color="auto"/>
            <w:right w:val="none" w:sz="0" w:space="0" w:color="auto"/>
          </w:divBdr>
          <w:divsChild>
            <w:div w:id="1454786249">
              <w:marLeft w:val="0"/>
              <w:marRight w:val="0"/>
              <w:marTop w:val="0"/>
              <w:marBottom w:val="0"/>
              <w:divBdr>
                <w:top w:val="none" w:sz="0" w:space="0" w:color="auto"/>
                <w:left w:val="none" w:sz="0" w:space="0" w:color="auto"/>
                <w:bottom w:val="none" w:sz="0" w:space="0" w:color="auto"/>
                <w:right w:val="none" w:sz="0" w:space="0" w:color="auto"/>
              </w:divBdr>
            </w:div>
          </w:divsChild>
        </w:div>
        <w:div w:id="977681719">
          <w:marLeft w:val="0"/>
          <w:marRight w:val="0"/>
          <w:marTop w:val="0"/>
          <w:marBottom w:val="0"/>
          <w:divBdr>
            <w:top w:val="none" w:sz="0" w:space="0" w:color="auto"/>
            <w:left w:val="none" w:sz="0" w:space="0" w:color="auto"/>
            <w:bottom w:val="none" w:sz="0" w:space="0" w:color="auto"/>
            <w:right w:val="none" w:sz="0" w:space="0" w:color="auto"/>
          </w:divBdr>
          <w:divsChild>
            <w:div w:id="93069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74108">
      <w:bodyDiv w:val="1"/>
      <w:marLeft w:val="0"/>
      <w:marRight w:val="0"/>
      <w:marTop w:val="0"/>
      <w:marBottom w:val="0"/>
      <w:divBdr>
        <w:top w:val="none" w:sz="0" w:space="0" w:color="auto"/>
        <w:left w:val="none" w:sz="0" w:space="0" w:color="auto"/>
        <w:bottom w:val="none" w:sz="0" w:space="0" w:color="auto"/>
        <w:right w:val="none" w:sz="0" w:space="0" w:color="auto"/>
      </w:divBdr>
    </w:div>
    <w:div w:id="586155656">
      <w:bodyDiv w:val="1"/>
      <w:marLeft w:val="0"/>
      <w:marRight w:val="0"/>
      <w:marTop w:val="0"/>
      <w:marBottom w:val="0"/>
      <w:divBdr>
        <w:top w:val="none" w:sz="0" w:space="0" w:color="auto"/>
        <w:left w:val="none" w:sz="0" w:space="0" w:color="auto"/>
        <w:bottom w:val="none" w:sz="0" w:space="0" w:color="auto"/>
        <w:right w:val="none" w:sz="0" w:space="0" w:color="auto"/>
      </w:divBdr>
    </w:div>
    <w:div w:id="786243763">
      <w:bodyDiv w:val="1"/>
      <w:marLeft w:val="0"/>
      <w:marRight w:val="0"/>
      <w:marTop w:val="0"/>
      <w:marBottom w:val="0"/>
      <w:divBdr>
        <w:top w:val="none" w:sz="0" w:space="0" w:color="auto"/>
        <w:left w:val="none" w:sz="0" w:space="0" w:color="auto"/>
        <w:bottom w:val="none" w:sz="0" w:space="0" w:color="auto"/>
        <w:right w:val="none" w:sz="0" w:space="0" w:color="auto"/>
      </w:divBdr>
    </w:div>
    <w:div w:id="843279727">
      <w:bodyDiv w:val="1"/>
      <w:marLeft w:val="0"/>
      <w:marRight w:val="0"/>
      <w:marTop w:val="0"/>
      <w:marBottom w:val="0"/>
      <w:divBdr>
        <w:top w:val="none" w:sz="0" w:space="0" w:color="auto"/>
        <w:left w:val="none" w:sz="0" w:space="0" w:color="auto"/>
        <w:bottom w:val="none" w:sz="0" w:space="0" w:color="auto"/>
        <w:right w:val="none" w:sz="0" w:space="0" w:color="auto"/>
      </w:divBdr>
    </w:div>
    <w:div w:id="1092124201">
      <w:bodyDiv w:val="1"/>
      <w:marLeft w:val="0"/>
      <w:marRight w:val="0"/>
      <w:marTop w:val="0"/>
      <w:marBottom w:val="0"/>
      <w:divBdr>
        <w:top w:val="none" w:sz="0" w:space="0" w:color="auto"/>
        <w:left w:val="none" w:sz="0" w:space="0" w:color="auto"/>
        <w:bottom w:val="none" w:sz="0" w:space="0" w:color="auto"/>
        <w:right w:val="none" w:sz="0" w:space="0" w:color="auto"/>
      </w:divBdr>
    </w:div>
    <w:div w:id="1477916859">
      <w:bodyDiv w:val="1"/>
      <w:marLeft w:val="0"/>
      <w:marRight w:val="0"/>
      <w:marTop w:val="0"/>
      <w:marBottom w:val="0"/>
      <w:divBdr>
        <w:top w:val="none" w:sz="0" w:space="0" w:color="auto"/>
        <w:left w:val="none" w:sz="0" w:space="0" w:color="auto"/>
        <w:bottom w:val="none" w:sz="0" w:space="0" w:color="auto"/>
        <w:right w:val="none" w:sz="0" w:space="0" w:color="auto"/>
      </w:divBdr>
    </w:div>
    <w:div w:id="1515608624">
      <w:bodyDiv w:val="1"/>
      <w:marLeft w:val="0"/>
      <w:marRight w:val="0"/>
      <w:marTop w:val="0"/>
      <w:marBottom w:val="0"/>
      <w:divBdr>
        <w:top w:val="none" w:sz="0" w:space="0" w:color="auto"/>
        <w:left w:val="none" w:sz="0" w:space="0" w:color="auto"/>
        <w:bottom w:val="none" w:sz="0" w:space="0" w:color="auto"/>
        <w:right w:val="none" w:sz="0" w:space="0" w:color="auto"/>
      </w:divBdr>
    </w:div>
    <w:div w:id="21211452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javascript:void(0)" TargetMode="External"/><Relationship Id="rId1" Type="http://schemas.openxmlformats.org/officeDocument/2006/relationships/hyperlink" Target="https://snt.org.mx/wp-content/uploads/2021/08/Lineamientos_Funcionalidad_PNT_09072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60C5786-4AA6-304B-A69A-D6721B800463}" type="doc">
      <dgm:prSet loTypeId="urn:microsoft.com/office/officeart/2005/8/layout/chevron1" loCatId="" qsTypeId="urn:microsoft.com/office/officeart/2005/8/quickstyle/simple1" qsCatId="simple" csTypeId="urn:microsoft.com/office/officeart/2005/8/colors/accent1_1" csCatId="accent1" phldr="1"/>
      <dgm:spPr/>
    </dgm:pt>
    <dgm:pt modelId="{B8A98E89-6994-184C-B0BB-78D543005726}">
      <dgm:prSet phldrT="[Texto]"/>
      <dgm:spPr/>
      <dgm:t>
        <a:bodyPr/>
        <a:lstStyle/>
        <a:p>
          <a:r>
            <a:rPr lang="es-MX" b="1"/>
            <a:t>A)</a:t>
          </a:r>
        </a:p>
        <a:p>
          <a:r>
            <a:rPr lang="es-MX"/>
            <a:t>Requisitos formales de la información conforme los Lineamientos de Clasificación […].</a:t>
          </a:r>
        </a:p>
      </dgm:t>
    </dgm:pt>
    <dgm:pt modelId="{6BD9A343-DF67-F34C-A1E8-EF3A2E0AAE10}" type="parTrans" cxnId="{C04E86EF-B097-934C-9E4A-A11DC58D5BB5}">
      <dgm:prSet/>
      <dgm:spPr/>
      <dgm:t>
        <a:bodyPr/>
        <a:lstStyle/>
        <a:p>
          <a:endParaRPr lang="es-ES"/>
        </a:p>
      </dgm:t>
    </dgm:pt>
    <dgm:pt modelId="{23E86007-53CF-684A-9DC0-828B351254D3}" type="sibTrans" cxnId="{C04E86EF-B097-934C-9E4A-A11DC58D5BB5}">
      <dgm:prSet/>
      <dgm:spPr/>
      <dgm:t>
        <a:bodyPr/>
        <a:lstStyle/>
        <a:p>
          <a:endParaRPr lang="es-ES"/>
        </a:p>
      </dgm:t>
    </dgm:pt>
    <dgm:pt modelId="{5B09FBAA-D732-AF43-A0EE-A593A7C43326}">
      <dgm:prSet phldrT="[Texto]"/>
      <dgm:spPr/>
      <dgm:t>
        <a:bodyPr/>
        <a:lstStyle/>
        <a:p>
          <a:r>
            <a:rPr lang="es-MX" b="1"/>
            <a:t>B)</a:t>
          </a:r>
        </a:p>
        <a:p>
          <a:r>
            <a:rPr lang="es-MX"/>
            <a:t>Requisitos materiales de la de la prueba de daño conforme la Ley de Transparencia Local vigente[...].</a:t>
          </a:r>
          <a:endParaRPr lang="es-ES"/>
        </a:p>
      </dgm:t>
    </dgm:pt>
    <dgm:pt modelId="{53B80C28-7526-E448-9324-668035C4258D}" type="parTrans" cxnId="{B8F08231-6843-CB43-B38E-D962F4541F37}">
      <dgm:prSet/>
      <dgm:spPr/>
      <dgm:t>
        <a:bodyPr/>
        <a:lstStyle/>
        <a:p>
          <a:endParaRPr lang="es-ES"/>
        </a:p>
      </dgm:t>
    </dgm:pt>
    <dgm:pt modelId="{7F05C82C-00EB-1F4E-B1F0-2C56FF13B085}" type="sibTrans" cxnId="{B8F08231-6843-CB43-B38E-D962F4541F37}">
      <dgm:prSet/>
      <dgm:spPr/>
      <dgm:t>
        <a:bodyPr/>
        <a:lstStyle/>
        <a:p>
          <a:endParaRPr lang="es-ES"/>
        </a:p>
      </dgm:t>
    </dgm:pt>
    <dgm:pt modelId="{97A285A8-EC7A-6C4A-9602-608889C83351}">
      <dgm:prSet phldrT="[Texto]"/>
      <dgm:spPr/>
      <dgm:t>
        <a:bodyPr/>
        <a:lstStyle/>
        <a:p>
          <a:r>
            <a:rPr lang="es-MX" b="1"/>
            <a:t>C)</a:t>
          </a:r>
        </a:p>
        <a:p>
          <a:r>
            <a:rPr lang="es-MX"/>
            <a:t>Requisitos formales de la de la prueba de daño conforme los Lineamientos de Clasificación […].</a:t>
          </a:r>
          <a:endParaRPr lang="es-ES"/>
        </a:p>
      </dgm:t>
    </dgm:pt>
    <dgm:pt modelId="{E0A13376-F225-BC47-9F44-2F851DEC7EA6}" type="parTrans" cxnId="{9297B1C6-1BC9-5A4E-99E0-6A1CB1C0937B}">
      <dgm:prSet/>
      <dgm:spPr/>
      <dgm:t>
        <a:bodyPr/>
        <a:lstStyle/>
        <a:p>
          <a:endParaRPr lang="es-ES"/>
        </a:p>
      </dgm:t>
    </dgm:pt>
    <dgm:pt modelId="{E0112BA8-2677-164F-901C-2F3A7560E31B}" type="sibTrans" cxnId="{9297B1C6-1BC9-5A4E-99E0-6A1CB1C0937B}">
      <dgm:prSet/>
      <dgm:spPr/>
      <dgm:t>
        <a:bodyPr/>
        <a:lstStyle/>
        <a:p>
          <a:endParaRPr lang="es-ES"/>
        </a:p>
      </dgm:t>
    </dgm:pt>
    <dgm:pt modelId="{C5CDFD65-FB69-2F43-9ADB-929F79D1EEF6}" type="pres">
      <dgm:prSet presAssocID="{A60C5786-4AA6-304B-A69A-D6721B800463}" presName="Name0" presStyleCnt="0">
        <dgm:presLayoutVars>
          <dgm:dir/>
          <dgm:animLvl val="lvl"/>
          <dgm:resizeHandles val="exact"/>
        </dgm:presLayoutVars>
      </dgm:prSet>
      <dgm:spPr/>
    </dgm:pt>
    <dgm:pt modelId="{BBF45ED4-25A7-FF42-8CE6-07E5763C2DA9}" type="pres">
      <dgm:prSet presAssocID="{B8A98E89-6994-184C-B0BB-78D543005726}" presName="parTxOnly" presStyleLbl="node1" presStyleIdx="0" presStyleCnt="3">
        <dgm:presLayoutVars>
          <dgm:chMax val="0"/>
          <dgm:chPref val="0"/>
          <dgm:bulletEnabled val="1"/>
        </dgm:presLayoutVars>
      </dgm:prSet>
      <dgm:spPr/>
      <dgm:t>
        <a:bodyPr/>
        <a:lstStyle/>
        <a:p>
          <a:endParaRPr lang="es-ES"/>
        </a:p>
      </dgm:t>
    </dgm:pt>
    <dgm:pt modelId="{DD258A25-A4CA-5E4E-9F38-CB6F7273BAF8}" type="pres">
      <dgm:prSet presAssocID="{23E86007-53CF-684A-9DC0-828B351254D3}" presName="parTxOnlySpace" presStyleCnt="0"/>
      <dgm:spPr/>
    </dgm:pt>
    <dgm:pt modelId="{9D5397E5-7053-6243-997E-467BBCBD3D3D}" type="pres">
      <dgm:prSet presAssocID="{5B09FBAA-D732-AF43-A0EE-A593A7C43326}" presName="parTxOnly" presStyleLbl="node1" presStyleIdx="1" presStyleCnt="3">
        <dgm:presLayoutVars>
          <dgm:chMax val="0"/>
          <dgm:chPref val="0"/>
          <dgm:bulletEnabled val="1"/>
        </dgm:presLayoutVars>
      </dgm:prSet>
      <dgm:spPr/>
      <dgm:t>
        <a:bodyPr/>
        <a:lstStyle/>
        <a:p>
          <a:endParaRPr lang="es-ES"/>
        </a:p>
      </dgm:t>
    </dgm:pt>
    <dgm:pt modelId="{209C387A-3C50-EE4D-81BD-A5583A6E7250}" type="pres">
      <dgm:prSet presAssocID="{7F05C82C-00EB-1F4E-B1F0-2C56FF13B085}" presName="parTxOnlySpace" presStyleCnt="0"/>
      <dgm:spPr/>
    </dgm:pt>
    <dgm:pt modelId="{C37645F5-3B81-CE4A-9230-03EB97933785}" type="pres">
      <dgm:prSet presAssocID="{97A285A8-EC7A-6C4A-9602-608889C83351}" presName="parTxOnly" presStyleLbl="node1" presStyleIdx="2" presStyleCnt="3" custLinFactNeighborX="-20155" custLinFactNeighborY="1539">
        <dgm:presLayoutVars>
          <dgm:chMax val="0"/>
          <dgm:chPref val="0"/>
          <dgm:bulletEnabled val="1"/>
        </dgm:presLayoutVars>
      </dgm:prSet>
      <dgm:spPr/>
      <dgm:t>
        <a:bodyPr/>
        <a:lstStyle/>
        <a:p>
          <a:endParaRPr lang="es-ES"/>
        </a:p>
      </dgm:t>
    </dgm:pt>
  </dgm:ptLst>
  <dgm:cxnLst>
    <dgm:cxn modelId="{B8F08231-6843-CB43-B38E-D962F4541F37}" srcId="{A60C5786-4AA6-304B-A69A-D6721B800463}" destId="{5B09FBAA-D732-AF43-A0EE-A593A7C43326}" srcOrd="1" destOrd="0" parTransId="{53B80C28-7526-E448-9324-668035C4258D}" sibTransId="{7F05C82C-00EB-1F4E-B1F0-2C56FF13B085}"/>
    <dgm:cxn modelId="{E94A15EE-D73B-4947-9219-F92FFBB19E32}" type="presOf" srcId="{5B09FBAA-D732-AF43-A0EE-A593A7C43326}" destId="{9D5397E5-7053-6243-997E-467BBCBD3D3D}" srcOrd="0" destOrd="0" presId="urn:microsoft.com/office/officeart/2005/8/layout/chevron1"/>
    <dgm:cxn modelId="{A2B5E601-3D0F-0044-BB12-9A9A583B8A59}" type="presOf" srcId="{B8A98E89-6994-184C-B0BB-78D543005726}" destId="{BBF45ED4-25A7-FF42-8CE6-07E5763C2DA9}" srcOrd="0" destOrd="0" presId="urn:microsoft.com/office/officeart/2005/8/layout/chevron1"/>
    <dgm:cxn modelId="{9297B1C6-1BC9-5A4E-99E0-6A1CB1C0937B}" srcId="{A60C5786-4AA6-304B-A69A-D6721B800463}" destId="{97A285A8-EC7A-6C4A-9602-608889C83351}" srcOrd="2" destOrd="0" parTransId="{E0A13376-F225-BC47-9F44-2F851DEC7EA6}" sibTransId="{E0112BA8-2677-164F-901C-2F3A7560E31B}"/>
    <dgm:cxn modelId="{99C67217-4C3E-2547-9AC9-9493F3F60D6E}" type="presOf" srcId="{97A285A8-EC7A-6C4A-9602-608889C83351}" destId="{C37645F5-3B81-CE4A-9230-03EB97933785}" srcOrd="0" destOrd="0" presId="urn:microsoft.com/office/officeart/2005/8/layout/chevron1"/>
    <dgm:cxn modelId="{64FF5DDD-F9C0-B74A-ADEA-BC67230398EF}" type="presOf" srcId="{A60C5786-4AA6-304B-A69A-D6721B800463}" destId="{C5CDFD65-FB69-2F43-9ADB-929F79D1EEF6}" srcOrd="0" destOrd="0" presId="urn:microsoft.com/office/officeart/2005/8/layout/chevron1"/>
    <dgm:cxn modelId="{C04E86EF-B097-934C-9E4A-A11DC58D5BB5}" srcId="{A60C5786-4AA6-304B-A69A-D6721B800463}" destId="{B8A98E89-6994-184C-B0BB-78D543005726}" srcOrd="0" destOrd="0" parTransId="{6BD9A343-DF67-F34C-A1E8-EF3A2E0AAE10}" sibTransId="{23E86007-53CF-684A-9DC0-828B351254D3}"/>
    <dgm:cxn modelId="{9BF8D836-244A-364F-9649-EC1634AF2815}" type="presParOf" srcId="{C5CDFD65-FB69-2F43-9ADB-929F79D1EEF6}" destId="{BBF45ED4-25A7-FF42-8CE6-07E5763C2DA9}" srcOrd="0" destOrd="0" presId="urn:microsoft.com/office/officeart/2005/8/layout/chevron1"/>
    <dgm:cxn modelId="{10712611-1C41-D748-AF99-799A61047691}" type="presParOf" srcId="{C5CDFD65-FB69-2F43-9ADB-929F79D1EEF6}" destId="{DD258A25-A4CA-5E4E-9F38-CB6F7273BAF8}" srcOrd="1" destOrd="0" presId="urn:microsoft.com/office/officeart/2005/8/layout/chevron1"/>
    <dgm:cxn modelId="{53838231-8A48-474C-A749-6FBF64E76F07}" type="presParOf" srcId="{C5CDFD65-FB69-2F43-9ADB-929F79D1EEF6}" destId="{9D5397E5-7053-6243-997E-467BBCBD3D3D}" srcOrd="2" destOrd="0" presId="urn:microsoft.com/office/officeart/2005/8/layout/chevron1"/>
    <dgm:cxn modelId="{7E6C72E2-E20F-624B-BEDE-EA4485CA2E53}" type="presParOf" srcId="{C5CDFD65-FB69-2F43-9ADB-929F79D1EEF6}" destId="{209C387A-3C50-EE4D-81BD-A5583A6E7250}" srcOrd="3" destOrd="0" presId="urn:microsoft.com/office/officeart/2005/8/layout/chevron1"/>
    <dgm:cxn modelId="{0EF63763-1E30-1544-AF8D-01072C9A4B8D}" type="presParOf" srcId="{C5CDFD65-FB69-2F43-9ADB-929F79D1EEF6}" destId="{C37645F5-3B81-CE4A-9230-03EB97933785}" srcOrd="4" destOrd="0" presId="urn:microsoft.com/office/officeart/2005/8/layout/chevron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BF45ED4-25A7-FF42-8CE6-07E5763C2DA9}">
      <dsp:nvSpPr>
        <dsp:cNvPr id="0" name=""/>
        <dsp:cNvSpPr/>
      </dsp:nvSpPr>
      <dsp:spPr>
        <a:xfrm>
          <a:off x="1772" y="706282"/>
          <a:ext cx="2159774" cy="863909"/>
        </a:xfrm>
        <a:prstGeom prst="chevron">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6005" tIns="12002" rIns="12002" bIns="12002" numCol="1" spcCol="1270" anchor="ctr" anchorCtr="0">
          <a:noAutofit/>
        </a:bodyPr>
        <a:lstStyle/>
        <a:p>
          <a:pPr lvl="0" algn="ctr" defTabSz="400050">
            <a:lnSpc>
              <a:spcPct val="90000"/>
            </a:lnSpc>
            <a:spcBef>
              <a:spcPct val="0"/>
            </a:spcBef>
            <a:spcAft>
              <a:spcPct val="35000"/>
            </a:spcAft>
          </a:pPr>
          <a:r>
            <a:rPr lang="es-MX" sz="900" b="1" kern="1200"/>
            <a:t>A)</a:t>
          </a:r>
        </a:p>
        <a:p>
          <a:pPr lvl="0" algn="ctr" defTabSz="400050">
            <a:lnSpc>
              <a:spcPct val="90000"/>
            </a:lnSpc>
            <a:spcBef>
              <a:spcPct val="0"/>
            </a:spcBef>
            <a:spcAft>
              <a:spcPct val="35000"/>
            </a:spcAft>
          </a:pPr>
          <a:r>
            <a:rPr lang="es-MX" sz="900" kern="1200"/>
            <a:t>Requisitos formales de la información conforme los Lineamientos de Clasificación […].</a:t>
          </a:r>
        </a:p>
      </dsp:txBody>
      <dsp:txXfrm>
        <a:off x="433727" y="706282"/>
        <a:ext cx="1295865" cy="863909"/>
      </dsp:txXfrm>
    </dsp:sp>
    <dsp:sp modelId="{9D5397E5-7053-6243-997E-467BBCBD3D3D}">
      <dsp:nvSpPr>
        <dsp:cNvPr id="0" name=""/>
        <dsp:cNvSpPr/>
      </dsp:nvSpPr>
      <dsp:spPr>
        <a:xfrm>
          <a:off x="1945570" y="706282"/>
          <a:ext cx="2159774" cy="863909"/>
        </a:xfrm>
        <a:prstGeom prst="chevron">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6005" tIns="12002" rIns="12002" bIns="12002" numCol="1" spcCol="1270" anchor="ctr" anchorCtr="0">
          <a:noAutofit/>
        </a:bodyPr>
        <a:lstStyle/>
        <a:p>
          <a:pPr lvl="0" algn="ctr" defTabSz="400050">
            <a:lnSpc>
              <a:spcPct val="90000"/>
            </a:lnSpc>
            <a:spcBef>
              <a:spcPct val="0"/>
            </a:spcBef>
            <a:spcAft>
              <a:spcPct val="35000"/>
            </a:spcAft>
          </a:pPr>
          <a:r>
            <a:rPr lang="es-MX" sz="900" b="1" kern="1200"/>
            <a:t>B)</a:t>
          </a:r>
        </a:p>
        <a:p>
          <a:pPr lvl="0" algn="ctr" defTabSz="400050">
            <a:lnSpc>
              <a:spcPct val="90000"/>
            </a:lnSpc>
            <a:spcBef>
              <a:spcPct val="0"/>
            </a:spcBef>
            <a:spcAft>
              <a:spcPct val="35000"/>
            </a:spcAft>
          </a:pPr>
          <a:r>
            <a:rPr lang="es-MX" sz="900" kern="1200"/>
            <a:t>Requisitos materiales de la de la prueba de daño conforme la Ley de Transparencia Local vigente[...].</a:t>
          </a:r>
          <a:endParaRPr lang="es-ES" sz="900" kern="1200"/>
        </a:p>
      </dsp:txBody>
      <dsp:txXfrm>
        <a:off x="2377525" y="706282"/>
        <a:ext cx="1295865" cy="863909"/>
      </dsp:txXfrm>
    </dsp:sp>
    <dsp:sp modelId="{C37645F5-3B81-CE4A-9230-03EB97933785}">
      <dsp:nvSpPr>
        <dsp:cNvPr id="0" name=""/>
        <dsp:cNvSpPr/>
      </dsp:nvSpPr>
      <dsp:spPr>
        <a:xfrm>
          <a:off x="3845837" y="719578"/>
          <a:ext cx="2159774" cy="863909"/>
        </a:xfrm>
        <a:prstGeom prst="chevron">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6005" tIns="12002" rIns="12002" bIns="12002" numCol="1" spcCol="1270" anchor="ctr" anchorCtr="0">
          <a:noAutofit/>
        </a:bodyPr>
        <a:lstStyle/>
        <a:p>
          <a:pPr lvl="0" algn="ctr" defTabSz="400050">
            <a:lnSpc>
              <a:spcPct val="90000"/>
            </a:lnSpc>
            <a:spcBef>
              <a:spcPct val="0"/>
            </a:spcBef>
            <a:spcAft>
              <a:spcPct val="35000"/>
            </a:spcAft>
          </a:pPr>
          <a:r>
            <a:rPr lang="es-MX" sz="900" b="1" kern="1200"/>
            <a:t>C)</a:t>
          </a:r>
        </a:p>
        <a:p>
          <a:pPr lvl="0" algn="ctr" defTabSz="400050">
            <a:lnSpc>
              <a:spcPct val="90000"/>
            </a:lnSpc>
            <a:spcBef>
              <a:spcPct val="0"/>
            </a:spcBef>
            <a:spcAft>
              <a:spcPct val="35000"/>
            </a:spcAft>
          </a:pPr>
          <a:r>
            <a:rPr lang="es-MX" sz="900" kern="1200"/>
            <a:t>Requisitos formales de la de la prueba de daño conforme los Lineamientos de Clasificación […].</a:t>
          </a:r>
          <a:endParaRPr lang="es-ES" sz="900" kern="1200"/>
        </a:p>
      </dsp:txBody>
      <dsp:txXfrm>
        <a:off x="4277792" y="719578"/>
        <a:ext cx="1295865" cy="863909"/>
      </dsp:txXfrm>
    </dsp:sp>
  </dsp:spTree>
</dsp:drawing>
</file>

<file path=word/diagrams/layout1.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771CA8-F919-4930-B35B-8743E137E2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58</Pages>
  <Words>18915</Words>
  <Characters>104035</Characters>
  <Application>Microsoft Office Word</Application>
  <DocSecurity>0</DocSecurity>
  <Lines>866</Lines>
  <Paragraphs>245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2</cp:revision>
  <cp:lastPrinted>2026-02-05T20:55:00Z</cp:lastPrinted>
  <dcterms:created xsi:type="dcterms:W3CDTF">2026-02-05T21:00:00Z</dcterms:created>
  <dcterms:modified xsi:type="dcterms:W3CDTF">2026-02-05T21:00:00Z</dcterms:modified>
</cp:coreProperties>
</file>