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1CE6627D"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3F069C">
        <w:rPr>
          <w:rFonts w:ascii="Arial" w:eastAsia="Times New Roman" w:hAnsi="Arial" w:cs="Arial"/>
          <w:color w:val="2F5496" w:themeColor="accent1" w:themeShade="BF"/>
          <w:sz w:val="24"/>
          <w:szCs w:val="23"/>
          <w:lang w:val="es-MX" w:eastAsia="es-ES"/>
        </w:rPr>
        <w:t>diecinueve</w:t>
      </w:r>
      <w:r w:rsidR="00080434" w:rsidRPr="00373248">
        <w:rPr>
          <w:rFonts w:ascii="Arial" w:eastAsia="Times New Roman" w:hAnsi="Arial" w:cs="Arial"/>
          <w:color w:val="2F5496" w:themeColor="accent1" w:themeShade="BF"/>
          <w:sz w:val="24"/>
          <w:szCs w:val="23"/>
          <w:lang w:val="es-MX" w:eastAsia="es-ES"/>
        </w:rPr>
        <w:t xml:space="preserve"> de septiembre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080434" w:rsidRPr="00373248">
        <w:rPr>
          <w:rFonts w:ascii="Arial" w:eastAsia="Times New Roman" w:hAnsi="Arial" w:cs="Arial"/>
          <w:b/>
          <w:color w:val="2F5496" w:themeColor="accent1" w:themeShade="BF"/>
          <w:sz w:val="24"/>
          <w:szCs w:val="23"/>
          <w:lang w:val="es-MX" w:eastAsia="es-ES"/>
        </w:rPr>
        <w:t>750</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bookmarkStart w:id="0" w:name="_GoBack"/>
      <w:bookmarkEnd w:id="0"/>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44084700"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8A37DD">
        <w:rPr>
          <w:rFonts w:ascii="Arial" w:eastAsia="Times New Roman" w:hAnsi="Arial" w:cs="Arial"/>
          <w:color w:val="2F5496" w:themeColor="accent1" w:themeShade="BF"/>
          <w:sz w:val="24"/>
          <w:szCs w:val="23"/>
          <w:lang w:val="es-MX" w:eastAsia="es-ES"/>
        </w:rPr>
        <w:t>diecinueve</w:t>
      </w:r>
      <w:r w:rsidR="00080434" w:rsidRPr="00373248">
        <w:rPr>
          <w:rFonts w:ascii="Arial" w:eastAsia="Times New Roman" w:hAnsi="Arial" w:cs="Arial"/>
          <w:color w:val="2F5496" w:themeColor="accent1" w:themeShade="BF"/>
          <w:sz w:val="24"/>
          <w:szCs w:val="23"/>
          <w:lang w:val="es-MX" w:eastAsia="es-ES"/>
        </w:rPr>
        <w:t xml:space="preserve"> de septiembre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7885BB48"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De acuerdo con las constancias de autos, se advierte que el</w:t>
      </w:r>
      <w:r w:rsidR="00ED0EC7" w:rsidRPr="00373248">
        <w:rPr>
          <w:rFonts w:ascii="Arial" w:eastAsia="Arial" w:hAnsi="Arial" w:cs="Arial"/>
          <w:iCs/>
          <w:color w:val="2F5496" w:themeColor="accent1" w:themeShade="BF"/>
          <w:spacing w:val="1"/>
          <w:sz w:val="24"/>
          <w:szCs w:val="23"/>
          <w:lang w:val="es-MX" w:eastAsia="es-ES"/>
        </w:rPr>
        <w:t xml:space="preserve"> </w:t>
      </w:r>
      <w:r w:rsidR="00080434" w:rsidRPr="00373248">
        <w:rPr>
          <w:rFonts w:ascii="Arial" w:eastAsia="Arial" w:hAnsi="Arial" w:cs="Arial"/>
          <w:b/>
          <w:iCs/>
          <w:color w:val="2F5496" w:themeColor="accent1" w:themeShade="BF"/>
          <w:spacing w:val="1"/>
          <w:sz w:val="24"/>
          <w:szCs w:val="23"/>
          <w:lang w:val="es-MX" w:eastAsia="es-ES"/>
        </w:rPr>
        <w:t>seis de agosto</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4D6EBED2" w14:textId="7C62A26B" w:rsidR="00373248" w:rsidRDefault="00373248" w:rsidP="00373248">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2EC70E1D" w14:textId="16A184C2" w:rsidR="00373248" w:rsidRPr="00373248" w:rsidRDefault="00373248" w:rsidP="00373248">
      <w:pPr>
        <w:spacing w:after="0" w:line="240" w:lineRule="auto"/>
        <w:ind w:left="680" w:right="680"/>
        <w:jc w:val="both"/>
        <w:rPr>
          <w:rFonts w:ascii="Arial" w:eastAsia="Arial" w:hAnsi="Arial" w:cs="Arial"/>
          <w:b/>
          <w:i/>
          <w:iCs/>
          <w:color w:val="2F5496" w:themeColor="accent1" w:themeShade="BF"/>
          <w:spacing w:val="1"/>
          <w:szCs w:val="23"/>
          <w:lang w:val="es-MX" w:eastAsia="es-ES"/>
        </w:rPr>
      </w:pPr>
      <w:r w:rsidRPr="00373248">
        <w:rPr>
          <w:rFonts w:ascii="Arial" w:eastAsia="Arial" w:hAnsi="Arial" w:cs="Arial"/>
          <w:b/>
          <w:i/>
          <w:iCs/>
          <w:color w:val="2F5496" w:themeColor="accent1" w:themeShade="BF"/>
          <w:spacing w:val="1"/>
          <w:szCs w:val="23"/>
          <w:lang w:val="es-MX" w:eastAsia="es-ES"/>
        </w:rPr>
        <w:t>5.1. Sentido y efectos de esta resolución.</w:t>
      </w:r>
    </w:p>
    <w:p w14:paraId="25754022" w14:textId="77777777" w:rsidR="00373248" w:rsidRPr="00373248" w:rsidRDefault="00373248" w:rsidP="00373248">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373248">
        <w:rPr>
          <w:rFonts w:ascii="Arial" w:eastAsia="Arial" w:hAnsi="Arial" w:cs="Arial"/>
          <w:b/>
          <w:bCs/>
          <w:i/>
          <w:iCs/>
          <w:color w:val="2F5496" w:themeColor="accent1" w:themeShade="BF"/>
          <w:spacing w:val="1"/>
          <w:szCs w:val="23"/>
          <w:lang w:val="es-MX" w:eastAsia="es-ES"/>
        </w:rPr>
        <w:t>REVOCA</w:t>
      </w:r>
      <w:r w:rsidRPr="00373248">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1E2A2AC6" w14:textId="77777777" w:rsidR="00373248" w:rsidRPr="00373248" w:rsidRDefault="00373248" w:rsidP="00373248">
      <w:pPr>
        <w:numPr>
          <w:ilvl w:val="0"/>
          <w:numId w:val="4"/>
        </w:numPr>
        <w:spacing w:after="0" w:line="240" w:lineRule="auto"/>
        <w:ind w:left="680" w:right="680" w:firstLine="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El Titular de la Unidad de Transparencia turne la solicitud de información a las áreas que resulten competentes para atender la solicitud de información, sin poder omitir a</w:t>
      </w:r>
      <w:r w:rsidRPr="00373248">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la Dirección de Seguridad Pública.</w:t>
      </w:r>
    </w:p>
    <w:p w14:paraId="52B7C046" w14:textId="77777777" w:rsidR="00373248" w:rsidRPr="00373248" w:rsidRDefault="00373248" w:rsidP="00373248">
      <w:pPr>
        <w:numPr>
          <w:ilvl w:val="0"/>
          <w:numId w:val="4"/>
        </w:numPr>
        <w:spacing w:after="0" w:line="240" w:lineRule="auto"/>
        <w:ind w:left="680" w:right="680" w:firstLine="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i/>
          <w:iCs/>
          <w:color w:val="2F5496" w:themeColor="accent1" w:themeShade="BF"/>
          <w:spacing w:val="1"/>
          <w:szCs w:val="23"/>
          <w:lang w:val="es-MX" w:eastAsia="es-ES"/>
        </w:rPr>
        <w:t xml:space="preserve">El Director de Seguridad Pública, de acuerdo al Manual de Organización del Municipio de Villa de la Paz,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w:t>
      </w:r>
      <w:r w:rsidRPr="00373248">
        <w:rPr>
          <w:rFonts w:ascii="Arial" w:eastAsia="Arial" w:hAnsi="Arial" w:cs="Arial"/>
          <w:i/>
          <w:iCs/>
          <w:color w:val="2F5496" w:themeColor="accent1" w:themeShade="BF"/>
          <w:spacing w:val="1"/>
          <w:szCs w:val="23"/>
          <w:lang w:val="es-MX" w:eastAsia="es-ES"/>
        </w:rPr>
        <w:lastRenderedPageBreak/>
        <w:t>que realiza las tareas de seguridad pública en el municipio, todo esto dentro del periodo de búsqueda comprendido del uno de octubre de dos mil veintiuno al treinta y uno de mayo de dos mil veinticinco.</w:t>
      </w:r>
    </w:p>
    <w:p w14:paraId="6E582F2B" w14:textId="77777777" w:rsidR="00373248" w:rsidRPr="00373248" w:rsidRDefault="00373248" w:rsidP="00373248">
      <w:pPr>
        <w:spacing w:after="0" w:line="240" w:lineRule="auto"/>
        <w:ind w:left="680" w:right="680"/>
        <w:jc w:val="both"/>
        <w:rPr>
          <w:rFonts w:ascii="Arial" w:eastAsia="Arial" w:hAnsi="Arial" w:cs="Arial"/>
          <w:bCs/>
          <w:i/>
          <w:iCs/>
          <w:color w:val="2F5496" w:themeColor="accent1" w:themeShade="BF"/>
          <w:spacing w:val="1"/>
          <w:szCs w:val="23"/>
          <w:lang w:val="es-MX" w:eastAsia="es-ES"/>
        </w:rPr>
      </w:pPr>
      <w:r w:rsidRPr="00373248">
        <w:rPr>
          <w:rFonts w:ascii="Arial" w:eastAsia="Arial" w:hAnsi="Arial" w:cs="Arial"/>
          <w:bCs/>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p w14:paraId="333E640B" w14:textId="74E92AA0" w:rsidR="00E43B8B" w:rsidRPr="00373248" w:rsidRDefault="00373248" w:rsidP="00373248">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6CAD98C2" w:rsidR="00564BC3" w:rsidRPr="00F22FAE" w:rsidRDefault="00564BC3"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373248" w:rsidRPr="00F22FAE">
        <w:rPr>
          <w:rFonts w:ascii="Arial" w:eastAsia="Arial" w:hAnsi="Arial" w:cs="Arial"/>
          <w:color w:val="2F5496" w:themeColor="accent1" w:themeShade="BF"/>
          <w:spacing w:val="1"/>
          <w:sz w:val="24"/>
          <w:szCs w:val="23"/>
          <w:lang w:val="es-MX" w:eastAsia="es-ES"/>
        </w:rPr>
        <w:t xml:space="preserve">Dicha determinación fue notificada </w:t>
      </w:r>
      <w:r w:rsidR="00373248" w:rsidRPr="00F22FAE">
        <w:rPr>
          <w:rFonts w:ascii="Arial" w:eastAsia="Arial" w:hAnsi="Arial" w:cs="Arial"/>
          <w:iCs/>
          <w:color w:val="2F5496" w:themeColor="accent1" w:themeShade="BF"/>
          <w:spacing w:val="1"/>
          <w:sz w:val="24"/>
          <w:szCs w:val="23"/>
          <w:lang w:val="es-MX" w:eastAsia="es-MX"/>
        </w:rPr>
        <w:t xml:space="preserve">al sujeto obligado </w:t>
      </w:r>
      <w:r w:rsidR="00DB7EE3" w:rsidRPr="00F22FAE">
        <w:rPr>
          <w:rFonts w:ascii="Arial" w:eastAsia="Arial" w:hAnsi="Arial" w:cs="Arial"/>
          <w:iCs/>
          <w:color w:val="2F5496" w:themeColor="accent1" w:themeShade="BF"/>
          <w:spacing w:val="1"/>
          <w:sz w:val="24"/>
          <w:szCs w:val="23"/>
          <w:lang w:val="es-MX" w:eastAsia="es-MX"/>
        </w:rPr>
        <w:t>mediante</w:t>
      </w:r>
      <w:r w:rsidR="00373248" w:rsidRPr="00F22FAE">
        <w:rPr>
          <w:rFonts w:ascii="Arial" w:eastAsia="Arial" w:hAnsi="Arial" w:cs="Arial"/>
          <w:iCs/>
          <w:color w:val="2F5496" w:themeColor="accent1" w:themeShade="BF"/>
          <w:spacing w:val="1"/>
          <w:sz w:val="24"/>
          <w:szCs w:val="23"/>
          <w:lang w:val="es-MX" w:eastAsia="es-MX"/>
        </w:rPr>
        <w:t xml:space="preserve"> </w:t>
      </w:r>
      <w:r w:rsidR="00DB7EE3" w:rsidRPr="00F22FAE">
        <w:rPr>
          <w:rFonts w:ascii="Arial" w:eastAsia="Arial" w:hAnsi="Arial" w:cs="Arial"/>
          <w:iCs/>
          <w:color w:val="2F5496" w:themeColor="accent1" w:themeShade="BF"/>
          <w:spacing w:val="1"/>
          <w:sz w:val="24"/>
          <w:szCs w:val="23"/>
          <w:lang w:val="es-MX" w:eastAsia="es-MX"/>
        </w:rPr>
        <w:t xml:space="preserve">oficio </w:t>
      </w:r>
      <w:r w:rsidR="00DB7EE3" w:rsidRPr="00F22FAE">
        <w:rPr>
          <w:rFonts w:ascii="Arial" w:eastAsia="Arial" w:hAnsi="Arial" w:cs="Arial"/>
          <w:b/>
          <w:iCs/>
          <w:color w:val="2F5496" w:themeColor="accent1" w:themeShade="BF"/>
          <w:spacing w:val="1"/>
          <w:sz w:val="24"/>
          <w:szCs w:val="23"/>
          <w:lang w:val="es-MX" w:eastAsia="es-MX"/>
        </w:rPr>
        <w:t>JGNA</w:t>
      </w:r>
      <w:r w:rsidR="00DB7EE3" w:rsidRPr="00F22FAE">
        <w:rPr>
          <w:rFonts w:ascii="Arial" w:eastAsia="Arial" w:hAnsi="Arial" w:cs="Arial"/>
          <w:b/>
          <w:bCs/>
          <w:iCs/>
          <w:color w:val="2F5496" w:themeColor="accent1" w:themeShade="BF"/>
          <w:spacing w:val="1"/>
          <w:sz w:val="24"/>
          <w:szCs w:val="23"/>
          <w:lang w:val="es-MX" w:eastAsia="es-MX"/>
        </w:rPr>
        <w:t xml:space="preserve">-143/2025, </w:t>
      </w:r>
      <w:r w:rsidR="00DB7EE3" w:rsidRPr="00F22FAE">
        <w:rPr>
          <w:rFonts w:ascii="Arial" w:eastAsia="Arial" w:hAnsi="Arial" w:cs="Arial"/>
          <w:bCs/>
          <w:iCs/>
          <w:color w:val="2F5496" w:themeColor="accent1" w:themeShade="BF"/>
          <w:spacing w:val="1"/>
          <w:sz w:val="24"/>
          <w:szCs w:val="23"/>
          <w:lang w:val="es-MX" w:eastAsia="es-MX"/>
        </w:rPr>
        <w:t>mismo que fue enviado</w:t>
      </w:r>
      <w:r w:rsidR="00DB7EE3" w:rsidRPr="00F22FAE">
        <w:rPr>
          <w:rFonts w:ascii="Arial" w:eastAsia="Arial" w:hAnsi="Arial" w:cs="Arial"/>
          <w:b/>
          <w:bCs/>
          <w:iCs/>
          <w:color w:val="2F5496" w:themeColor="accent1" w:themeShade="BF"/>
          <w:spacing w:val="1"/>
          <w:sz w:val="24"/>
          <w:szCs w:val="23"/>
          <w:lang w:val="es-MX" w:eastAsia="es-MX"/>
        </w:rPr>
        <w:t xml:space="preserve"> </w:t>
      </w:r>
      <w:r w:rsidR="00DB7EE3" w:rsidRPr="00F22FAE">
        <w:rPr>
          <w:rFonts w:ascii="Arial" w:eastAsia="Arial" w:hAnsi="Arial" w:cs="Arial"/>
          <w:bCs/>
          <w:iCs/>
          <w:color w:val="2F5496" w:themeColor="accent1" w:themeShade="BF"/>
          <w:spacing w:val="1"/>
          <w:sz w:val="24"/>
          <w:szCs w:val="23"/>
          <w:lang w:val="es-MX" w:eastAsia="es-MX"/>
        </w:rPr>
        <w:t>a</w:t>
      </w:r>
      <w:r w:rsidRPr="00F22FAE">
        <w:rPr>
          <w:rFonts w:ascii="Arial" w:eastAsia="Arial" w:hAnsi="Arial" w:cs="Arial"/>
          <w:iCs/>
          <w:color w:val="2F5496" w:themeColor="accent1" w:themeShade="BF"/>
          <w:spacing w:val="1"/>
          <w:sz w:val="24"/>
          <w:szCs w:val="23"/>
          <w:lang w:val="es-MX" w:eastAsia="es-MX"/>
        </w:rPr>
        <w:t xml:space="preserve"> </w:t>
      </w:r>
      <w:r w:rsidR="00F22FAE">
        <w:rPr>
          <w:rFonts w:ascii="Arial" w:eastAsia="Arial" w:hAnsi="Arial" w:cs="Arial"/>
          <w:iCs/>
          <w:color w:val="2F5496" w:themeColor="accent1" w:themeShade="BF"/>
          <w:spacing w:val="1"/>
          <w:sz w:val="24"/>
          <w:szCs w:val="23"/>
          <w:lang w:val="es-MX" w:eastAsia="es-MX"/>
        </w:rPr>
        <w:t>la cuenta de</w:t>
      </w:r>
      <w:r w:rsidR="00691794"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F22FAE">
        <w:rPr>
          <w:rFonts w:ascii="Arial" w:eastAsia="Arial" w:hAnsi="Arial" w:cs="Arial"/>
          <w:iCs/>
          <w:color w:val="2F5496" w:themeColor="accent1" w:themeShade="BF"/>
          <w:spacing w:val="1"/>
          <w:sz w:val="24"/>
          <w:szCs w:val="23"/>
          <w:lang w:val="es-MX" w:eastAsia="es-MX"/>
        </w:rPr>
        <w:t>éste</w:t>
      </w:r>
      <w:r w:rsidR="00691794" w:rsidRPr="00F22FAE">
        <w:rPr>
          <w:rFonts w:ascii="Arial" w:eastAsia="Arial" w:hAnsi="Arial" w:cs="Arial"/>
          <w:iCs/>
          <w:color w:val="2F5496" w:themeColor="accent1" w:themeShade="BF"/>
          <w:spacing w:val="1"/>
          <w:sz w:val="24"/>
          <w:szCs w:val="23"/>
          <w:lang w:val="es-MX" w:eastAsia="es-MX"/>
        </w:rPr>
        <w:t xml:space="preserve">, tal como </w:t>
      </w:r>
      <w:r w:rsidR="00DB7EE3" w:rsidRPr="00F22FAE">
        <w:rPr>
          <w:rFonts w:ascii="Arial" w:eastAsia="Arial" w:hAnsi="Arial" w:cs="Arial"/>
          <w:iCs/>
          <w:color w:val="2F5496" w:themeColor="accent1" w:themeShade="BF"/>
          <w:spacing w:val="1"/>
          <w:sz w:val="24"/>
          <w:szCs w:val="23"/>
          <w:lang w:val="es-MX" w:eastAsia="es-MX"/>
        </w:rPr>
        <w:t>quedó asentado</w:t>
      </w:r>
      <w:r w:rsidR="00691794" w:rsidRPr="00F22FAE">
        <w:rPr>
          <w:rFonts w:ascii="Arial" w:eastAsia="Arial" w:hAnsi="Arial" w:cs="Arial"/>
          <w:iCs/>
          <w:color w:val="2F5496" w:themeColor="accent1" w:themeShade="BF"/>
          <w:spacing w:val="1"/>
          <w:sz w:val="24"/>
          <w:szCs w:val="23"/>
          <w:lang w:val="es-MX" w:eastAsia="es-MX"/>
        </w:rPr>
        <w:t xml:space="preserve"> en la razón </w:t>
      </w:r>
      <w:r w:rsidR="00DB7EE3" w:rsidRPr="00F22FAE">
        <w:rPr>
          <w:rFonts w:ascii="Arial" w:eastAsia="Arial" w:hAnsi="Arial" w:cs="Arial"/>
          <w:iCs/>
          <w:color w:val="2F5496" w:themeColor="accent1" w:themeShade="BF"/>
          <w:spacing w:val="1"/>
          <w:sz w:val="24"/>
          <w:szCs w:val="23"/>
          <w:lang w:val="es-MX" w:eastAsia="es-MX"/>
        </w:rPr>
        <w:t>levantada por el N</w:t>
      </w:r>
      <w:r w:rsidR="00691794" w:rsidRPr="00F22FAE">
        <w:rPr>
          <w:rFonts w:ascii="Arial" w:eastAsia="Arial" w:hAnsi="Arial" w:cs="Arial"/>
          <w:iCs/>
          <w:color w:val="2F5496" w:themeColor="accent1" w:themeShade="BF"/>
          <w:spacing w:val="1"/>
          <w:sz w:val="24"/>
          <w:szCs w:val="23"/>
          <w:lang w:val="es-MX" w:eastAsia="es-MX"/>
        </w:rPr>
        <w:t>otificador</w:t>
      </w:r>
      <w:r w:rsidR="00F22FAE" w:rsidRPr="00F22FAE">
        <w:rPr>
          <w:rFonts w:ascii="Arial" w:eastAsia="Arial" w:hAnsi="Arial" w:cs="Arial"/>
          <w:iCs/>
          <w:color w:val="2F5496" w:themeColor="accent1" w:themeShade="BF"/>
          <w:spacing w:val="1"/>
          <w:sz w:val="24"/>
          <w:szCs w:val="23"/>
          <w:lang w:val="es-MX" w:eastAsia="es-MX"/>
        </w:rPr>
        <w:t xml:space="preserve"> adscrito a esta Comisión</w:t>
      </w:r>
      <w:r w:rsidR="00691794" w:rsidRPr="00F22FAE">
        <w:rPr>
          <w:rFonts w:ascii="Arial" w:eastAsia="Arial" w:hAnsi="Arial" w:cs="Arial"/>
          <w:iCs/>
          <w:color w:val="2F5496" w:themeColor="accent1" w:themeShade="BF"/>
          <w:spacing w:val="1"/>
          <w:sz w:val="24"/>
          <w:szCs w:val="23"/>
          <w:lang w:val="es-MX" w:eastAsia="es-MX"/>
        </w:rPr>
        <w:t xml:space="preserve">, misma que obra a </w:t>
      </w:r>
      <w:r w:rsidR="00F22FAE" w:rsidRPr="00F22FAE">
        <w:rPr>
          <w:rFonts w:ascii="Arial" w:eastAsia="Arial" w:hAnsi="Arial" w:cs="Arial"/>
          <w:iCs/>
          <w:color w:val="2F5496" w:themeColor="accent1" w:themeShade="BF"/>
          <w:spacing w:val="1"/>
          <w:sz w:val="24"/>
          <w:szCs w:val="23"/>
          <w:lang w:val="es-MX" w:eastAsia="es-MX"/>
        </w:rPr>
        <w:t>foja 30</w:t>
      </w:r>
      <w:r w:rsidR="00691794" w:rsidRPr="00F22FAE">
        <w:rPr>
          <w:rFonts w:ascii="Arial" w:eastAsia="Arial" w:hAnsi="Arial" w:cs="Arial"/>
          <w:iCs/>
          <w:color w:val="2F5496" w:themeColor="accent1" w:themeShade="BF"/>
          <w:spacing w:val="1"/>
          <w:sz w:val="24"/>
          <w:szCs w:val="23"/>
          <w:lang w:val="es-MX" w:eastAsia="es-MX"/>
        </w:rPr>
        <w:t xml:space="preserve"> de </w:t>
      </w:r>
      <w:r w:rsidR="00F22FAE" w:rsidRPr="00F22FAE">
        <w:rPr>
          <w:rFonts w:ascii="Arial" w:eastAsia="Arial" w:hAnsi="Arial" w:cs="Arial"/>
          <w:iCs/>
          <w:color w:val="2F5496" w:themeColor="accent1" w:themeShade="BF"/>
          <w:spacing w:val="1"/>
          <w:sz w:val="24"/>
          <w:szCs w:val="23"/>
          <w:lang w:val="es-MX" w:eastAsia="es-MX"/>
        </w:rPr>
        <w:t>autos</w:t>
      </w:r>
      <w:r w:rsidR="00691794" w:rsidRPr="00F22FAE">
        <w:rPr>
          <w:rFonts w:ascii="Arial" w:eastAsia="Arial" w:hAnsi="Arial" w:cs="Arial"/>
          <w:iCs/>
          <w:color w:val="2F5496" w:themeColor="accent1" w:themeShade="BF"/>
          <w:spacing w:val="1"/>
          <w:sz w:val="24"/>
          <w:szCs w:val="23"/>
          <w:lang w:val="es-MX" w:eastAsia="es-MX"/>
        </w:rPr>
        <w:t>.</w:t>
      </w:r>
    </w:p>
    <w:p w14:paraId="0D126EEE" w14:textId="73473226" w:rsidR="008A37DD"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Pr>
          <w:rFonts w:ascii="Arial" w:eastAsia="Arial" w:hAnsi="Arial" w:cs="Arial"/>
          <w:iCs/>
          <w:color w:val="2F5496" w:themeColor="accent1" w:themeShade="BF"/>
          <w:spacing w:val="1"/>
          <w:sz w:val="24"/>
          <w:szCs w:val="23"/>
          <w:lang w:val="es-MX" w:eastAsia="es-MX"/>
        </w:rPr>
        <w:t>seis de agosto de dos mil veinticinco</w:t>
      </w:r>
      <w:r>
        <w:rPr>
          <w:rFonts w:ascii="Arial" w:eastAsia="Arial" w:hAnsi="Arial" w:cs="Arial"/>
          <w:iCs/>
          <w:color w:val="2F5496" w:themeColor="accent1" w:themeShade="BF"/>
          <w:spacing w:val="1"/>
          <w:sz w:val="24"/>
          <w:szCs w:val="23"/>
          <w:lang w:val="es-MX" w:eastAsia="es-MX"/>
        </w:rPr>
        <w:t>, éste ha sido omiso en rendir el informe de cumplimiento respectivo.</w:t>
      </w:r>
    </w:p>
    <w:p w14:paraId="0E910FE6" w14:textId="7A3FE2B7" w:rsidR="008B2939"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el</w:t>
      </w:r>
      <w:r>
        <w:rPr>
          <w:rFonts w:ascii="Arial" w:eastAsia="Arial" w:hAnsi="Arial" w:cs="Arial"/>
          <w:iCs/>
          <w:color w:val="2F5496" w:themeColor="accent1" w:themeShade="BF"/>
          <w:spacing w:val="1"/>
          <w:sz w:val="24"/>
          <w:szCs w:val="23"/>
          <w:lang w:val="es-MX" w:eastAsia="es-MX"/>
        </w:rPr>
        <w:t xml:space="preserve"> cinco de septiembre de dos mil veinticinco, esta Comisión requirió al Titular de la Unidad de Transparencia de Ayuntamiento de Villa de la Paz </w:t>
      </w:r>
      <w:r w:rsidR="005B14AF">
        <w:rPr>
          <w:rFonts w:ascii="Arial" w:eastAsia="Arial" w:hAnsi="Arial" w:cs="Arial"/>
          <w:iCs/>
          <w:color w:val="2F5496" w:themeColor="accent1" w:themeShade="BF"/>
          <w:spacing w:val="1"/>
          <w:sz w:val="24"/>
          <w:szCs w:val="23"/>
          <w:lang w:val="es-MX" w:eastAsia="es-MX"/>
        </w:rPr>
        <w:t xml:space="preserve">para efecto de que, dentro del término de tres días hábiles, proporcionara las constancias que acreditaran </w:t>
      </w:r>
      <w:r>
        <w:rPr>
          <w:rFonts w:ascii="Arial" w:eastAsia="Arial" w:hAnsi="Arial" w:cs="Arial"/>
          <w:iCs/>
          <w:color w:val="2F5496" w:themeColor="accent1" w:themeShade="BF"/>
          <w:spacing w:val="1"/>
          <w:sz w:val="24"/>
          <w:szCs w:val="23"/>
          <w:lang w:val="es-MX" w:eastAsia="es-MX"/>
        </w:rPr>
        <w:t xml:space="preserve">el cumplimiento a la resolución </w:t>
      </w:r>
      <w:r w:rsidR="005B14AF">
        <w:rPr>
          <w:rFonts w:ascii="Arial" w:eastAsia="Arial" w:hAnsi="Arial" w:cs="Arial"/>
          <w:iCs/>
          <w:color w:val="2F5496" w:themeColor="accent1" w:themeShade="BF"/>
          <w:spacing w:val="1"/>
          <w:sz w:val="24"/>
          <w:szCs w:val="23"/>
          <w:lang w:val="es-MX" w:eastAsia="es-MX"/>
        </w:rPr>
        <w:t xml:space="preserve">dictada </w:t>
      </w:r>
      <w:r w:rsidR="005B14AF">
        <w:rPr>
          <w:rFonts w:ascii="Arial" w:eastAsia="Arial" w:hAnsi="Arial" w:cs="Arial"/>
          <w:iCs/>
          <w:color w:val="2F5496" w:themeColor="accent1" w:themeShade="BF"/>
          <w:spacing w:val="1"/>
          <w:sz w:val="24"/>
          <w:szCs w:val="23"/>
          <w:lang w:val="es-MX" w:eastAsia="es-MX"/>
        </w:rPr>
        <w:t>dentro del recurso de revisión en que se actúa</w:t>
      </w:r>
      <w:r w:rsidR="005B14AF">
        <w:rPr>
          <w:rFonts w:ascii="Arial" w:eastAsia="Arial" w:hAnsi="Arial" w:cs="Arial"/>
          <w:iCs/>
          <w:color w:val="2F5496" w:themeColor="accent1" w:themeShade="BF"/>
          <w:spacing w:val="1"/>
          <w:sz w:val="24"/>
          <w:szCs w:val="23"/>
          <w:lang w:val="es-MX" w:eastAsia="es-MX"/>
        </w:rPr>
        <w:t xml:space="preserve">, esto a través del oficio </w:t>
      </w:r>
      <w:r w:rsidR="005B14AF" w:rsidRPr="005B14AF">
        <w:rPr>
          <w:rFonts w:ascii="Arial" w:eastAsia="Arial" w:hAnsi="Arial" w:cs="Arial"/>
          <w:b/>
          <w:iCs/>
          <w:color w:val="2F5496" w:themeColor="accent1" w:themeShade="BF"/>
          <w:spacing w:val="1"/>
          <w:sz w:val="24"/>
          <w:szCs w:val="23"/>
          <w:lang w:val="es-MX" w:eastAsia="es-MX"/>
        </w:rPr>
        <w:t>JGNA-167/2025</w:t>
      </w:r>
      <w:r w:rsidR="005B14AF">
        <w:rPr>
          <w:rFonts w:ascii="Arial" w:eastAsia="Arial" w:hAnsi="Arial" w:cs="Arial"/>
          <w:iCs/>
          <w:color w:val="2F5496" w:themeColor="accent1" w:themeShade="BF"/>
          <w:spacing w:val="1"/>
          <w:sz w:val="24"/>
          <w:szCs w:val="23"/>
          <w:lang w:val="es-MX" w:eastAsia="es-MX"/>
        </w:rPr>
        <w:t>, mismo que fue enviado el ocho de septiembre de dos mil veinticinco a la cuenta de correo electrónico designado por el sujeto obligado para tal efecto, tal como se observa a foja 38 de autos.</w:t>
      </w:r>
    </w:p>
    <w:p w14:paraId="3AF744AC" w14:textId="4586E966"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 xml:space="preserve">La CEGAIP verificará de oficio la calidad de la información y, a más tardar al día siguiente de recibir el informe, dará vista al recurrente para que, dentro de los cinco días siguientes, manifieste lo que a su derecho </w:t>
      </w:r>
      <w:r w:rsidRPr="00F22FAE">
        <w:rPr>
          <w:rFonts w:ascii="Arial" w:eastAsia="Arial" w:hAnsi="Arial" w:cs="Arial"/>
          <w:i/>
          <w:iCs/>
          <w:color w:val="2F5496" w:themeColor="accent1" w:themeShade="BF"/>
          <w:spacing w:val="1"/>
          <w:szCs w:val="21"/>
          <w:lang w:val="es-MX" w:eastAsia="es-MX"/>
        </w:rPr>
        <w:lastRenderedPageBreak/>
        <w:t>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0D4862E1"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014B9A">
        <w:rPr>
          <w:rFonts w:ascii="Arial" w:eastAsia="Times New Roman" w:hAnsi="Arial" w:cs="Arial"/>
          <w:b/>
          <w:bCs/>
          <w:color w:val="2F5496" w:themeColor="accent1" w:themeShade="BF"/>
          <w:sz w:val="24"/>
          <w:szCs w:val="23"/>
          <w:u w:val="single"/>
          <w:lang w:val="es-MX" w:eastAsia="es-ES"/>
        </w:rPr>
        <w:t>VILLA DE LA PAZ</w:t>
      </w:r>
      <w:r w:rsidR="003F069C">
        <w:rPr>
          <w:rFonts w:ascii="Arial" w:eastAsia="Times New Roman" w:hAnsi="Arial" w:cs="Arial"/>
          <w:b/>
          <w:bCs/>
          <w:color w:val="2F5496" w:themeColor="accent1" w:themeShade="BF"/>
          <w:sz w:val="24"/>
          <w:szCs w:val="23"/>
          <w:u w:val="single"/>
          <w:lang w:val="es-MX" w:eastAsia="es-ES"/>
        </w:rPr>
        <w:t xml:space="preserve"> y al </w:t>
      </w:r>
      <w:r w:rsidR="00E90DF6" w:rsidRPr="003F069C">
        <w:rPr>
          <w:rFonts w:ascii="Arial" w:eastAsia="Times New Roman" w:hAnsi="Arial" w:cs="Arial"/>
          <w:b/>
          <w:bCs/>
          <w:color w:val="2F5496" w:themeColor="accent1" w:themeShade="BF"/>
          <w:sz w:val="24"/>
          <w:szCs w:val="23"/>
          <w:u w:val="single"/>
          <w:lang w:val="es-MX" w:eastAsia="es-ES"/>
        </w:rPr>
        <w:t>TITULAR DE LA UNIDAD DE TRANSPARENCIA</w:t>
      </w:r>
      <w:r w:rsidR="00E90DF6" w:rsidRPr="00014B9A">
        <w:rPr>
          <w:rFonts w:ascii="Arial" w:eastAsia="Times New Roman" w:hAnsi="Arial" w:cs="Arial"/>
          <w:b/>
          <w:bCs/>
          <w:color w:val="2F5496" w:themeColor="accent1" w:themeShade="BF"/>
          <w:sz w:val="24"/>
          <w:szCs w:val="23"/>
          <w:lang w:val="es-MX" w:eastAsia="es-ES"/>
        </w:rPr>
        <w:t xml:space="preserve">,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23C3438F"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014B9A">
        <w:rPr>
          <w:rFonts w:ascii="Arial" w:eastAsia="Times New Roman" w:hAnsi="Arial" w:cs="Arial"/>
          <w:b/>
          <w:bCs/>
          <w:color w:val="2F5496" w:themeColor="accent1" w:themeShade="BF"/>
          <w:sz w:val="24"/>
          <w:szCs w:val="23"/>
          <w:u w:val="single"/>
          <w:lang w:val="es-MX" w:eastAsia="es-ES"/>
        </w:rPr>
        <w:t>VILLA DE LA PAZ</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3C1A17CC"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3F069C">
        <w:rPr>
          <w:rFonts w:ascii="Arial" w:eastAsia="Arial" w:hAnsi="Arial" w:cs="Arial"/>
          <w:iCs/>
          <w:color w:val="2F5496" w:themeColor="accent1" w:themeShade="BF"/>
          <w:spacing w:val="1"/>
          <w:sz w:val="24"/>
          <w:szCs w:val="23"/>
          <w:lang w:val="es-MX" w:eastAsia="es-MX"/>
        </w:rPr>
        <w:t xml:space="preserve"> y</w:t>
      </w:r>
      <w:r w:rsidR="00D26BE0" w:rsidRPr="00014B9A">
        <w:rPr>
          <w:rFonts w:ascii="Arial" w:eastAsia="Arial" w:hAnsi="Arial" w:cs="Arial"/>
          <w:iCs/>
          <w:color w:val="2F5496" w:themeColor="accent1" w:themeShade="BF"/>
          <w:spacing w:val="1"/>
          <w:sz w:val="24"/>
          <w:szCs w:val="23"/>
          <w:lang w:val="es-MX" w:eastAsia="es-MX"/>
        </w:rPr>
        <w:t xml:space="preserve"> en el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Pr>
          <w:rFonts w:ascii="Arial" w:eastAsia="Times New Roman" w:hAnsi="Arial" w:cs="Arial"/>
          <w:b/>
          <w:bCs/>
          <w:color w:val="2F5496" w:themeColor="accent1" w:themeShade="BF"/>
          <w:sz w:val="24"/>
          <w:szCs w:val="23"/>
          <w:u w:val="single"/>
          <w:lang w:val="es-MX" w:eastAsia="es-ES"/>
        </w:rPr>
        <w:t>VILLA DE LA PAZ</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lastRenderedPageBreak/>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5CF336" w14:textId="77777777" w:rsidR="00BD0B7B" w:rsidRDefault="00BD0B7B" w:rsidP="00BB58C4">
      <w:pPr>
        <w:spacing w:after="0" w:line="240" w:lineRule="auto"/>
      </w:pPr>
      <w:r>
        <w:separator/>
      </w:r>
    </w:p>
  </w:endnote>
  <w:endnote w:type="continuationSeparator" w:id="0">
    <w:p w14:paraId="12E28BBB" w14:textId="77777777" w:rsidR="00BD0B7B" w:rsidRDefault="00BD0B7B"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EFC49C" w14:textId="77777777" w:rsidR="00BD0B7B" w:rsidRDefault="00BD0B7B" w:rsidP="00BB58C4">
      <w:pPr>
        <w:spacing w:after="0" w:line="240" w:lineRule="auto"/>
      </w:pPr>
      <w:r>
        <w:separator/>
      </w:r>
    </w:p>
  </w:footnote>
  <w:footnote w:type="continuationSeparator" w:id="0">
    <w:p w14:paraId="3BC566B5" w14:textId="77777777" w:rsidR="00BD0B7B" w:rsidRDefault="00BD0B7B"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341CA925"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D21CE4">
      <w:rPr>
        <w:rFonts w:ascii="Arial" w:hAnsi="Arial" w:cs="Arial"/>
        <w:b/>
        <w:sz w:val="24"/>
      </w:rPr>
      <w:t>750</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F0BE2"/>
    <w:rsid w:val="005F4A16"/>
    <w:rsid w:val="005F5EE0"/>
    <w:rsid w:val="005F696E"/>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1247</Words>
  <Characters>6863</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2025-01-15T20:11:00Z</cp:lastPrinted>
  <dcterms:created xsi:type="dcterms:W3CDTF">2025-09-19T14:17:00Z</dcterms:created>
  <dcterms:modified xsi:type="dcterms:W3CDTF">2025-09-19T14:49:00Z</dcterms:modified>
</cp:coreProperties>
</file>