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819198" w14:textId="4A13D862" w:rsidR="0031340A" w:rsidRDefault="00305765" w:rsidP="00C4661D">
      <w:r>
        <w:rPr>
          <w:noProof/>
        </w:rPr>
        <w:drawing>
          <wp:inline distT="0" distB="0" distL="0" distR="0" wp14:anchorId="76610E07" wp14:editId="04640800">
            <wp:extent cx="1562100" cy="733425"/>
            <wp:effectExtent l="0" t="0" r="0" b="9525"/>
            <wp:docPr id="6" name="Imagen 5">
              <a:extLst xmlns:a="http://schemas.openxmlformats.org/drawingml/2006/main">
                <a:ext uri="{FF2B5EF4-FFF2-40B4-BE49-F238E27FC236}">
                  <a16:creationId xmlns:a16="http://schemas.microsoft.com/office/drawing/2014/main" id="{FAFB2C49-4B7E-4A03-91AF-E7D42453230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>
                      <a:extLst>
                        <a:ext uri="{FF2B5EF4-FFF2-40B4-BE49-F238E27FC236}">
                          <a16:creationId xmlns:a16="http://schemas.microsoft.com/office/drawing/2014/main" id="{FAFB2C49-4B7E-4A03-91AF-E7D424532304}"/>
                        </a:ext>
                      </a:extLst>
                    </pic:cNvPr>
                    <pic:cNvPicPr/>
                  </pic:nvPicPr>
                  <pic:blipFill rotWithShape="1">
                    <a:blip r:embed="rId4"/>
                    <a:srcRect l="27943" t="23305" r="56789" b="68926"/>
                    <a:stretch/>
                  </pic:blipFill>
                  <pic:spPr>
                    <a:xfrm>
                      <a:off x="0" y="0"/>
                      <a:ext cx="15621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7019">
        <w:rPr>
          <w:noProof/>
        </w:rPr>
        <w:drawing>
          <wp:inline distT="0" distB="0" distL="0" distR="0" wp14:anchorId="021055DA" wp14:editId="3FE0FD86">
            <wp:extent cx="1084580" cy="745490"/>
            <wp:effectExtent l="0" t="0" r="0" b="0"/>
            <wp:docPr id="1313280777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280777" name="Imagen 1"/>
                    <pic:cNvPicPr/>
                  </pic:nvPicPr>
                  <pic:blipFill rotWithShape="1">
                    <a:blip r:embed="rId5"/>
                    <a:srcRect l="43128" t="45076" r="42901"/>
                    <a:stretch/>
                  </pic:blipFill>
                  <pic:spPr bwMode="auto">
                    <a:xfrm>
                      <a:off x="0" y="0"/>
                      <a:ext cx="1084580" cy="745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589F9C" w14:textId="14D1D16F" w:rsidR="00C4661D" w:rsidRPr="00DE1008" w:rsidRDefault="00C4661D" w:rsidP="0070199C">
      <w:pPr>
        <w:jc w:val="both"/>
      </w:pPr>
      <w:r w:rsidRPr="00C4661D">
        <w:rPr>
          <w:rFonts w:ascii="Century Gothic" w:hAnsi="Century Gothic"/>
          <w:sz w:val="28"/>
          <w:szCs w:val="28"/>
        </w:rPr>
        <w:t xml:space="preserve">El Instituto de Capacitación para el Trabajo del Estado (ICAT), </w:t>
      </w:r>
      <w:r w:rsidR="00B25923">
        <w:rPr>
          <w:rFonts w:ascii="Century Gothic" w:hAnsi="Century Gothic"/>
          <w:sz w:val="28"/>
          <w:szCs w:val="28"/>
        </w:rPr>
        <w:t>en el mes que nos ocupa</w:t>
      </w:r>
      <w:r w:rsidRPr="00C4661D">
        <w:rPr>
          <w:rFonts w:ascii="Century Gothic" w:hAnsi="Century Gothic"/>
          <w:sz w:val="28"/>
          <w:szCs w:val="28"/>
        </w:rPr>
        <w:t xml:space="preserve"> se informa</w:t>
      </w:r>
      <w:r w:rsidR="00B25923">
        <w:rPr>
          <w:rFonts w:ascii="Century Gothic" w:hAnsi="Century Gothic"/>
          <w:sz w:val="28"/>
          <w:szCs w:val="28"/>
        </w:rPr>
        <w:t xml:space="preserve"> que</w:t>
      </w:r>
      <w:r w:rsidRPr="00C4661D">
        <w:rPr>
          <w:rFonts w:ascii="Century Gothic" w:hAnsi="Century Gothic"/>
          <w:sz w:val="28"/>
          <w:szCs w:val="28"/>
        </w:rPr>
        <w:t xml:space="preserve"> no </w:t>
      </w:r>
      <w:r w:rsidR="00B25923">
        <w:rPr>
          <w:rFonts w:ascii="Century Gothic" w:hAnsi="Century Gothic"/>
          <w:sz w:val="28"/>
          <w:szCs w:val="28"/>
        </w:rPr>
        <w:t xml:space="preserve">se </w:t>
      </w:r>
      <w:r w:rsidRPr="00C4661D">
        <w:rPr>
          <w:rFonts w:ascii="Century Gothic" w:hAnsi="Century Gothic"/>
          <w:sz w:val="28"/>
          <w:szCs w:val="28"/>
        </w:rPr>
        <w:t>ha generado</w:t>
      </w:r>
      <w:r w:rsidR="001933D8">
        <w:rPr>
          <w:rFonts w:ascii="Century Gothic" w:hAnsi="Century Gothic"/>
          <w:sz w:val="28"/>
          <w:szCs w:val="28"/>
        </w:rPr>
        <w:t xml:space="preserve"> los</w:t>
      </w:r>
      <w:r w:rsidR="004C798B">
        <w:rPr>
          <w:rFonts w:ascii="Century Gothic" w:hAnsi="Century Gothic"/>
          <w:sz w:val="28"/>
          <w:szCs w:val="28"/>
        </w:rPr>
        <w:t xml:space="preserve"> </w:t>
      </w:r>
      <w:r w:rsidR="001933D8" w:rsidRPr="001933D8">
        <w:rPr>
          <w:rFonts w:ascii="Century Gothic" w:hAnsi="Century Gothic"/>
          <w:sz w:val="28"/>
          <w:szCs w:val="28"/>
        </w:rPr>
        <w:t xml:space="preserve">Resultados de la </w:t>
      </w:r>
      <w:r w:rsidR="004B1CAB">
        <w:rPr>
          <w:rFonts w:ascii="Century Gothic" w:hAnsi="Century Gothic"/>
          <w:sz w:val="28"/>
          <w:szCs w:val="28"/>
        </w:rPr>
        <w:t>D</w:t>
      </w:r>
      <w:r w:rsidR="001933D8" w:rsidRPr="001933D8">
        <w:rPr>
          <w:rFonts w:ascii="Century Gothic" w:hAnsi="Century Gothic"/>
          <w:sz w:val="28"/>
          <w:szCs w:val="28"/>
        </w:rPr>
        <w:t xml:space="preserve">ictaminación de los </w:t>
      </w:r>
      <w:r w:rsidR="004B1CAB">
        <w:rPr>
          <w:rFonts w:ascii="Century Gothic" w:hAnsi="Century Gothic"/>
          <w:sz w:val="28"/>
          <w:szCs w:val="28"/>
        </w:rPr>
        <w:t>E</w:t>
      </w:r>
      <w:r w:rsidR="001933D8" w:rsidRPr="001933D8">
        <w:rPr>
          <w:rFonts w:ascii="Century Gothic" w:hAnsi="Century Gothic"/>
          <w:sz w:val="28"/>
          <w:szCs w:val="28"/>
        </w:rPr>
        <w:t xml:space="preserve">stados </w:t>
      </w:r>
      <w:r w:rsidR="004B1CAB">
        <w:rPr>
          <w:rFonts w:ascii="Century Gothic" w:hAnsi="Century Gothic"/>
          <w:sz w:val="28"/>
          <w:szCs w:val="28"/>
        </w:rPr>
        <w:t>F</w:t>
      </w:r>
      <w:r w:rsidR="001933D8" w:rsidRPr="001933D8">
        <w:rPr>
          <w:rFonts w:ascii="Century Gothic" w:hAnsi="Century Gothic"/>
          <w:sz w:val="28"/>
          <w:szCs w:val="28"/>
        </w:rPr>
        <w:t>inancieros</w:t>
      </w:r>
      <w:r w:rsidR="00F31378" w:rsidRPr="00F31378">
        <w:rPr>
          <w:rFonts w:ascii="Century Gothic" w:hAnsi="Century Gothic"/>
          <w:sz w:val="28"/>
          <w:szCs w:val="28"/>
        </w:rPr>
        <w:t>,</w:t>
      </w:r>
      <w:r w:rsidR="003A4B74">
        <w:rPr>
          <w:rFonts w:ascii="Century Gothic" w:hAnsi="Century Gothic"/>
          <w:sz w:val="28"/>
          <w:szCs w:val="28"/>
        </w:rPr>
        <w:t xml:space="preserve"> </w:t>
      </w:r>
      <w:r w:rsidR="004C798B">
        <w:rPr>
          <w:rFonts w:ascii="Century Gothic" w:hAnsi="Century Gothic"/>
          <w:sz w:val="28"/>
          <w:szCs w:val="28"/>
        </w:rPr>
        <w:t xml:space="preserve">conforme al artículo 12 </w:t>
      </w:r>
      <w:r w:rsidR="0049512F">
        <w:rPr>
          <w:rFonts w:ascii="Century Gothic" w:hAnsi="Century Gothic"/>
          <w:sz w:val="28"/>
          <w:szCs w:val="28"/>
        </w:rPr>
        <w:t xml:space="preserve">fracción VI, VII, XIII </w:t>
      </w:r>
      <w:r w:rsidR="004C798B">
        <w:rPr>
          <w:rFonts w:ascii="Century Gothic" w:hAnsi="Century Gothic"/>
          <w:sz w:val="28"/>
          <w:szCs w:val="28"/>
        </w:rPr>
        <w:t>del Reglamento Interno del Instituto</w:t>
      </w:r>
      <w:r w:rsidR="00F83F64">
        <w:rPr>
          <w:rFonts w:ascii="Century Gothic" w:hAnsi="Century Gothic"/>
          <w:sz w:val="28"/>
          <w:szCs w:val="28"/>
        </w:rPr>
        <w:t xml:space="preserve"> de Capacitación para el Trabajo</w:t>
      </w:r>
      <w:r w:rsidR="004B1CAB">
        <w:rPr>
          <w:rFonts w:ascii="Century Gothic" w:hAnsi="Century Gothic"/>
          <w:sz w:val="28"/>
          <w:szCs w:val="28"/>
        </w:rPr>
        <w:t>, Así mismo con fundamento en</w:t>
      </w:r>
      <w:r w:rsidR="00B13955">
        <w:rPr>
          <w:rFonts w:ascii="Century Gothic" w:hAnsi="Century Gothic"/>
          <w:sz w:val="28"/>
          <w:szCs w:val="28"/>
        </w:rPr>
        <w:t xml:space="preserve"> el articulo 32-A del Código Fiscal de la Federación, </w:t>
      </w:r>
      <w:r w:rsidR="00B11A75">
        <w:rPr>
          <w:rFonts w:ascii="Century Gothic" w:hAnsi="Century Gothic"/>
          <w:sz w:val="28"/>
          <w:szCs w:val="28"/>
        </w:rPr>
        <w:t xml:space="preserve">y al no </w:t>
      </w:r>
      <w:r w:rsidR="004B1CAB">
        <w:rPr>
          <w:rFonts w:ascii="Century Gothic" w:hAnsi="Century Gothic"/>
          <w:sz w:val="28"/>
          <w:szCs w:val="28"/>
        </w:rPr>
        <w:t>estar obligado</w:t>
      </w:r>
      <w:r w:rsidR="00F83F64">
        <w:rPr>
          <w:rFonts w:ascii="Century Gothic" w:hAnsi="Century Gothic"/>
          <w:sz w:val="28"/>
          <w:szCs w:val="28"/>
        </w:rPr>
        <w:t xml:space="preserve"> de acuerdo a las obligaciones señaladas</w:t>
      </w:r>
      <w:r w:rsidR="00B11A75">
        <w:rPr>
          <w:rFonts w:ascii="Century Gothic" w:hAnsi="Century Gothic"/>
          <w:sz w:val="28"/>
          <w:szCs w:val="28"/>
        </w:rPr>
        <w:t xml:space="preserve"> el ente podrá</w:t>
      </w:r>
      <w:r w:rsidR="00B13955">
        <w:rPr>
          <w:rFonts w:ascii="Century Gothic" w:hAnsi="Century Gothic"/>
          <w:sz w:val="28"/>
          <w:szCs w:val="28"/>
        </w:rPr>
        <w:t xml:space="preserve"> optar por</w:t>
      </w:r>
      <w:r w:rsidR="00B11A75">
        <w:rPr>
          <w:rFonts w:ascii="Century Gothic" w:hAnsi="Century Gothic"/>
          <w:sz w:val="28"/>
          <w:szCs w:val="28"/>
        </w:rPr>
        <w:t xml:space="preserve"> una </w:t>
      </w:r>
      <w:r w:rsidR="00B13955">
        <w:rPr>
          <w:rFonts w:ascii="Century Gothic" w:hAnsi="Century Gothic"/>
          <w:sz w:val="28"/>
          <w:szCs w:val="28"/>
        </w:rPr>
        <w:t xml:space="preserve"> dictamin</w:t>
      </w:r>
      <w:r w:rsidR="00B11A75">
        <w:rPr>
          <w:rFonts w:ascii="Century Gothic" w:hAnsi="Century Gothic"/>
          <w:sz w:val="28"/>
          <w:szCs w:val="28"/>
        </w:rPr>
        <w:t xml:space="preserve">ación </w:t>
      </w:r>
      <w:r w:rsidR="00B13955">
        <w:rPr>
          <w:rFonts w:ascii="Century Gothic" w:hAnsi="Century Gothic"/>
          <w:sz w:val="28"/>
          <w:szCs w:val="28"/>
        </w:rPr>
        <w:t>en los términos del artículo 52-A del mismo,</w:t>
      </w:r>
      <w:r w:rsidR="004C798B">
        <w:rPr>
          <w:rFonts w:ascii="Century Gothic" w:hAnsi="Century Gothic"/>
          <w:sz w:val="28"/>
          <w:szCs w:val="28"/>
        </w:rPr>
        <w:t xml:space="preserve"> </w:t>
      </w:r>
      <w:r w:rsidR="00BA5107">
        <w:rPr>
          <w:rFonts w:ascii="Century Gothic" w:hAnsi="Century Gothic"/>
          <w:sz w:val="28"/>
          <w:szCs w:val="28"/>
        </w:rPr>
        <w:t xml:space="preserve">aunado a </w:t>
      </w:r>
      <w:r w:rsidR="00F83F64">
        <w:rPr>
          <w:rFonts w:ascii="Century Gothic" w:hAnsi="Century Gothic"/>
          <w:sz w:val="28"/>
          <w:szCs w:val="28"/>
        </w:rPr>
        <w:t>lo anterior</w:t>
      </w:r>
      <w:r w:rsidR="00BA5107">
        <w:rPr>
          <w:rFonts w:ascii="Century Gothic" w:hAnsi="Century Gothic"/>
          <w:sz w:val="28"/>
          <w:szCs w:val="28"/>
        </w:rPr>
        <w:t xml:space="preserve">, </w:t>
      </w:r>
      <w:r w:rsidRPr="00C4661D">
        <w:rPr>
          <w:rFonts w:ascii="Century Gothic" w:hAnsi="Century Gothic"/>
          <w:sz w:val="28"/>
          <w:szCs w:val="28"/>
        </w:rPr>
        <w:t xml:space="preserve">se </w:t>
      </w:r>
      <w:r w:rsidR="00B25923" w:rsidRPr="00C4661D">
        <w:rPr>
          <w:rFonts w:ascii="Century Gothic" w:hAnsi="Century Gothic"/>
          <w:sz w:val="28"/>
          <w:szCs w:val="28"/>
        </w:rPr>
        <w:t>advierte</w:t>
      </w:r>
      <w:r w:rsidRPr="00C4661D">
        <w:rPr>
          <w:rFonts w:ascii="Century Gothic" w:hAnsi="Century Gothic"/>
          <w:sz w:val="28"/>
          <w:szCs w:val="28"/>
        </w:rPr>
        <w:t xml:space="preserve"> que los campos que comprenden esas disposiciones fueron llenados con la finalidad de respeta</w:t>
      </w:r>
      <w:bookmarkStart w:id="0" w:name="_GoBack"/>
      <w:bookmarkEnd w:id="0"/>
      <w:r w:rsidRPr="00C4661D">
        <w:rPr>
          <w:rFonts w:ascii="Century Gothic" w:hAnsi="Century Gothic"/>
          <w:sz w:val="28"/>
          <w:szCs w:val="28"/>
        </w:rPr>
        <w:t>r el formato de las celdas según se solicita en los citados lineamientos</w:t>
      </w:r>
      <w:r w:rsidR="003750BD">
        <w:rPr>
          <w:rFonts w:ascii="Century Gothic" w:hAnsi="Century Gothic"/>
          <w:sz w:val="28"/>
          <w:szCs w:val="28"/>
        </w:rPr>
        <w:t xml:space="preserve"> en materia de transparencia.</w:t>
      </w:r>
    </w:p>
    <w:p w14:paraId="7BF01184" w14:textId="77777777" w:rsidR="005E347C" w:rsidRPr="00C4661D" w:rsidRDefault="005E347C">
      <w:pPr>
        <w:rPr>
          <w:rFonts w:ascii="Century Gothic" w:hAnsi="Century Gothic"/>
          <w:sz w:val="28"/>
          <w:szCs w:val="28"/>
        </w:rPr>
      </w:pPr>
    </w:p>
    <w:p w14:paraId="43DCF0CF" w14:textId="77777777" w:rsidR="00DE276F" w:rsidRDefault="00DE276F"/>
    <w:p w14:paraId="0E0F18C8" w14:textId="77777777" w:rsidR="00DE276F" w:rsidRDefault="00DE276F"/>
    <w:p w14:paraId="7436737D" w14:textId="06E2A191" w:rsidR="00DE276F" w:rsidRDefault="00DE276F" w:rsidP="00C4661D">
      <w:pPr>
        <w:jc w:val="center"/>
      </w:pPr>
    </w:p>
    <w:p w14:paraId="67F98382" w14:textId="77777777" w:rsidR="00DE276F" w:rsidRDefault="00DE276F"/>
    <w:p w14:paraId="6A37113A" w14:textId="77777777" w:rsidR="00DE276F" w:rsidRPr="006719B5" w:rsidRDefault="00DE276F" w:rsidP="00DE276F">
      <w:pPr>
        <w:jc w:val="center"/>
        <w:rPr>
          <w:b/>
          <w:sz w:val="52"/>
        </w:rPr>
      </w:pPr>
    </w:p>
    <w:sectPr w:rsidR="00DE276F" w:rsidRPr="006719B5" w:rsidSect="005E34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76F"/>
    <w:rsid w:val="000070D3"/>
    <w:rsid w:val="001933D8"/>
    <w:rsid w:val="001B7DC9"/>
    <w:rsid w:val="00294993"/>
    <w:rsid w:val="00305765"/>
    <w:rsid w:val="0031340A"/>
    <w:rsid w:val="003750BD"/>
    <w:rsid w:val="003A4B74"/>
    <w:rsid w:val="003E254F"/>
    <w:rsid w:val="0043407C"/>
    <w:rsid w:val="0045608A"/>
    <w:rsid w:val="0046341E"/>
    <w:rsid w:val="00470DAD"/>
    <w:rsid w:val="0049512F"/>
    <w:rsid w:val="004A009F"/>
    <w:rsid w:val="004A54A4"/>
    <w:rsid w:val="004B1CAB"/>
    <w:rsid w:val="004C798B"/>
    <w:rsid w:val="005E347C"/>
    <w:rsid w:val="005F7019"/>
    <w:rsid w:val="0063714E"/>
    <w:rsid w:val="006719B5"/>
    <w:rsid w:val="006B73BA"/>
    <w:rsid w:val="0070199C"/>
    <w:rsid w:val="00735A75"/>
    <w:rsid w:val="007901D6"/>
    <w:rsid w:val="008C6244"/>
    <w:rsid w:val="00993FB0"/>
    <w:rsid w:val="00A2179F"/>
    <w:rsid w:val="00B11A75"/>
    <w:rsid w:val="00B13955"/>
    <w:rsid w:val="00B25923"/>
    <w:rsid w:val="00B56026"/>
    <w:rsid w:val="00BA5107"/>
    <w:rsid w:val="00C4661D"/>
    <w:rsid w:val="00DD4224"/>
    <w:rsid w:val="00DE1008"/>
    <w:rsid w:val="00DE276F"/>
    <w:rsid w:val="00DF027B"/>
    <w:rsid w:val="00E0352C"/>
    <w:rsid w:val="00F31378"/>
    <w:rsid w:val="00F8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73284"/>
  <w15:docId w15:val="{4BB861A0-92B1-40F1-B6C1-2523E44EA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34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27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652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icat.compras</cp:lastModifiedBy>
  <cp:revision>2</cp:revision>
  <cp:lastPrinted>2025-08-25T20:58:00Z</cp:lastPrinted>
  <dcterms:created xsi:type="dcterms:W3CDTF">2025-09-04T18:27:00Z</dcterms:created>
  <dcterms:modified xsi:type="dcterms:W3CDTF">2025-09-04T18:27:00Z</dcterms:modified>
</cp:coreProperties>
</file>