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0348C6">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0348C6">
        <w:rPr>
          <w:rFonts w:ascii="Arial" w:hAnsi="Arial" w:cs="Arial"/>
          <w:b/>
          <w:sz w:val="24"/>
          <w:szCs w:val="24"/>
        </w:rPr>
        <w:t>agosto</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0348C6">
        <w:rPr>
          <w:rFonts w:ascii="Arial" w:hAnsi="Arial" w:cs="Arial"/>
          <w:b/>
          <w:sz w:val="24"/>
          <w:szCs w:val="24"/>
        </w:rPr>
        <w:t>octava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E0610B">
        <w:rPr>
          <w:rFonts w:ascii="Arial" w:hAnsi="Arial" w:cs="Arial"/>
          <w:sz w:val="24"/>
          <w:szCs w:val="24"/>
        </w:rPr>
        <w:t>El Vicefiscal, José Pedro Gómez Ávila</w:t>
      </w:r>
      <w:r w:rsidR="00D4742A" w:rsidRPr="00115CE3">
        <w:rPr>
          <w:rFonts w:ascii="Arial" w:hAnsi="Arial" w:cs="Arial"/>
          <w:sz w:val="24"/>
          <w:szCs w:val="24"/>
        </w:rPr>
        <w:t>,</w:t>
      </w:r>
      <w:r w:rsidRPr="00115CE3">
        <w:rPr>
          <w:rFonts w:ascii="Arial" w:hAnsi="Arial" w:cs="Arial"/>
          <w:sz w:val="24"/>
          <w:szCs w:val="24"/>
        </w:rPr>
        <w:t xml:space="preserve"> mediante oficio </w:t>
      </w:r>
      <w:r w:rsidR="00E0610B">
        <w:rPr>
          <w:rFonts w:ascii="Arial" w:hAnsi="Arial" w:cs="Arial"/>
          <w:b/>
          <w:sz w:val="24"/>
          <w:szCs w:val="24"/>
        </w:rPr>
        <w:t>V/</w:t>
      </w:r>
      <w:r w:rsidR="001337D3">
        <w:rPr>
          <w:rFonts w:ascii="Arial" w:hAnsi="Arial" w:cs="Arial"/>
          <w:b/>
          <w:sz w:val="24"/>
          <w:szCs w:val="24"/>
        </w:rPr>
        <w:t>2</w:t>
      </w:r>
      <w:r w:rsidR="000348C6">
        <w:rPr>
          <w:rFonts w:ascii="Arial" w:hAnsi="Arial" w:cs="Arial"/>
          <w:b/>
          <w:sz w:val="24"/>
          <w:szCs w:val="24"/>
        </w:rPr>
        <w:t>634</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E0610B">
        <w:rPr>
          <w:rFonts w:ascii="Arial" w:hAnsi="Arial" w:cs="Arial"/>
          <w:b/>
          <w:sz w:val="24"/>
          <w:szCs w:val="24"/>
        </w:rPr>
        <w:t>V/AR/1</w:t>
      </w:r>
      <w:r w:rsidR="000348C6">
        <w:rPr>
          <w:rFonts w:ascii="Arial" w:hAnsi="Arial" w:cs="Arial"/>
          <w:b/>
          <w:sz w:val="24"/>
          <w:szCs w:val="24"/>
        </w:rPr>
        <w:t>4</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F0249">
        <w:rPr>
          <w:rFonts w:ascii="Arial" w:hAnsi="Arial" w:cs="Arial"/>
          <w:b/>
          <w:sz w:val="24"/>
          <w:szCs w:val="24"/>
        </w:rPr>
        <w:t>3</w:t>
      </w:r>
      <w:r w:rsidR="000348C6">
        <w:rPr>
          <w:rFonts w:ascii="Arial" w:hAnsi="Arial" w:cs="Arial"/>
          <w:b/>
          <w:sz w:val="24"/>
          <w:szCs w:val="24"/>
        </w:rPr>
        <w:t>42</w:t>
      </w:r>
      <w:r w:rsidR="0053156B" w:rsidRPr="00115CE3">
        <w:rPr>
          <w:rFonts w:ascii="Arial" w:hAnsi="Arial" w:cs="Arial"/>
          <w:sz w:val="24"/>
          <w:szCs w:val="24"/>
        </w:rPr>
        <w:t>-240469825000</w:t>
      </w:r>
      <w:r w:rsidR="005F0249">
        <w:rPr>
          <w:rFonts w:ascii="Arial" w:hAnsi="Arial" w:cs="Arial"/>
          <w:b/>
          <w:sz w:val="24"/>
          <w:szCs w:val="24"/>
        </w:rPr>
        <w:t>3</w:t>
      </w:r>
      <w:r w:rsidR="000348C6">
        <w:rPr>
          <w:rFonts w:ascii="Arial" w:hAnsi="Arial" w:cs="Arial"/>
          <w:b/>
          <w:sz w:val="24"/>
          <w:szCs w:val="24"/>
        </w:rPr>
        <w:t>42</w:t>
      </w:r>
      <w:r w:rsidR="0053156B" w:rsidRPr="00115CE3">
        <w:rPr>
          <w:rFonts w:ascii="Arial" w:hAnsi="Arial" w:cs="Arial"/>
          <w:sz w:val="24"/>
          <w:szCs w:val="24"/>
        </w:rPr>
        <w:t xml:space="preserve">-2025 realizada por </w:t>
      </w:r>
      <w:r w:rsidR="005F0249">
        <w:rPr>
          <w:rFonts w:ascii="Arial" w:hAnsi="Arial" w:cs="Arial"/>
          <w:sz w:val="24"/>
          <w:szCs w:val="24"/>
        </w:rPr>
        <w:t>un usuario cuya identidad no fue proporcionada</w:t>
      </w:r>
      <w:r w:rsidR="0053156B" w:rsidRPr="00115CE3">
        <w:rPr>
          <w:rFonts w:ascii="Arial" w:hAnsi="Arial" w:cs="Arial"/>
          <w:sz w:val="24"/>
          <w:szCs w:val="24"/>
        </w:rPr>
        <w:t xml:space="preserve">, en la cual manifiesta su deseo de acceder a la siguiente información: </w:t>
      </w:r>
    </w:p>
    <w:p w:rsidR="00FD098A" w:rsidRPr="00FD098A" w:rsidRDefault="00FD098A" w:rsidP="00FD098A">
      <w:pPr>
        <w:spacing w:after="0" w:line="240" w:lineRule="auto"/>
        <w:jc w:val="both"/>
        <w:rPr>
          <w:rFonts w:ascii="Arial" w:hAnsi="Arial" w:cs="Arial"/>
          <w:i/>
          <w:sz w:val="20"/>
          <w:szCs w:val="20"/>
        </w:rPr>
      </w:pPr>
      <w:r w:rsidRPr="00FD098A">
        <w:rPr>
          <w:rFonts w:ascii="Arial" w:hAnsi="Arial" w:cs="Arial"/>
          <w:i/>
          <w:sz w:val="20"/>
          <w:szCs w:val="20"/>
        </w:rPr>
        <w:t xml:space="preserve">Del 2021 al 2024 </w:t>
      </w:r>
    </w:p>
    <w:p w:rsidR="00FD098A" w:rsidRPr="00FD098A" w:rsidRDefault="00FD098A" w:rsidP="00FD098A">
      <w:pPr>
        <w:spacing w:after="0" w:line="240" w:lineRule="auto"/>
        <w:jc w:val="both"/>
        <w:rPr>
          <w:rFonts w:ascii="Arial" w:hAnsi="Arial" w:cs="Arial"/>
          <w:i/>
          <w:sz w:val="20"/>
          <w:szCs w:val="20"/>
        </w:rPr>
      </w:pPr>
      <w:r w:rsidRPr="00FD098A">
        <w:rPr>
          <w:rFonts w:ascii="Arial" w:hAnsi="Arial" w:cs="Arial"/>
          <w:i/>
          <w:sz w:val="20"/>
          <w:szCs w:val="20"/>
        </w:rPr>
        <w:t xml:space="preserve">Cuantas carpetas de investigación/causas penales se iniciaron por el delito de violación? por favor desglosar por mes, municipio, sexo de la víctima, y si es posible la edad (si no es posible, puede ser rango, por ejemplo, de 0 a 17 años, y de 18 y más años) </w:t>
      </w:r>
    </w:p>
    <w:p w:rsidR="00FD098A" w:rsidRPr="00FD098A" w:rsidRDefault="00FD098A" w:rsidP="00FD098A">
      <w:pPr>
        <w:spacing w:after="0" w:line="240" w:lineRule="auto"/>
        <w:jc w:val="both"/>
        <w:rPr>
          <w:rFonts w:ascii="Arial" w:hAnsi="Arial" w:cs="Arial"/>
          <w:i/>
          <w:sz w:val="20"/>
          <w:szCs w:val="20"/>
        </w:rPr>
      </w:pPr>
      <w:r w:rsidRPr="00FD098A">
        <w:rPr>
          <w:rFonts w:ascii="Arial" w:hAnsi="Arial" w:cs="Arial"/>
          <w:i/>
          <w:sz w:val="20"/>
          <w:szCs w:val="20"/>
        </w:rPr>
        <w:t xml:space="preserve">del total de esas carpetas de investigación/causas penales, por favor cuántas concluyeron en sentencia, tanto condenatoria como absolutoria. </w:t>
      </w:r>
    </w:p>
    <w:p w:rsidR="00FD098A" w:rsidRPr="00FD098A" w:rsidRDefault="00FD098A" w:rsidP="00FD098A">
      <w:pPr>
        <w:spacing w:after="0" w:line="240" w:lineRule="auto"/>
        <w:jc w:val="both"/>
        <w:rPr>
          <w:rFonts w:ascii="Arial" w:hAnsi="Arial" w:cs="Arial"/>
          <w:i/>
          <w:sz w:val="20"/>
          <w:szCs w:val="20"/>
        </w:rPr>
      </w:pPr>
      <w:r w:rsidRPr="00FD098A">
        <w:rPr>
          <w:rFonts w:ascii="Arial" w:hAnsi="Arial" w:cs="Arial"/>
          <w:i/>
          <w:sz w:val="20"/>
          <w:szCs w:val="20"/>
        </w:rPr>
        <w:t xml:space="preserve">Asimismo, del total de esas carpetas de investigación/causas penales cuántas se encuentran en integración, archivadas, judicializadas, u otro estatus jurídico </w:t>
      </w:r>
    </w:p>
    <w:p w:rsidR="003474AB" w:rsidRDefault="00FD098A" w:rsidP="00FD098A">
      <w:pPr>
        <w:spacing w:after="0" w:line="240" w:lineRule="auto"/>
        <w:jc w:val="both"/>
        <w:rPr>
          <w:rFonts w:ascii="Arial" w:hAnsi="Arial" w:cs="Arial"/>
          <w:i/>
          <w:sz w:val="20"/>
          <w:szCs w:val="20"/>
        </w:rPr>
      </w:pPr>
      <w:r w:rsidRPr="00FD098A">
        <w:rPr>
          <w:rFonts w:ascii="Arial" w:hAnsi="Arial" w:cs="Arial"/>
          <w:i/>
          <w:sz w:val="20"/>
          <w:szCs w:val="20"/>
        </w:rPr>
        <w:t>al igual que en la primera pregunta, solicito por favor desglosar por mes, municipio, sexo de la víctima, y si es posible la edad (si no es posible, puede ser rango, por ejemplo, de 0 a 17 años, y de 18 y más años)</w:t>
      </w:r>
    </w:p>
    <w:p w:rsidR="00FD098A" w:rsidRDefault="00FD098A" w:rsidP="00FD098A">
      <w:pPr>
        <w:spacing w:after="0" w:line="240" w:lineRule="auto"/>
        <w:jc w:val="both"/>
        <w:rPr>
          <w:rFonts w:ascii="Arial" w:hAnsi="Arial" w:cs="Arial"/>
          <w:b/>
          <w:sz w:val="24"/>
          <w:szCs w:val="24"/>
        </w:rPr>
      </w:pP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354DC2">
        <w:rPr>
          <w:rFonts w:ascii="Arial" w:hAnsi="Arial" w:cs="Arial"/>
          <w:sz w:val="24"/>
          <w:szCs w:val="24"/>
        </w:rPr>
        <w:t>El Vicefiscal, José Pedro Gómez Ávila</w:t>
      </w:r>
      <w:r w:rsidR="008D7FD6"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6106">
        <w:rPr>
          <w:rFonts w:ascii="Arial" w:hAnsi="Arial" w:cs="Arial"/>
          <w:sz w:val="24"/>
          <w:szCs w:val="24"/>
        </w:rPr>
        <w:t>ones XI, y</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E26106">
        <w:rPr>
          <w:rFonts w:ascii="Arial" w:hAnsi="Arial" w:cs="Arial"/>
          <w:sz w:val="24"/>
          <w:szCs w:val="24"/>
        </w:rPr>
        <w:t>El Vicefiscal, José Pedro Gómez Ávila</w:t>
      </w:r>
      <w:r w:rsidR="00C03933"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E26106">
        <w:rPr>
          <w:rFonts w:ascii="Arial" w:hAnsi="Arial" w:cs="Arial"/>
          <w:b/>
          <w:sz w:val="24"/>
          <w:szCs w:val="24"/>
        </w:rPr>
        <w:t>V/AR/1</w:t>
      </w:r>
      <w:r w:rsidR="000348C6">
        <w:rPr>
          <w:rFonts w:ascii="Arial" w:hAnsi="Arial" w:cs="Arial"/>
          <w:b/>
          <w:sz w:val="24"/>
          <w:szCs w:val="24"/>
        </w:rPr>
        <w:t>4</w:t>
      </w:r>
      <w:r w:rsidR="00E26106">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E26106">
        <w:rPr>
          <w:rFonts w:ascii="Arial" w:hAnsi="Arial" w:cs="Arial"/>
          <w:b/>
          <w:sz w:val="24"/>
          <w:szCs w:val="24"/>
        </w:rPr>
        <w:t>V/AR/1</w:t>
      </w:r>
      <w:r w:rsidR="000348C6">
        <w:rPr>
          <w:rFonts w:ascii="Arial" w:hAnsi="Arial" w:cs="Arial"/>
          <w:b/>
          <w:sz w:val="24"/>
          <w:szCs w:val="24"/>
        </w:rPr>
        <w:t>4</w:t>
      </w:r>
      <w:r w:rsidR="00D4742A" w:rsidRPr="00115CE3">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lastRenderedPageBreak/>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V/AR/1</w:t>
      </w:r>
      <w:r w:rsidR="000348C6">
        <w:rPr>
          <w:rFonts w:ascii="Arial" w:hAnsi="Arial" w:cs="Arial"/>
          <w:b/>
          <w:sz w:val="24"/>
          <w:szCs w:val="24"/>
        </w:rPr>
        <w:t>4</w:t>
      </w:r>
      <w:r w:rsidR="00D4742A" w:rsidRPr="00115CE3">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La fuente y el archivo donde se encuentra la información;</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La fundamentación y motivación del acuerdo;</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 xml:space="preserve">El documento, la parte o las partes de los mismos, que se reservan;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 xml:space="preserve">El plazo por el que se reserva la información;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La designación de la autoridad responsable de su protección;</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 xml:space="preserve">Número de identificación del acuerdo de reserva;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 xml:space="preserve">La aplicación de la prueba del daño;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Fecha del acuerdo de clasificación.</w:t>
      </w: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0348C6" w:rsidRPr="000348C6" w:rsidRDefault="007336C3"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0348C6">
        <w:rPr>
          <w:rFonts w:ascii="Arial" w:hAnsi="Arial" w:cs="Arial"/>
          <w:sz w:val="24"/>
          <w:szCs w:val="24"/>
        </w:rPr>
        <w:t>L</w:t>
      </w:r>
      <w:r w:rsidR="000348C6" w:rsidRPr="000348C6">
        <w:rPr>
          <w:rFonts w:ascii="Arial" w:hAnsi="Arial" w:cs="Arial"/>
          <w:sz w:val="24"/>
          <w:szCs w:val="24"/>
        </w:rPr>
        <w:t xml:space="preserve">os datos que hacen identificables a las partes involucradas vertidos en las carpetas de investigación, información que establece como reservada el Código Nacional de Procedimientos Penales en su artículo 218 y los artículos 56, 93, 93 bis, 97 fracciones I y II, de la Ley del Sistema de Seguridad Pública </w:t>
      </w:r>
      <w:r w:rsidR="000348C6">
        <w:rPr>
          <w:rFonts w:ascii="Arial" w:hAnsi="Arial" w:cs="Arial"/>
          <w:sz w:val="24"/>
          <w:szCs w:val="24"/>
        </w:rPr>
        <w:t>d</w:t>
      </w:r>
      <w:r w:rsidR="000348C6" w:rsidRPr="000348C6">
        <w:rPr>
          <w:rFonts w:ascii="Arial" w:hAnsi="Arial" w:cs="Arial"/>
          <w:sz w:val="24"/>
          <w:szCs w:val="24"/>
        </w:rPr>
        <w:t xml:space="preserve">el Estado de San Luis 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w:t>
      </w:r>
    </w:p>
    <w:p w:rsidR="000348C6" w:rsidRDefault="000348C6" w:rsidP="003474AB">
      <w:pPr>
        <w:autoSpaceDE w:val="0"/>
        <w:autoSpaceDN w:val="0"/>
        <w:adjustRightInd w:val="0"/>
        <w:spacing w:line="240" w:lineRule="auto"/>
        <w:jc w:val="both"/>
        <w:rPr>
          <w:rFonts w:ascii="Arial" w:hAnsi="Arial" w:cs="Arial"/>
          <w:sz w:val="24"/>
          <w:szCs w:val="24"/>
        </w:rPr>
      </w:pPr>
      <w:r w:rsidRPr="000348C6">
        <w:rPr>
          <w:rFonts w:ascii="Arial" w:hAnsi="Arial" w:cs="Arial"/>
          <w:sz w:val="24"/>
          <w:szCs w:val="24"/>
        </w:rPr>
        <w:t>La divulgación de la información que se busca reservar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w:t>
      </w:r>
    </w:p>
    <w:p w:rsidR="009E1D25" w:rsidRPr="009E1D25" w:rsidRDefault="00A5507D"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C</w:t>
      </w:r>
      <w:r w:rsidR="009E1D25" w:rsidRPr="009E1D25">
        <w:rPr>
          <w:rFonts w:ascii="Arial" w:hAnsi="Arial" w:cs="Arial"/>
          <w:sz w:val="24"/>
          <w:szCs w:val="24"/>
        </w:rPr>
        <w:t>abe señalar, que la totalidad de la información registrada con el número UT-SI-P-</w:t>
      </w:r>
      <w:r w:rsidR="005F0249">
        <w:rPr>
          <w:rFonts w:ascii="Arial" w:hAnsi="Arial" w:cs="Arial"/>
          <w:sz w:val="24"/>
          <w:szCs w:val="24"/>
        </w:rPr>
        <w:t>3</w:t>
      </w:r>
      <w:r>
        <w:rPr>
          <w:rFonts w:ascii="Arial" w:hAnsi="Arial" w:cs="Arial"/>
          <w:sz w:val="24"/>
          <w:szCs w:val="24"/>
        </w:rPr>
        <w:t>42</w:t>
      </w:r>
      <w:r w:rsidR="009E1D25" w:rsidRPr="009E1D25">
        <w:rPr>
          <w:rFonts w:ascii="Arial" w:hAnsi="Arial" w:cs="Arial"/>
          <w:sz w:val="24"/>
          <w:szCs w:val="24"/>
        </w:rPr>
        <w:t>-2404698250000</w:t>
      </w:r>
      <w:r w:rsidR="005F0249">
        <w:rPr>
          <w:rFonts w:ascii="Arial" w:hAnsi="Arial" w:cs="Arial"/>
          <w:sz w:val="24"/>
          <w:szCs w:val="24"/>
        </w:rPr>
        <w:t>3</w:t>
      </w:r>
      <w:r>
        <w:rPr>
          <w:rFonts w:ascii="Arial" w:hAnsi="Arial" w:cs="Arial"/>
          <w:sz w:val="24"/>
          <w:szCs w:val="24"/>
        </w:rPr>
        <w:t>42</w:t>
      </w:r>
      <w:r w:rsidR="009E1D25" w:rsidRPr="009E1D25">
        <w:rPr>
          <w:rFonts w:ascii="Arial" w:hAnsi="Arial" w:cs="Arial"/>
          <w:sz w:val="24"/>
          <w:szCs w:val="24"/>
        </w:rPr>
        <w:t xml:space="preserve">-2025, no es un dato estadístico, entendiéndose que la misma es una concentración de información denominada base de datos la cual se compone de un conjunto </w:t>
      </w:r>
      <w:r w:rsidR="009E1D25" w:rsidRPr="009E1D25">
        <w:rPr>
          <w:rFonts w:ascii="Arial" w:hAnsi="Arial" w:cs="Arial"/>
          <w:sz w:val="24"/>
          <w:szCs w:val="24"/>
        </w:rPr>
        <w:lastRenderedPageBreak/>
        <w:t xml:space="preserve">de datos estructurados y relacionados entre </w:t>
      </w:r>
      <w:r w:rsidR="005F0249" w:rsidRPr="009E1D25">
        <w:rPr>
          <w:rFonts w:ascii="Arial" w:hAnsi="Arial" w:cs="Arial"/>
          <w:sz w:val="24"/>
          <w:szCs w:val="24"/>
        </w:rPr>
        <w:t>sí</w:t>
      </w:r>
      <w:r w:rsidR="009E1D25" w:rsidRPr="009E1D25">
        <w:rPr>
          <w:rFonts w:ascii="Arial" w:hAnsi="Arial" w:cs="Arial"/>
          <w:sz w:val="24"/>
          <w:szCs w:val="24"/>
        </w:rPr>
        <w:t>, en la cual se encuentra vertida información contenida en las carpetas de investigación.</w:t>
      </w:r>
    </w:p>
    <w:p w:rsidR="009E1D25" w:rsidRPr="009E1D25" w:rsidRDefault="009E1D25" w:rsidP="003474AB">
      <w:pPr>
        <w:autoSpaceDE w:val="0"/>
        <w:autoSpaceDN w:val="0"/>
        <w:adjustRightInd w:val="0"/>
        <w:spacing w:line="240" w:lineRule="auto"/>
        <w:jc w:val="both"/>
        <w:rPr>
          <w:rFonts w:ascii="Arial" w:hAnsi="Arial" w:cs="Arial"/>
          <w:sz w:val="24"/>
          <w:szCs w:val="24"/>
        </w:rPr>
      </w:pPr>
      <w:r w:rsidRPr="009E1D25">
        <w:rPr>
          <w:rFonts w:ascii="Arial" w:hAnsi="Arial" w:cs="Arial"/>
          <w:sz w:val="24"/>
          <w:szCs w:val="24"/>
        </w:rPr>
        <w:t xml:space="preserve">Ahora bien, considerando que la información estadística es el producto de un conjunto de resultados cuantitativos obtenidos de un proceso sistemático de captación de datos primarios obtenidos sobre hechos que consistan en documentos que las dependencias y entidades poseen, derivado del ejercicio de sus atribuciones, y que el artículo 7, fracción XVII de la Ley Federal de Transparencia y Acceso a la Información  Pública Gubernamental establece que los sujetos obligados deberán poner a disposición del público, entre otra, la relativa a la que, con base a la información estadística, responda a las preguntas hechas con más frecuencia por el público, es posible afirmar  que la información estadística es de naturaleza pública. Lo anterior se debe también a que, por definición, los datos estadísticos no se encuentran individualizados o personalizados a casos o situaciones específicas que pudieran llegar a justificar su clasificación” [sic]. </w:t>
      </w:r>
    </w:p>
    <w:p w:rsidR="009E1D25" w:rsidRPr="009E1D25" w:rsidRDefault="009E1D25" w:rsidP="003474AB">
      <w:pPr>
        <w:autoSpaceDE w:val="0"/>
        <w:autoSpaceDN w:val="0"/>
        <w:adjustRightInd w:val="0"/>
        <w:spacing w:line="240" w:lineRule="auto"/>
        <w:jc w:val="both"/>
        <w:rPr>
          <w:rFonts w:ascii="Arial" w:hAnsi="Arial" w:cs="Arial"/>
          <w:sz w:val="24"/>
          <w:szCs w:val="24"/>
        </w:rPr>
      </w:pPr>
      <w:r w:rsidRPr="009E1D25">
        <w:rPr>
          <w:rFonts w:ascii="Arial" w:hAnsi="Arial" w:cs="Arial"/>
          <w:sz w:val="24"/>
          <w:szCs w:val="24"/>
        </w:rPr>
        <w:t xml:space="preserve">Lo anterior se afirma en razón de que se revelaría información que se prevé obstruya la prevención de delitos al obstaculizar las acciones implementadas por las autoridades para evitar su comisión o menoscabar o limitar la capacidad de las autoridades para evitar la comisión de delitos, así mismo nos encontramos ante información contenida en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 </w:t>
      </w:r>
    </w:p>
    <w:p w:rsidR="009E1D25" w:rsidRPr="009E1D25" w:rsidRDefault="009E1D25" w:rsidP="003474AB">
      <w:pPr>
        <w:autoSpaceDE w:val="0"/>
        <w:autoSpaceDN w:val="0"/>
        <w:adjustRightInd w:val="0"/>
        <w:spacing w:line="240" w:lineRule="auto"/>
        <w:jc w:val="both"/>
        <w:rPr>
          <w:rFonts w:ascii="Arial" w:hAnsi="Arial" w:cs="Arial"/>
          <w:sz w:val="24"/>
          <w:szCs w:val="24"/>
        </w:rPr>
      </w:pPr>
      <w:r w:rsidRPr="009E1D25">
        <w:rPr>
          <w:rFonts w:ascii="Arial" w:hAnsi="Arial" w:cs="Arial"/>
          <w:sz w:val="24"/>
          <w:szCs w:val="24"/>
        </w:rPr>
        <w:t xml:space="preserve">Es por ello que la Vicefiscalía de la Fiscalía General del Estado de San Luis Potosí, es la responsable de adoptar medidas para restringir el acceso a la información garantizando la seguridad de la misma, lo anterior conforme a lo estipulado en el artículo 82 de la Ley de Transparencia y Acceso a la Información Pública.  </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XI y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E26106">
        <w:rPr>
          <w:rFonts w:ascii="Arial" w:hAnsi="Arial" w:cs="Arial"/>
          <w:sz w:val="24"/>
          <w:szCs w:val="24"/>
        </w:rPr>
        <w:t>El Vicefiscal, José Pedro Gómez Ávila</w:t>
      </w:r>
      <w:r w:rsidR="003C1914" w:rsidRPr="00115CE3">
        <w:rPr>
          <w:rFonts w:ascii="Arial" w:hAnsi="Arial" w:cs="Arial"/>
          <w:sz w:val="24"/>
          <w:szCs w:val="24"/>
        </w:rPr>
        <w:t>,</w:t>
      </w:r>
      <w:r w:rsidR="008565C9"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1A49EA" w:rsidRDefault="009819AE" w:rsidP="005F0249">
      <w:pPr>
        <w:spacing w:line="240" w:lineRule="auto"/>
        <w:ind w:left="142" w:right="-93"/>
        <w:jc w:val="both"/>
        <w:rPr>
          <w:rFonts w:ascii="Arial" w:hAnsi="Arial" w:cs="Arial"/>
          <w:i/>
          <w:sz w:val="20"/>
          <w:szCs w:val="20"/>
        </w:rPr>
      </w:pPr>
      <w:r w:rsidRPr="001A49EA">
        <w:rPr>
          <w:rFonts w:ascii="Arial" w:hAnsi="Arial" w:cs="Arial"/>
          <w:b/>
          <w:i/>
          <w:sz w:val="20"/>
          <w:szCs w:val="20"/>
        </w:rPr>
        <w:t>Artículo 118.</w:t>
      </w:r>
      <w:r w:rsidRPr="001A49EA">
        <w:rPr>
          <w:rFonts w:ascii="Arial" w:hAnsi="Arial" w:cs="Arial"/>
          <w:i/>
          <w:sz w:val="20"/>
          <w:szCs w:val="20"/>
        </w:rPr>
        <w:t xml:space="preserve"> En la aplicación de la prueba de daño, el sujeto obligado deberá justificar que:</w:t>
      </w:r>
    </w:p>
    <w:p w:rsidR="00BF3665" w:rsidRPr="001A49EA" w:rsidRDefault="009819AE" w:rsidP="005F0249">
      <w:pPr>
        <w:spacing w:after="0" w:line="240" w:lineRule="auto"/>
        <w:ind w:left="142" w:right="-93"/>
        <w:jc w:val="both"/>
        <w:rPr>
          <w:rFonts w:ascii="Arial" w:hAnsi="Arial" w:cs="Arial"/>
          <w:i/>
          <w:sz w:val="20"/>
          <w:szCs w:val="20"/>
        </w:rPr>
      </w:pPr>
      <w:r w:rsidRPr="001A49EA">
        <w:rPr>
          <w:rFonts w:ascii="Arial" w:hAnsi="Arial" w:cs="Arial"/>
          <w:i/>
          <w:sz w:val="20"/>
          <w:szCs w:val="20"/>
        </w:rPr>
        <w:t>I. La divulgación de la información representa un riesgo real, demostrable e identificable de perjuicio significativo al interés público;</w:t>
      </w:r>
    </w:p>
    <w:p w:rsidR="00BF3665" w:rsidRPr="001A49EA" w:rsidRDefault="009819AE" w:rsidP="005F0249">
      <w:pPr>
        <w:spacing w:after="0" w:line="240" w:lineRule="auto"/>
        <w:ind w:left="142" w:right="-93"/>
        <w:jc w:val="both"/>
        <w:rPr>
          <w:rFonts w:ascii="Arial" w:hAnsi="Arial" w:cs="Arial"/>
          <w:i/>
          <w:sz w:val="20"/>
          <w:szCs w:val="20"/>
        </w:rPr>
      </w:pPr>
      <w:r w:rsidRPr="001A49EA">
        <w:rPr>
          <w:rFonts w:ascii="Arial" w:hAnsi="Arial" w:cs="Arial"/>
          <w:i/>
          <w:sz w:val="20"/>
          <w:szCs w:val="20"/>
        </w:rPr>
        <w:t>II. El riesgo de perjuicio que supondría la divulgación supera el interés público general de que se difunda, y</w:t>
      </w:r>
    </w:p>
    <w:p w:rsidR="00BF3665" w:rsidRPr="001A49EA" w:rsidRDefault="009819AE" w:rsidP="005F0249">
      <w:pPr>
        <w:spacing w:after="0" w:line="240" w:lineRule="auto"/>
        <w:ind w:left="142" w:right="-93"/>
        <w:jc w:val="both"/>
        <w:rPr>
          <w:rFonts w:ascii="Arial" w:hAnsi="Arial" w:cs="Arial"/>
          <w:i/>
          <w:sz w:val="20"/>
          <w:szCs w:val="20"/>
        </w:rPr>
      </w:pPr>
      <w:r w:rsidRPr="001A49EA">
        <w:rPr>
          <w:rFonts w:ascii="Arial" w:hAnsi="Arial" w:cs="Arial"/>
          <w:i/>
          <w:sz w:val="20"/>
          <w:szCs w:val="20"/>
        </w:rPr>
        <w:t>III. La limitación se adecua al principio de proporcionalidad y representa el medio menos restrictivo disponible para evitar el perjuicio.</w:t>
      </w:r>
    </w:p>
    <w:p w:rsidR="003474AB" w:rsidRDefault="003474AB" w:rsidP="003474AB">
      <w:pPr>
        <w:spacing w:after="0" w:line="240" w:lineRule="auto"/>
        <w:ind w:left="142" w:right="-93"/>
        <w:jc w:val="both"/>
        <w:rPr>
          <w:rFonts w:ascii="Arial" w:hAnsi="Arial" w:cs="Arial"/>
          <w:b/>
          <w:i/>
          <w:sz w:val="20"/>
          <w:szCs w:val="20"/>
        </w:rPr>
      </w:pPr>
    </w:p>
    <w:p w:rsidR="00BF3665" w:rsidRPr="001A49EA" w:rsidRDefault="009819AE" w:rsidP="005F0249">
      <w:pPr>
        <w:spacing w:line="240" w:lineRule="auto"/>
        <w:ind w:left="142" w:right="-93"/>
        <w:jc w:val="both"/>
        <w:rPr>
          <w:rFonts w:ascii="Arial" w:hAnsi="Arial" w:cs="Arial"/>
          <w:i/>
          <w:sz w:val="20"/>
          <w:szCs w:val="20"/>
        </w:rPr>
      </w:pPr>
      <w:r w:rsidRPr="001A49EA">
        <w:rPr>
          <w:rFonts w:ascii="Arial" w:hAnsi="Arial" w:cs="Arial"/>
          <w:b/>
          <w:i/>
          <w:sz w:val="20"/>
          <w:szCs w:val="20"/>
        </w:rPr>
        <w:t>Trigésimo tercero</w:t>
      </w:r>
      <w:r w:rsidRPr="001A49EA">
        <w:rPr>
          <w:rFonts w:ascii="Arial" w:hAnsi="Arial" w:cs="Arial"/>
          <w:i/>
          <w:sz w:val="20"/>
          <w:szCs w:val="20"/>
        </w:rPr>
        <w:t>. Para la aplicación de la prueba de daño a la que hace referencia el artículo 104 de la Ley General, los sujetos obligados atenderán lo siguiente:</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FD098A" w:rsidRDefault="00FD098A"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el </w:t>
      </w:r>
      <w:r w:rsidR="000C4F3A">
        <w:rPr>
          <w:rFonts w:ascii="Arial" w:hAnsi="Arial" w:cs="Arial"/>
          <w:sz w:val="24"/>
          <w:szCs w:val="24"/>
        </w:rPr>
        <w:t>Vicefiscal, José Pedro Gómez Ávila</w:t>
      </w:r>
      <w:r w:rsidR="00DD5EE4">
        <w:rPr>
          <w:rFonts w:ascii="Arial" w:hAnsi="Arial" w:cs="Arial"/>
          <w:sz w:val="24"/>
          <w:szCs w:val="24"/>
        </w:rPr>
        <w:t xml:space="preserve"> 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w:t>
      </w:r>
      <w:r w:rsidR="00C8519A">
        <w:rPr>
          <w:rFonts w:ascii="Arial" w:eastAsia="Times New Roman" w:hAnsi="Arial" w:cs="Arial"/>
          <w:sz w:val="24"/>
          <w:szCs w:val="24"/>
          <w:lang w:val="es-ES"/>
        </w:rPr>
        <w:lastRenderedPageBreak/>
        <w:t>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P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3474AB" w:rsidRDefault="003474AB" w:rsidP="003474AB">
      <w:pPr>
        <w:autoSpaceDE w:val="0"/>
        <w:autoSpaceDN w:val="0"/>
        <w:adjustRightInd w:val="0"/>
        <w:spacing w:after="0" w:line="240" w:lineRule="auto"/>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 xml:space="preserve">una serie de datos que, al ser combinados, </w:t>
      </w:r>
      <w:r w:rsidRPr="00C42F42">
        <w:rPr>
          <w:rFonts w:ascii="Arial" w:hAnsi="Arial" w:cs="Arial"/>
          <w:i/>
          <w:sz w:val="24"/>
          <w:szCs w:val="24"/>
        </w:rPr>
        <w:lastRenderedPageBreak/>
        <w:t>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0C4F3A" w:rsidRDefault="00B115D6"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A5507D" w:rsidRPr="00A5507D" w:rsidRDefault="00A15922" w:rsidP="00A5507D">
      <w:pPr>
        <w:autoSpaceDE w:val="0"/>
        <w:autoSpaceDN w:val="0"/>
        <w:adjustRightInd w:val="0"/>
        <w:spacing w:line="240" w:lineRule="auto"/>
        <w:jc w:val="both"/>
        <w:rPr>
          <w:rFonts w:ascii="Arial" w:eastAsia="Times New Roman" w:hAnsi="Arial" w:cs="Arial"/>
          <w:sz w:val="24"/>
          <w:szCs w:val="24"/>
        </w:rPr>
      </w:pPr>
      <w:r w:rsidRPr="00A15922">
        <w:rPr>
          <w:rFonts w:ascii="Arial" w:hAnsi="Arial" w:cs="Arial"/>
          <w:sz w:val="24"/>
          <w:szCs w:val="24"/>
        </w:rPr>
        <w:t xml:space="preserve">La reserva parcial de la información inherente a la solicitud de información </w:t>
      </w:r>
      <w:r w:rsidRPr="00A15922">
        <w:rPr>
          <w:rFonts w:ascii="Arial" w:hAnsi="Arial" w:cs="Arial"/>
          <w:b/>
          <w:sz w:val="24"/>
          <w:szCs w:val="24"/>
        </w:rPr>
        <w:t>UT-SI-P-</w:t>
      </w:r>
      <w:r w:rsidR="005F0249">
        <w:rPr>
          <w:rFonts w:ascii="Arial" w:hAnsi="Arial" w:cs="Arial"/>
          <w:b/>
          <w:sz w:val="24"/>
          <w:szCs w:val="24"/>
        </w:rPr>
        <w:t>3</w:t>
      </w:r>
      <w:r w:rsidR="00A5507D">
        <w:rPr>
          <w:rFonts w:ascii="Arial" w:hAnsi="Arial" w:cs="Arial"/>
          <w:b/>
          <w:sz w:val="24"/>
          <w:szCs w:val="24"/>
        </w:rPr>
        <w:t>42</w:t>
      </w:r>
      <w:r w:rsidRPr="00A15922">
        <w:rPr>
          <w:rFonts w:ascii="Arial" w:hAnsi="Arial" w:cs="Arial"/>
          <w:b/>
          <w:sz w:val="24"/>
          <w:szCs w:val="24"/>
        </w:rPr>
        <w:t>-2404698250000</w:t>
      </w:r>
      <w:r w:rsidR="005F0249">
        <w:rPr>
          <w:rFonts w:ascii="Arial" w:hAnsi="Arial" w:cs="Arial"/>
          <w:b/>
          <w:sz w:val="24"/>
          <w:szCs w:val="24"/>
        </w:rPr>
        <w:t>3</w:t>
      </w:r>
      <w:r w:rsidR="00A5507D">
        <w:rPr>
          <w:rFonts w:ascii="Arial" w:hAnsi="Arial" w:cs="Arial"/>
          <w:b/>
          <w:sz w:val="24"/>
          <w:szCs w:val="24"/>
        </w:rPr>
        <w:t>42</w:t>
      </w:r>
      <w:r w:rsidRPr="00A15922">
        <w:rPr>
          <w:rFonts w:ascii="Arial" w:hAnsi="Arial" w:cs="Arial"/>
          <w:b/>
          <w:sz w:val="24"/>
          <w:szCs w:val="24"/>
        </w:rPr>
        <w:t>-2025</w:t>
      </w:r>
      <w:r w:rsidR="00A5507D">
        <w:rPr>
          <w:rFonts w:ascii="Arial" w:hAnsi="Arial" w:cs="Arial"/>
          <w:b/>
          <w:sz w:val="24"/>
          <w:szCs w:val="24"/>
        </w:rPr>
        <w:t xml:space="preserve"> </w:t>
      </w:r>
      <w:r w:rsidR="00A5507D" w:rsidRPr="00A5507D">
        <w:rPr>
          <w:rFonts w:ascii="Arial" w:eastAsia="Times New Roman" w:hAnsi="Arial" w:cs="Arial"/>
          <w:sz w:val="24"/>
          <w:szCs w:val="24"/>
        </w:rPr>
        <w:t>consistente únicamente</w:t>
      </w:r>
      <w:r w:rsidR="00A5507D">
        <w:rPr>
          <w:rFonts w:ascii="Arial" w:eastAsia="Times New Roman" w:hAnsi="Arial" w:cs="Arial"/>
          <w:sz w:val="24"/>
          <w:szCs w:val="24"/>
        </w:rPr>
        <w:t xml:space="preserve"> a</w:t>
      </w:r>
      <w:r w:rsidR="00A5507D" w:rsidRPr="00A5507D">
        <w:rPr>
          <w:rFonts w:ascii="Arial" w:eastAsia="Times New Roman" w:hAnsi="Arial" w:cs="Arial"/>
          <w:sz w:val="24"/>
          <w:szCs w:val="24"/>
        </w:rPr>
        <w:t xml:space="preserve"> </w:t>
      </w:r>
      <w:r w:rsidR="00A5507D" w:rsidRPr="00A5507D">
        <w:rPr>
          <w:rFonts w:ascii="Arial" w:eastAsia="Times New Roman" w:hAnsi="Arial" w:cs="Arial"/>
          <w:b/>
          <w:sz w:val="24"/>
          <w:szCs w:val="24"/>
        </w:rPr>
        <w:t>los municipios</w:t>
      </w:r>
      <w:r w:rsidR="00A5507D" w:rsidRPr="00A5507D">
        <w:rPr>
          <w:rFonts w:ascii="Arial" w:eastAsia="Times New Roman" w:hAnsi="Arial" w:cs="Arial"/>
          <w:sz w:val="24"/>
          <w:szCs w:val="24"/>
        </w:rPr>
        <w:t xml:space="preserve"> donde se registró el inicio mensual de una carpeta de investigación por el delito de violación en San Luis Potosí, específicamente del año:</w:t>
      </w:r>
    </w:p>
    <w:p w:rsidR="00A5507D" w:rsidRPr="00A5507D" w:rsidRDefault="00A5507D" w:rsidP="00A5507D">
      <w:pPr>
        <w:pStyle w:val="Prrafodelista"/>
        <w:numPr>
          <w:ilvl w:val="0"/>
          <w:numId w:val="16"/>
        </w:numPr>
        <w:autoSpaceDE w:val="0"/>
        <w:autoSpaceDN w:val="0"/>
        <w:adjustRightInd w:val="0"/>
        <w:jc w:val="both"/>
        <w:rPr>
          <w:rFonts w:ascii="Arial" w:eastAsia="Times New Roman" w:hAnsi="Arial" w:cs="Arial"/>
        </w:rPr>
      </w:pPr>
      <w:r w:rsidRPr="00A5507D">
        <w:rPr>
          <w:rFonts w:ascii="Arial" w:eastAsia="Times New Roman" w:hAnsi="Arial" w:cs="Arial"/>
        </w:rPr>
        <w:t xml:space="preserve">2021 ocho municipios; </w:t>
      </w:r>
    </w:p>
    <w:p w:rsidR="00A5507D" w:rsidRPr="00A5507D" w:rsidRDefault="00A5507D" w:rsidP="00A5507D">
      <w:pPr>
        <w:pStyle w:val="Prrafodelista"/>
        <w:numPr>
          <w:ilvl w:val="0"/>
          <w:numId w:val="16"/>
        </w:numPr>
        <w:autoSpaceDE w:val="0"/>
        <w:autoSpaceDN w:val="0"/>
        <w:adjustRightInd w:val="0"/>
        <w:jc w:val="both"/>
        <w:rPr>
          <w:rFonts w:ascii="Arial" w:eastAsia="Times New Roman" w:hAnsi="Arial" w:cs="Arial"/>
        </w:rPr>
      </w:pPr>
      <w:r w:rsidRPr="00A5507D">
        <w:rPr>
          <w:rFonts w:ascii="Arial" w:eastAsia="Times New Roman" w:hAnsi="Arial" w:cs="Arial"/>
        </w:rPr>
        <w:t>2022 trece municipios;</w:t>
      </w:r>
    </w:p>
    <w:p w:rsidR="00A5507D" w:rsidRPr="00A5507D" w:rsidRDefault="00A5507D" w:rsidP="00A5507D">
      <w:pPr>
        <w:pStyle w:val="Prrafodelista"/>
        <w:numPr>
          <w:ilvl w:val="0"/>
          <w:numId w:val="16"/>
        </w:numPr>
        <w:autoSpaceDE w:val="0"/>
        <w:autoSpaceDN w:val="0"/>
        <w:adjustRightInd w:val="0"/>
        <w:jc w:val="both"/>
        <w:rPr>
          <w:rFonts w:ascii="Arial" w:eastAsia="Times New Roman" w:hAnsi="Arial" w:cs="Arial"/>
        </w:rPr>
      </w:pPr>
      <w:r w:rsidRPr="00A5507D">
        <w:rPr>
          <w:rFonts w:ascii="Arial" w:eastAsia="Times New Roman" w:hAnsi="Arial" w:cs="Arial"/>
        </w:rPr>
        <w:t xml:space="preserve">2023 seis municipios; </w:t>
      </w:r>
    </w:p>
    <w:p w:rsidR="00A5507D" w:rsidRDefault="00A5507D" w:rsidP="00A5507D">
      <w:pPr>
        <w:pStyle w:val="Prrafodelista"/>
        <w:numPr>
          <w:ilvl w:val="0"/>
          <w:numId w:val="16"/>
        </w:numPr>
        <w:autoSpaceDE w:val="0"/>
        <w:autoSpaceDN w:val="0"/>
        <w:adjustRightInd w:val="0"/>
        <w:jc w:val="both"/>
        <w:rPr>
          <w:rFonts w:ascii="Arial" w:eastAsia="Times New Roman" w:hAnsi="Arial" w:cs="Arial"/>
        </w:rPr>
      </w:pPr>
      <w:r w:rsidRPr="00A5507D">
        <w:rPr>
          <w:rFonts w:ascii="Arial" w:eastAsia="Times New Roman" w:hAnsi="Arial" w:cs="Arial"/>
        </w:rPr>
        <w:t xml:space="preserve">2024 seis municipios. </w:t>
      </w:r>
    </w:p>
    <w:p w:rsidR="00BF3665" w:rsidRPr="003474AB"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3474AB">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3474AB">
        <w:rPr>
          <w:rFonts w:ascii="Arial" w:eastAsia="Times New Roman" w:hAnsi="Arial" w:cs="Arial"/>
          <w:b/>
          <w:sz w:val="24"/>
          <w:szCs w:val="24"/>
        </w:rPr>
        <w:t>agosto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P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E26106">
        <w:rPr>
          <w:rFonts w:ascii="Arial" w:hAnsi="Arial" w:cs="Arial"/>
          <w:b/>
          <w:sz w:val="24"/>
          <w:szCs w:val="24"/>
        </w:rPr>
        <w:t>V/AR/1</w:t>
      </w:r>
      <w:r w:rsidR="003474AB">
        <w:rPr>
          <w:rFonts w:ascii="Arial" w:hAnsi="Arial" w:cs="Arial"/>
          <w:b/>
          <w:sz w:val="24"/>
          <w:szCs w:val="24"/>
        </w:rPr>
        <w:t>4</w:t>
      </w:r>
      <w:r w:rsidR="00D4742A" w:rsidRPr="00115CE3">
        <w:rPr>
          <w:rFonts w:ascii="Arial" w:hAnsi="Arial" w:cs="Arial"/>
          <w:b/>
          <w:sz w:val="24"/>
          <w:szCs w:val="24"/>
        </w:rPr>
        <w:t>/2025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E26106">
        <w:rPr>
          <w:rFonts w:ascii="Arial" w:hAnsi="Arial" w:cs="Arial"/>
          <w:sz w:val="24"/>
          <w:szCs w:val="24"/>
        </w:rPr>
        <w:t>el Vicefiscal, José Pedro Gómez Ávila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al</w:t>
      </w:r>
      <w:r w:rsidR="00E26106">
        <w:rPr>
          <w:rFonts w:ascii="Arial" w:hAnsi="Arial" w:cs="Arial"/>
          <w:sz w:val="24"/>
          <w:szCs w:val="24"/>
        </w:rPr>
        <w:t xml:space="preserve"> Vicefiscal, José Pedro Gómez Ávila</w:t>
      </w:r>
      <w:r w:rsidR="00FD350E" w:rsidRPr="00115CE3">
        <w:rPr>
          <w:rFonts w:ascii="Arial" w:hAnsi="Arial" w:cs="Arial"/>
          <w:sz w:val="24"/>
          <w:szCs w:val="24"/>
        </w:rPr>
        <w:t xml:space="preserve">, 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a</w:t>
      </w:r>
      <w:r w:rsidR="00375ED0">
        <w:rPr>
          <w:rFonts w:ascii="Arial" w:hAnsi="Arial" w:cs="Arial"/>
          <w:sz w:val="24"/>
          <w:szCs w:val="24"/>
        </w:rPr>
        <w:t>l Vicefiscal, José Pedro Gómez Ávila</w:t>
      </w:r>
      <w:r w:rsidR="00FD350E"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lastRenderedPageBreak/>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5F0249">
      <w:pPr>
        <w:spacing w:line="240" w:lineRule="auto"/>
        <w:jc w:val="both"/>
        <w:rPr>
          <w:rFonts w:ascii="Arial" w:hAnsi="Arial" w:cs="Arial"/>
          <w:sz w:val="24"/>
          <w:szCs w:val="24"/>
        </w:rPr>
      </w:pPr>
      <w:bookmarkStart w:id="1"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375ED0">
        <w:rPr>
          <w:rFonts w:ascii="Arial" w:hAnsi="Arial" w:cs="Arial"/>
          <w:b/>
          <w:sz w:val="24"/>
          <w:szCs w:val="24"/>
        </w:rPr>
        <w:t>V/AR/1</w:t>
      </w:r>
      <w:r w:rsidR="00EE4D7B">
        <w:rPr>
          <w:rFonts w:ascii="Arial" w:hAnsi="Arial" w:cs="Arial"/>
          <w:b/>
          <w:sz w:val="24"/>
          <w:szCs w:val="24"/>
        </w:rPr>
        <w:t>4</w:t>
      </w:r>
      <w:r w:rsidR="00D4742A" w:rsidRPr="00115CE3">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75ED0">
        <w:rPr>
          <w:rFonts w:ascii="Arial" w:hAnsi="Arial" w:cs="Arial"/>
          <w:sz w:val="24"/>
          <w:szCs w:val="24"/>
        </w:rPr>
        <w:t>el Vicefiscal, José Pedro Gómez Ávila</w:t>
      </w:r>
      <w:r w:rsidRPr="00115CE3">
        <w:rPr>
          <w:rFonts w:ascii="Arial" w:hAnsi="Arial" w:cs="Arial"/>
          <w:sz w:val="24"/>
          <w:szCs w:val="24"/>
        </w:rPr>
        <w:t xml:space="preserve">, 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BF3665" w:rsidRDefault="00476EF2" w:rsidP="005F0249">
      <w:pPr>
        <w:spacing w:line="240" w:lineRule="auto"/>
        <w:jc w:val="both"/>
        <w:rPr>
          <w:rFonts w:ascii="Arial" w:hAnsi="Arial" w:cs="Arial"/>
          <w:sz w:val="24"/>
          <w:szCs w:val="24"/>
        </w:rPr>
      </w:pPr>
      <w:r w:rsidRPr="00115CE3">
        <w:rPr>
          <w:rFonts w:ascii="Arial" w:hAnsi="Arial" w:cs="Arial"/>
          <w:b/>
          <w:sz w:val="24"/>
          <w:szCs w:val="24"/>
        </w:rPr>
        <w:t xml:space="preserve">SEGUNDO. </w:t>
      </w:r>
      <w:r w:rsidRPr="00115CE3">
        <w:rPr>
          <w:rFonts w:ascii="Arial" w:hAnsi="Arial" w:cs="Arial"/>
          <w:sz w:val="24"/>
          <w:szCs w:val="24"/>
        </w:rPr>
        <w:t xml:space="preserve">Se instruye </w:t>
      </w:r>
      <w:r w:rsidR="00375ED0">
        <w:rPr>
          <w:rFonts w:ascii="Arial" w:hAnsi="Arial" w:cs="Arial"/>
          <w:sz w:val="24"/>
          <w:szCs w:val="24"/>
        </w:rPr>
        <w:t>al Vicefiscal, José Pedro Gómez Ávila</w:t>
      </w:r>
      <w:r w:rsidR="005F599A" w:rsidRPr="00115CE3">
        <w:rPr>
          <w:rFonts w:ascii="Arial" w:hAnsi="Arial" w:cs="Arial"/>
          <w:sz w:val="24"/>
          <w:szCs w:val="24"/>
        </w:rPr>
        <w:t>,</w:t>
      </w:r>
      <w:r w:rsidR="0074193F" w:rsidRPr="00115CE3">
        <w:rPr>
          <w:rFonts w:ascii="Arial" w:hAnsi="Arial" w:cs="Arial"/>
          <w:sz w:val="24"/>
          <w:szCs w:val="24"/>
        </w:rPr>
        <w:t xml:space="preserve"> </w:t>
      </w:r>
      <w:r w:rsidRPr="00115CE3">
        <w:rPr>
          <w:rFonts w:ascii="Arial" w:hAnsi="Arial" w:cs="Arial"/>
          <w:sz w:val="24"/>
          <w:szCs w:val="24"/>
        </w:rPr>
        <w:t>para que dé cumplimiento a los efectos de la presente resolución</w:t>
      </w:r>
      <w:r w:rsidR="001E24B3" w:rsidRPr="00115CE3">
        <w:rPr>
          <w:rFonts w:ascii="Arial" w:hAnsi="Arial" w:cs="Arial"/>
          <w:sz w:val="24"/>
          <w:szCs w:val="24"/>
        </w:rPr>
        <w:t xml:space="preserve"> establecidos en el considerando </w:t>
      </w:r>
      <w:r w:rsidR="00450A9E" w:rsidRPr="00115CE3">
        <w:rPr>
          <w:rFonts w:ascii="Arial" w:hAnsi="Arial" w:cs="Arial"/>
          <w:i/>
          <w:sz w:val="24"/>
          <w:szCs w:val="24"/>
        </w:rPr>
        <w:t>tercero</w:t>
      </w:r>
      <w:r w:rsidR="001E24B3" w:rsidRPr="00115CE3">
        <w:rPr>
          <w:rFonts w:ascii="Arial" w:hAnsi="Arial" w:cs="Arial"/>
          <w:sz w:val="24"/>
          <w:szCs w:val="24"/>
        </w:rPr>
        <w:t xml:space="preserve"> fracción V</w:t>
      </w:r>
      <w:r w:rsidRPr="00115CE3">
        <w:rPr>
          <w:rFonts w:ascii="Arial" w:hAnsi="Arial" w:cs="Arial"/>
          <w:sz w:val="24"/>
          <w:szCs w:val="24"/>
        </w:rPr>
        <w:t>.</w:t>
      </w:r>
    </w:p>
    <w:p w:rsidR="00476EF2" w:rsidRDefault="00476EF2" w:rsidP="005F0249">
      <w:pPr>
        <w:spacing w:line="240" w:lineRule="auto"/>
        <w:jc w:val="both"/>
        <w:rPr>
          <w:rFonts w:ascii="Arial" w:hAnsi="Arial" w:cs="Arial"/>
          <w:sz w:val="24"/>
          <w:szCs w:val="24"/>
        </w:rPr>
      </w:pPr>
      <w:r w:rsidRPr="00115CE3">
        <w:rPr>
          <w:rFonts w:ascii="Arial" w:hAnsi="Arial" w:cs="Arial"/>
          <w:b/>
          <w:sz w:val="24"/>
          <w:szCs w:val="24"/>
        </w:rPr>
        <w:t xml:space="preserve">TERCERO. </w:t>
      </w:r>
      <w:r w:rsidR="00375ED0">
        <w:rPr>
          <w:rFonts w:ascii="Arial" w:hAnsi="Arial" w:cs="Arial"/>
          <w:sz w:val="24"/>
          <w:szCs w:val="24"/>
        </w:rPr>
        <w:t>El Vicefiscal, José Pedro Gómez Ávila</w:t>
      </w:r>
      <w:r w:rsidRPr="00115CE3">
        <w:rPr>
          <w:rFonts w:ascii="Arial" w:hAnsi="Arial" w:cs="Arial"/>
          <w:sz w:val="24"/>
          <w:szCs w:val="24"/>
        </w:rPr>
        <w:t xml:space="preserve">, debe solicitar la desclasificación una vez que hayan fenecido las causas que dieron origen a la reserva o haya concluido el plazo establecido en el </w:t>
      </w:r>
      <w:r w:rsidR="00450A9E" w:rsidRPr="00115CE3">
        <w:rPr>
          <w:rFonts w:ascii="Arial" w:hAnsi="Arial" w:cs="Arial"/>
          <w:sz w:val="24"/>
          <w:szCs w:val="24"/>
        </w:rPr>
        <w:t>c</w:t>
      </w:r>
      <w:r w:rsidRPr="00115CE3">
        <w:rPr>
          <w:rFonts w:ascii="Arial" w:hAnsi="Arial" w:cs="Arial"/>
          <w:sz w:val="24"/>
          <w:szCs w:val="24"/>
        </w:rPr>
        <w:t xml:space="preserve">onsiderando </w:t>
      </w:r>
      <w:r w:rsidR="00450A9E" w:rsidRPr="00115CE3">
        <w:rPr>
          <w:rFonts w:ascii="Arial" w:hAnsi="Arial" w:cs="Arial"/>
          <w:i/>
          <w:sz w:val="24"/>
          <w:szCs w:val="24"/>
        </w:rPr>
        <w:t>t</w:t>
      </w:r>
      <w:r w:rsidRPr="00115CE3">
        <w:rPr>
          <w:rFonts w:ascii="Arial" w:hAnsi="Arial" w:cs="Arial"/>
          <w:i/>
          <w:sz w:val="24"/>
          <w:szCs w:val="24"/>
        </w:rPr>
        <w:t>ercero</w:t>
      </w:r>
      <w:r w:rsidRPr="00115CE3">
        <w:rPr>
          <w:rFonts w:ascii="Arial" w:hAnsi="Arial" w:cs="Arial"/>
          <w:sz w:val="24"/>
          <w:szCs w:val="24"/>
        </w:rPr>
        <w:t xml:space="preserve"> </w:t>
      </w:r>
      <w:r w:rsidR="00450A9E" w:rsidRPr="00115CE3">
        <w:rPr>
          <w:rFonts w:ascii="Arial" w:hAnsi="Arial" w:cs="Arial"/>
          <w:sz w:val="24"/>
          <w:szCs w:val="24"/>
        </w:rPr>
        <w:t>fracción</w:t>
      </w:r>
      <w:r w:rsidRPr="00115CE3">
        <w:rPr>
          <w:rFonts w:ascii="Arial" w:hAnsi="Arial" w:cs="Arial"/>
          <w:sz w:val="24"/>
          <w:szCs w:val="24"/>
        </w:rPr>
        <w:t xml:space="preserve"> III de la presente resolución.</w:t>
      </w: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3474AB">
        <w:rPr>
          <w:rFonts w:ascii="Arial" w:hAnsi="Arial" w:cs="Arial"/>
          <w:b/>
          <w:sz w:val="24"/>
          <w:szCs w:val="24"/>
        </w:rPr>
        <w:t>40</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1"/>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2A169C" w:rsidRDefault="002A169C" w:rsidP="00EF1D58">
      <w:pPr>
        <w:spacing w:after="0"/>
        <w:rPr>
          <w:rFonts w:ascii="Arial" w:hAnsi="Arial" w:cs="Arial"/>
          <w:sz w:val="24"/>
          <w:szCs w:val="24"/>
        </w:rPr>
      </w:pPr>
    </w:p>
    <w:p w:rsidR="004A6229" w:rsidRPr="00115CE3" w:rsidRDefault="004A6229"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2AC9" w:rsidRDefault="00902AC9">
      <w:r>
        <w:separator/>
      </w:r>
    </w:p>
  </w:endnote>
  <w:endnote w:type="continuationSeparator" w:id="0">
    <w:p w:rsidR="00902AC9" w:rsidRDefault="00902A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19DC" w:rsidRDefault="00C219D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19DC" w:rsidRDefault="00C219D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2AC9" w:rsidRDefault="00902AC9">
      <w:r>
        <w:separator/>
      </w:r>
    </w:p>
  </w:footnote>
  <w:footnote w:type="continuationSeparator" w:id="0">
    <w:p w:rsidR="00902AC9" w:rsidRDefault="00902A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19DC" w:rsidRDefault="00C219D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478360"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C219DC">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478361"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0348C6">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0348C6">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0348C6">
                            <w:rPr>
                              <w:rFonts w:ascii="Arial" w:hAnsi="Arial" w:cs="Arial"/>
                              <w:color w:val="FFFFFF" w:themeColor="background1"/>
                              <w:sz w:val="18"/>
                              <w:szCs w:val="18"/>
                            </w:rPr>
                            <w:t>Octava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337D3">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V/AR/1</w:t>
                          </w:r>
                          <w:r w:rsidR="000348C6">
                            <w:rPr>
                              <w:rFonts w:ascii="Arial" w:hAnsi="Arial" w:cs="Arial"/>
                              <w:b/>
                              <w:color w:val="FFFFFF" w:themeColor="background1"/>
                              <w:sz w:val="18"/>
                              <w:szCs w:val="18"/>
                              <w:lang w:val="es-ES"/>
                            </w:rPr>
                            <w:t>4</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el Vicefiscal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0348C6">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0348C6">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0348C6">
                      <w:rPr>
                        <w:rFonts w:ascii="Arial" w:hAnsi="Arial" w:cs="Arial"/>
                        <w:color w:val="FFFFFF" w:themeColor="background1"/>
                        <w:sz w:val="18"/>
                        <w:szCs w:val="18"/>
                      </w:rPr>
                      <w:t>Octava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337D3">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V/AR/1</w:t>
                    </w:r>
                    <w:r w:rsidR="000348C6">
                      <w:rPr>
                        <w:rFonts w:ascii="Arial" w:hAnsi="Arial" w:cs="Arial"/>
                        <w:b/>
                        <w:color w:val="FFFFFF" w:themeColor="background1"/>
                        <w:sz w:val="18"/>
                        <w:szCs w:val="18"/>
                        <w:lang w:val="es-ES"/>
                      </w:rPr>
                      <w:t>4</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el Vicefiscal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19DC" w:rsidRDefault="00C219D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478359"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3"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5"/>
  </w:num>
  <w:num w:numId="3">
    <w:abstractNumId w:val="15"/>
  </w:num>
  <w:num w:numId="4">
    <w:abstractNumId w:val="11"/>
  </w:num>
  <w:num w:numId="5">
    <w:abstractNumId w:val="13"/>
  </w:num>
  <w:num w:numId="6">
    <w:abstractNumId w:val="3"/>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9"/>
  </w:num>
  <w:num w:numId="15">
    <w:abstractNumId w:val="10"/>
  </w:num>
  <w:num w:numId="16">
    <w:abstractNumId w:val="2"/>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19BE"/>
    <w:rsid w:val="00402430"/>
    <w:rsid w:val="00404FA0"/>
    <w:rsid w:val="00405289"/>
    <w:rsid w:val="00405A61"/>
    <w:rsid w:val="00410772"/>
    <w:rsid w:val="00412968"/>
    <w:rsid w:val="00420AA1"/>
    <w:rsid w:val="004231C1"/>
    <w:rsid w:val="00424F5C"/>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12BF7"/>
    <w:rsid w:val="00814012"/>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2AC9"/>
    <w:rsid w:val="00904454"/>
    <w:rsid w:val="00905A2D"/>
    <w:rsid w:val="009062D3"/>
    <w:rsid w:val="009202F3"/>
    <w:rsid w:val="00920E6D"/>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19DC"/>
    <w:rsid w:val="00C2217A"/>
    <w:rsid w:val="00C246B2"/>
    <w:rsid w:val="00C25E50"/>
    <w:rsid w:val="00C269D1"/>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D8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098A"/>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FA6721-10A5-4DE8-A3B2-F108C4E04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7</Pages>
  <Words>2950</Words>
  <Characters>16229</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16</cp:revision>
  <cp:lastPrinted>2025-07-07T16:07:00Z</cp:lastPrinted>
  <dcterms:created xsi:type="dcterms:W3CDTF">2025-06-03T18:37:00Z</dcterms:created>
  <dcterms:modified xsi:type="dcterms:W3CDTF">2025-08-19T21:49:00Z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