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A64C10">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B94A3D">
        <w:rPr>
          <w:rFonts w:ascii="Arial" w:hAnsi="Arial" w:cs="Arial"/>
          <w:b/>
        </w:rPr>
        <w:t>seis</w:t>
      </w:r>
      <w:r w:rsidR="00F2285F">
        <w:rPr>
          <w:rFonts w:ascii="Arial" w:hAnsi="Arial" w:cs="Arial"/>
          <w:b/>
        </w:rPr>
        <w:t xml:space="preserve"> </w:t>
      </w:r>
      <w:r w:rsidR="007F24DE">
        <w:rPr>
          <w:rFonts w:ascii="Arial" w:hAnsi="Arial" w:cs="Arial"/>
        </w:rPr>
        <w:t xml:space="preserve">días del mes de </w:t>
      </w:r>
      <w:r w:rsidR="00B94A3D">
        <w:rPr>
          <w:rFonts w:ascii="Arial" w:hAnsi="Arial" w:cs="Arial"/>
          <w:b/>
        </w:rPr>
        <w:t>octubre</w:t>
      </w:r>
      <w:r w:rsidR="007F24DE" w:rsidRPr="00F2285F">
        <w:rPr>
          <w:rFonts w:ascii="Arial" w:hAnsi="Arial" w:cs="Arial"/>
          <w:b/>
        </w:rPr>
        <w:t xml:space="preserve"> 202</w:t>
      </w:r>
      <w:r w:rsidR="005E66F3" w:rsidRPr="00F2285F">
        <w:rPr>
          <w:rFonts w:ascii="Arial" w:hAnsi="Arial" w:cs="Arial"/>
          <w:b/>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B94A3D">
        <w:rPr>
          <w:rFonts w:ascii="Arial" w:hAnsi="Arial" w:cs="Arial"/>
          <w:b/>
        </w:rPr>
        <w:t>décima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5E66F3">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A64C10">
      <w:pPr>
        <w:jc w:val="both"/>
        <w:rPr>
          <w:rFonts w:ascii="Arial" w:hAnsi="Arial" w:cs="Arial"/>
        </w:rPr>
      </w:pPr>
    </w:p>
    <w:p w:rsidR="00BF3665" w:rsidRDefault="009819AE" w:rsidP="00A64C10">
      <w:pPr>
        <w:jc w:val="center"/>
        <w:rPr>
          <w:rFonts w:ascii="Arial" w:hAnsi="Arial" w:cs="Arial"/>
          <w:b/>
        </w:rPr>
      </w:pPr>
      <w:r>
        <w:rPr>
          <w:rFonts w:ascii="Arial" w:hAnsi="Arial" w:cs="Arial"/>
          <w:b/>
        </w:rPr>
        <w:t>RESULTANDO</w:t>
      </w:r>
    </w:p>
    <w:p w:rsidR="00431ACA" w:rsidRDefault="00431ACA"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I</w:t>
      </w:r>
      <w:r>
        <w:rPr>
          <w:rFonts w:ascii="Arial" w:hAnsi="Arial" w:cs="Arial"/>
        </w:rPr>
        <w:t xml:space="preserve">. </w:t>
      </w:r>
      <w:r w:rsidR="004A7983">
        <w:rPr>
          <w:rFonts w:ascii="Arial" w:hAnsi="Arial" w:cs="Arial"/>
        </w:rPr>
        <w:t xml:space="preserve">El contador público Cesar Isidro Cruz, director General de Administración, mediante oficio  </w:t>
      </w:r>
      <w:r w:rsidR="004A7983" w:rsidRPr="004A7983">
        <w:rPr>
          <w:rFonts w:ascii="Arial" w:hAnsi="Arial" w:cs="Arial"/>
          <w:b/>
        </w:rPr>
        <w:t>FGE/DGA/00111</w:t>
      </w:r>
      <w:r w:rsidR="00C10CD7">
        <w:rPr>
          <w:rFonts w:ascii="Arial" w:hAnsi="Arial" w:cs="Arial"/>
          <w:b/>
        </w:rPr>
        <w:t>5</w:t>
      </w:r>
      <w:r w:rsidR="004A7983" w:rsidRPr="004A7983">
        <w:rPr>
          <w:rFonts w:ascii="Arial" w:hAnsi="Arial" w:cs="Arial"/>
          <w:b/>
        </w:rPr>
        <w:t>/2025</w:t>
      </w:r>
      <w:r w:rsidR="004A7983">
        <w:rPr>
          <w:rFonts w:ascii="Arial" w:hAnsi="Arial" w:cs="Arial"/>
        </w:rPr>
        <w:t xml:space="preserve"> hace llegar la solicitud de María Eugenia Hunter Puente, directora de Adquisiciones, Arrendamientos y Servicios</w:t>
      </w:r>
      <w:r>
        <w:rPr>
          <w:rFonts w:ascii="Arial" w:hAnsi="Arial" w:cs="Arial"/>
        </w:rPr>
        <w:t xml:space="preserve"> </w:t>
      </w:r>
      <w:r w:rsidR="004A7983">
        <w:rPr>
          <w:rFonts w:ascii="Arial" w:hAnsi="Arial" w:cs="Arial"/>
        </w:rPr>
        <w:t xml:space="preserve">que realiza a través del consecutivo </w:t>
      </w:r>
      <w:r w:rsidR="00B43764" w:rsidRPr="007134C5">
        <w:rPr>
          <w:rFonts w:ascii="Arial" w:hAnsi="Arial" w:cs="Arial"/>
          <w:b/>
        </w:rPr>
        <w:t>FGE</w:t>
      </w:r>
      <w:r w:rsidR="004A7983">
        <w:rPr>
          <w:rFonts w:ascii="Arial" w:hAnsi="Arial" w:cs="Arial"/>
          <w:b/>
        </w:rPr>
        <w:t>/ADQ/010</w:t>
      </w:r>
      <w:r w:rsidR="00C10CD7">
        <w:rPr>
          <w:rFonts w:ascii="Arial" w:hAnsi="Arial" w:cs="Arial"/>
          <w:b/>
        </w:rPr>
        <w:t>0</w:t>
      </w:r>
      <w:r w:rsidR="008D7FD6" w:rsidRPr="00C912D7">
        <w:rPr>
          <w:rFonts w:ascii="Arial" w:hAnsi="Arial" w:cs="Arial"/>
          <w:b/>
        </w:rPr>
        <w:t>/20</w:t>
      </w:r>
      <w:r w:rsidR="008D7FD6" w:rsidRPr="007134C5">
        <w:rPr>
          <w:rFonts w:ascii="Arial" w:hAnsi="Arial" w:cs="Arial"/>
          <w:b/>
        </w:rPr>
        <w:t>2</w:t>
      </w:r>
      <w:r w:rsidR="005E66F3" w:rsidRPr="007134C5">
        <w:rPr>
          <w:rFonts w:ascii="Arial" w:hAnsi="Arial" w:cs="Arial"/>
          <w:b/>
        </w:rPr>
        <w:t>5</w:t>
      </w:r>
      <w:r>
        <w:rPr>
          <w:rFonts w:ascii="Arial" w:hAnsi="Arial" w:cs="Arial"/>
        </w:rPr>
        <w:t xml:space="preserve"> </w:t>
      </w:r>
      <w:r w:rsidR="004A7983">
        <w:rPr>
          <w:rFonts w:ascii="Arial" w:hAnsi="Arial" w:cs="Arial"/>
        </w:rPr>
        <w:t xml:space="preserve">y </w:t>
      </w:r>
      <w:r>
        <w:rPr>
          <w:rFonts w:ascii="Arial" w:hAnsi="Arial" w:cs="Arial"/>
        </w:rPr>
        <w:t xml:space="preserve">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II</w:t>
      </w:r>
      <w:r w:rsidR="00376B01">
        <w:rPr>
          <w:rFonts w:ascii="Arial" w:hAnsi="Arial" w:cs="Arial"/>
        </w:rPr>
        <w:t>I</w:t>
      </w:r>
      <w:r>
        <w:rPr>
          <w:rFonts w:ascii="Arial" w:hAnsi="Arial" w:cs="Arial"/>
        </w:rPr>
        <w:t xml:space="preserve"> de la LTAIPSLP, es decir, </w:t>
      </w:r>
      <w:r w:rsidR="00434058">
        <w:rPr>
          <w:rFonts w:ascii="Arial" w:hAnsi="Arial" w:cs="Arial"/>
        </w:rPr>
        <w:t xml:space="preserve">cuenta con la obligación de transparentar la información correspondiente a </w:t>
      </w:r>
      <w:r w:rsidR="00150E0D">
        <w:rPr>
          <w:rFonts w:ascii="Arial" w:hAnsi="Arial" w:cs="Arial"/>
          <w:b/>
        </w:rPr>
        <w:t>las licitaciones públicas o procedimientos de invitación restringida</w:t>
      </w:r>
      <w:r w:rsidR="00434058">
        <w:rPr>
          <w:rFonts w:ascii="Arial" w:hAnsi="Arial" w:cs="Arial"/>
        </w:rPr>
        <w:t xml:space="preserve"> del mes de </w:t>
      </w:r>
      <w:r w:rsidR="00B94A3D">
        <w:rPr>
          <w:rFonts w:ascii="Arial" w:hAnsi="Arial" w:cs="Arial"/>
          <w:b/>
        </w:rPr>
        <w:t>septiembre</w:t>
      </w:r>
      <w:r w:rsidR="00434058" w:rsidRPr="00F2285F">
        <w:rPr>
          <w:rFonts w:ascii="Arial" w:hAnsi="Arial" w:cs="Arial"/>
          <w:b/>
        </w:rPr>
        <w:t xml:space="preserve"> 202</w:t>
      </w:r>
      <w:r w:rsidR="00F2285F">
        <w:rPr>
          <w:rFonts w:ascii="Arial" w:hAnsi="Arial" w:cs="Arial"/>
          <w:b/>
        </w:rPr>
        <w:t>5</w:t>
      </w:r>
      <w:r w:rsidR="00434058">
        <w:rPr>
          <w:rFonts w:ascii="Arial" w:hAnsi="Arial" w:cs="Arial"/>
        </w:rPr>
        <w:t xml:space="preserve">, de conformidad con el artículo 84 fracción </w:t>
      </w:r>
      <w:r w:rsidR="00AC0131">
        <w:rPr>
          <w:rFonts w:ascii="Arial" w:hAnsi="Arial" w:cs="Arial"/>
        </w:rPr>
        <w:t>XXXIV</w:t>
      </w:r>
      <w:r w:rsidR="00434058">
        <w:rPr>
          <w:rFonts w:ascii="Arial" w:hAnsi="Arial" w:cs="Arial"/>
        </w:rPr>
        <w:t xml:space="preserve"> de la LTAIPSLP</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b/>
        </w:rPr>
        <w:t>II.</w:t>
      </w:r>
      <w:r>
        <w:rPr>
          <w:rFonts w:ascii="Arial" w:hAnsi="Arial" w:cs="Arial"/>
        </w:rPr>
        <w:t xml:space="preserve"> </w:t>
      </w:r>
      <w:r w:rsidR="004A7983">
        <w:rPr>
          <w:rFonts w:ascii="Arial" w:hAnsi="Arial" w:cs="Arial"/>
        </w:rPr>
        <w:t>María Eugenia Hunter Puente, directora de Adquisiciones, Arrendamientos y Servicios</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para dar cumplimiento a sus obligaciones de transparencia,</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C10CD7">
        <w:rPr>
          <w:rFonts w:ascii="Arial" w:hAnsi="Arial" w:cs="Arial"/>
        </w:rPr>
        <w:t>ón</w:t>
      </w:r>
      <w:r w:rsidR="005160BF">
        <w:rPr>
          <w:rFonts w:ascii="Arial" w:hAnsi="Arial" w:cs="Arial"/>
        </w:rPr>
        <w:t xml:space="preserve"> XII</w:t>
      </w:r>
      <w:r>
        <w:rPr>
          <w:rFonts w:ascii="Arial" w:hAnsi="Arial" w:cs="Arial"/>
        </w:rPr>
        <w:t xml:space="preserve"> de la LTAIPSLP.</w:t>
      </w:r>
    </w:p>
    <w:p w:rsidR="00B51013" w:rsidRPr="00D90F51" w:rsidRDefault="00B51013" w:rsidP="00A64C10">
      <w:pPr>
        <w:jc w:val="both"/>
        <w:rPr>
          <w:rFonts w:ascii="Arial" w:hAnsi="Arial" w:cs="Arial"/>
        </w:rPr>
      </w:pPr>
    </w:p>
    <w:p w:rsidR="00BF3665" w:rsidRPr="00044847" w:rsidRDefault="009819AE" w:rsidP="00A64C10">
      <w:pPr>
        <w:jc w:val="both"/>
        <w:rPr>
          <w:rFonts w:ascii="Arial" w:hAnsi="Arial" w:cs="Arial"/>
        </w:rPr>
      </w:pPr>
      <w:r w:rsidRPr="00D90F51">
        <w:rPr>
          <w:rFonts w:ascii="Arial" w:hAnsi="Arial" w:cs="Arial"/>
          <w:b/>
        </w:rPr>
        <w:t>III.</w:t>
      </w:r>
      <w:r w:rsidRPr="00D90F51">
        <w:rPr>
          <w:rFonts w:ascii="Arial" w:hAnsi="Arial" w:cs="Arial"/>
        </w:rPr>
        <w:t xml:space="preserve"> </w:t>
      </w:r>
      <w:r w:rsidR="004A7983">
        <w:rPr>
          <w:rFonts w:ascii="Arial" w:hAnsi="Arial" w:cs="Arial"/>
        </w:rPr>
        <w:t>María Eugenia Hunter Puente, directora de Adquisiciones, Arrendamientos y Servicios</w:t>
      </w:r>
      <w:r w:rsidR="00376B01">
        <w:rPr>
          <w:rFonts w:ascii="Arial" w:hAnsi="Arial" w:cs="Arial"/>
        </w:rPr>
        <w:t xml:space="preserve">, emite el acuerdo de reserva </w:t>
      </w:r>
      <w:r w:rsidR="00434058">
        <w:rPr>
          <w:rFonts w:ascii="Arial" w:hAnsi="Arial" w:cs="Arial"/>
          <w:b/>
        </w:rPr>
        <w:t>parcial</w:t>
      </w:r>
      <w:r w:rsidR="00376B01">
        <w:rPr>
          <w:rFonts w:ascii="Arial" w:hAnsi="Arial" w:cs="Arial"/>
        </w:rPr>
        <w:t xml:space="preserve"> número </w:t>
      </w:r>
      <w:r w:rsidR="008D7FD6" w:rsidRPr="007134C5">
        <w:rPr>
          <w:rFonts w:ascii="Arial" w:hAnsi="Arial" w:cs="Arial"/>
          <w:b/>
        </w:rPr>
        <w:t>AR</w:t>
      </w:r>
      <w:r w:rsidR="008D7FD6" w:rsidRPr="00C912D7">
        <w:rPr>
          <w:rFonts w:ascii="Arial" w:hAnsi="Arial" w:cs="Arial"/>
          <w:b/>
        </w:rPr>
        <w:t>/</w:t>
      </w:r>
      <w:r w:rsidR="00AC0131">
        <w:rPr>
          <w:rFonts w:ascii="Arial" w:hAnsi="Arial" w:cs="Arial"/>
          <w:b/>
        </w:rPr>
        <w:t>0</w:t>
      </w:r>
      <w:r w:rsidR="00C10CD7">
        <w:rPr>
          <w:rFonts w:ascii="Arial" w:hAnsi="Arial" w:cs="Arial"/>
          <w:b/>
        </w:rPr>
        <w:t>71</w:t>
      </w:r>
      <w:r w:rsidR="00590B9B" w:rsidRPr="007134C5">
        <w:rPr>
          <w:rFonts w:ascii="Arial" w:hAnsi="Arial" w:cs="Arial"/>
          <w:b/>
        </w:rPr>
        <w:t>/202</w:t>
      </w:r>
      <w:r w:rsidR="005E66F3" w:rsidRPr="007134C5">
        <w:rPr>
          <w:rFonts w:ascii="Arial" w:hAnsi="Arial" w:cs="Arial"/>
          <w:b/>
        </w:rPr>
        <w:t>5</w:t>
      </w:r>
      <w:r w:rsidR="00376B01" w:rsidRPr="007134C5">
        <w:rPr>
          <w:rFonts w:ascii="Arial" w:hAnsi="Arial" w:cs="Arial"/>
        </w:rPr>
        <w:t>,</w:t>
      </w:r>
      <w:r w:rsidR="00376B01" w:rsidRPr="00DE0B86">
        <w:rPr>
          <w:rFonts w:ascii="Arial" w:hAnsi="Arial" w:cs="Arial"/>
        </w:rPr>
        <w:t xml:space="preserve"> para</w:t>
      </w:r>
      <w:r w:rsidR="00376B01">
        <w:rPr>
          <w:rFonts w:ascii="Arial" w:hAnsi="Arial" w:cs="Arial"/>
        </w:rPr>
        <w:t xml:space="preserve"> estar en posibilidades de dar </w:t>
      </w:r>
      <w:r w:rsidR="00B932D0">
        <w:rPr>
          <w:rFonts w:ascii="Arial" w:hAnsi="Arial" w:cs="Arial"/>
        </w:rPr>
        <w:t>cumplimiento a sus obligaciones en materia de transparencia</w:t>
      </w:r>
      <w:r w:rsidR="00376B01">
        <w:rPr>
          <w:rFonts w:ascii="Arial" w:hAnsi="Arial" w:cs="Arial"/>
        </w:rPr>
        <w:t>.</w:t>
      </w:r>
    </w:p>
    <w:p w:rsidR="007D4996" w:rsidRDefault="007D4996" w:rsidP="00A64C10">
      <w:pPr>
        <w:jc w:val="both"/>
        <w:rPr>
          <w:rFonts w:ascii="Arial" w:hAnsi="Arial" w:cs="Arial"/>
          <w:shd w:val="clear" w:color="auto" w:fill="FFFFFF"/>
        </w:rPr>
      </w:pPr>
    </w:p>
    <w:p w:rsidR="00BF3665" w:rsidRDefault="009819AE" w:rsidP="00A64C10">
      <w:pPr>
        <w:jc w:val="center"/>
        <w:rPr>
          <w:rFonts w:ascii="Arial" w:hAnsi="Arial" w:cs="Arial"/>
          <w:b/>
        </w:rPr>
      </w:pPr>
      <w:r>
        <w:rPr>
          <w:rFonts w:ascii="Arial" w:hAnsi="Arial" w:cs="Arial"/>
          <w:b/>
        </w:rPr>
        <w:t>CONSIDERANDO</w:t>
      </w:r>
    </w:p>
    <w:p w:rsidR="00CD77A1" w:rsidRDefault="00CD77A1"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434058">
        <w:rPr>
          <w:rFonts w:ascii="Arial" w:hAnsi="Arial" w:cs="Arial"/>
          <w:b/>
        </w:rPr>
        <w:t>parcial</w:t>
      </w:r>
      <w:r>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DA13CD">
        <w:rPr>
          <w:rFonts w:ascii="Arial" w:hAnsi="Arial" w:cs="Arial"/>
          <w:b/>
        </w:rPr>
        <w:t>0</w:t>
      </w:r>
      <w:r w:rsidR="00C10CD7">
        <w:rPr>
          <w:rFonts w:ascii="Arial" w:hAnsi="Arial" w:cs="Arial"/>
          <w:b/>
        </w:rPr>
        <w:t>71</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b/>
        </w:rPr>
        <w:t>,</w:t>
      </w:r>
      <w:r w:rsidRPr="00DE0B86">
        <w:rPr>
          <w:rFonts w:ascii="Arial" w:hAnsi="Arial" w:cs="Arial"/>
        </w:rPr>
        <w:t xml:space="preserve"> por</w:t>
      </w:r>
      <w:r>
        <w:rPr>
          <w:rFonts w:ascii="Arial" w:hAnsi="Arial" w:cs="Arial"/>
        </w:rPr>
        <w:t xml:space="preserve">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A64C10">
      <w:pPr>
        <w:jc w:val="both"/>
        <w:rPr>
          <w:rFonts w:ascii="Arial" w:hAnsi="Arial" w:cs="Arial"/>
        </w:rPr>
      </w:pPr>
    </w:p>
    <w:p w:rsidR="005117B5" w:rsidRDefault="005117B5" w:rsidP="00A64C10">
      <w:pPr>
        <w:jc w:val="both"/>
        <w:rPr>
          <w:rFonts w:ascii="Arial" w:hAnsi="Arial" w:cs="Arial"/>
          <w:b/>
        </w:rPr>
      </w:pPr>
      <w:r w:rsidRPr="005117B5">
        <w:rPr>
          <w:rFonts w:ascii="Arial" w:hAnsi="Arial" w:cs="Arial"/>
          <w:b/>
        </w:rPr>
        <w:t xml:space="preserve">SEGUNDO. Análisis. </w:t>
      </w:r>
    </w:p>
    <w:p w:rsidR="00376B01" w:rsidRPr="005117B5" w:rsidRDefault="00376B01" w:rsidP="00A64C10">
      <w:pPr>
        <w:jc w:val="both"/>
        <w:rPr>
          <w:rFonts w:ascii="Arial" w:hAnsi="Arial" w:cs="Arial"/>
        </w:rPr>
      </w:pPr>
    </w:p>
    <w:p w:rsidR="005117B5" w:rsidRDefault="005117B5" w:rsidP="00A64C10">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434058">
        <w:rPr>
          <w:rFonts w:ascii="Arial" w:hAnsi="Arial" w:cs="Arial"/>
          <w:b/>
        </w:rPr>
        <w:t>parcial</w:t>
      </w:r>
      <w:r w:rsidR="00DA4A66" w:rsidRPr="005117B5">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6F7D0F" w:rsidRPr="00C912D7">
        <w:rPr>
          <w:rFonts w:ascii="Arial" w:hAnsi="Arial" w:cs="Arial"/>
          <w:b/>
        </w:rPr>
        <w:t>/</w:t>
      </w:r>
      <w:r w:rsidR="00DA13CD">
        <w:rPr>
          <w:rFonts w:ascii="Arial" w:hAnsi="Arial" w:cs="Arial"/>
          <w:b/>
        </w:rPr>
        <w:t>0</w:t>
      </w:r>
      <w:r w:rsidR="00C10CD7">
        <w:rPr>
          <w:rFonts w:ascii="Arial" w:hAnsi="Arial" w:cs="Arial"/>
          <w:b/>
        </w:rPr>
        <w:t>71</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rPr>
        <w:t>, se advierte</w:t>
      </w:r>
      <w:r w:rsidRPr="005117B5">
        <w:rPr>
          <w:rFonts w:ascii="Arial" w:hAnsi="Arial" w:cs="Arial"/>
        </w:rPr>
        <w:t xml:space="preserve"> que el mismo contiene los requisitos mínimos establecidos por el artículo 128 de LTAIPSLP, y que a sabed son: </w:t>
      </w:r>
    </w:p>
    <w:p w:rsidR="00BD135C" w:rsidRDefault="00BD135C" w:rsidP="00A64C10">
      <w:pPr>
        <w:jc w:val="both"/>
        <w:rPr>
          <w:rFonts w:ascii="Arial" w:hAnsi="Arial" w:cs="Arial"/>
        </w:rPr>
      </w:pP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fuente y el archivo donde se encuentra la información;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fundamentación y motivación del acuerdo;</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documento, la parte o las partes de los mismos, que se reservan;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plazo por el que se reserva la información;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designación de la autoridad responsable de su protección;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Número de identificación del acuerdo de reserva;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La aplicación de la prueba del daño;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Fecha del acuerdo de clasificación.</w:t>
      </w:r>
    </w:p>
    <w:p w:rsidR="005117B5" w:rsidRPr="0057010B" w:rsidRDefault="005117B5" w:rsidP="00A64C10">
      <w:pPr>
        <w:jc w:val="both"/>
        <w:rPr>
          <w:rFonts w:ascii="Arial" w:hAnsi="Arial" w:cs="Arial"/>
          <w:sz w:val="20"/>
          <w:szCs w:val="20"/>
        </w:rPr>
      </w:pPr>
    </w:p>
    <w:p w:rsidR="00E17D56" w:rsidRDefault="00842F00" w:rsidP="00A64C10">
      <w:pPr>
        <w:jc w:val="both"/>
        <w:rPr>
          <w:rFonts w:ascii="Arial" w:hAnsi="Arial" w:cs="Arial"/>
        </w:rPr>
      </w:pPr>
      <w:bookmarkStart w:id="1" w:name="_Hlk210733518"/>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bookmarkEnd w:id="1"/>
    <w:p w:rsidR="00431ACA" w:rsidRDefault="00431ACA" w:rsidP="00A64C10">
      <w:pPr>
        <w:jc w:val="both"/>
        <w:rPr>
          <w:rFonts w:ascii="Arial" w:hAnsi="Arial" w:cs="Arial"/>
        </w:rPr>
      </w:pPr>
    </w:p>
    <w:p w:rsidR="00BF3665" w:rsidRDefault="009819AE" w:rsidP="00A64C10">
      <w:pPr>
        <w:jc w:val="both"/>
        <w:rPr>
          <w:rFonts w:ascii="Arial" w:hAnsi="Arial" w:cs="Arial"/>
          <w:b/>
        </w:rPr>
      </w:pPr>
      <w:r>
        <w:rPr>
          <w:rFonts w:ascii="Arial" w:hAnsi="Arial" w:cs="Arial"/>
          <w:b/>
        </w:rPr>
        <w:t>TERCERO. Sentido de la resolución.</w:t>
      </w:r>
    </w:p>
    <w:p w:rsidR="00CD77A1" w:rsidRDefault="00CD77A1" w:rsidP="00A64C10">
      <w:pPr>
        <w:jc w:val="both"/>
        <w:rPr>
          <w:rFonts w:ascii="Arial" w:hAnsi="Arial" w:cs="Arial"/>
          <w:b/>
        </w:rPr>
      </w:pPr>
    </w:p>
    <w:p w:rsidR="00BF3665" w:rsidRDefault="009819AE" w:rsidP="00A64C10">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A64C10">
      <w:pPr>
        <w:pStyle w:val="Prrafodelista"/>
        <w:ind w:left="1080"/>
        <w:jc w:val="both"/>
        <w:rPr>
          <w:rFonts w:ascii="Arial" w:hAnsi="Arial" w:cs="Arial"/>
          <w:b/>
        </w:rPr>
      </w:pPr>
    </w:p>
    <w:p w:rsidR="00F17114" w:rsidRPr="00F17114" w:rsidRDefault="007336C3" w:rsidP="00F17114">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F17114" w:rsidRPr="00F17114">
        <w:rPr>
          <w:rFonts w:ascii="Arial" w:hAnsi="Arial" w:cs="Arial"/>
        </w:rPr>
        <w:t>Se considera que efectivamente los: “El rubro de “descripción”,  que se contiene en el proceso de Invitación Restringida a Cuando Menos Tres Proveedores No. FGE-IRTP-021-2025, en las expresiones documentales siguientes: Análisis Cuantitativo del Acta de Apertura de fecha 10 de septiembre de 2025, y en el Anexo 1 de los contratos identificados como Contrato No. FGE-IRTP021-MATERIAL DE LABORATORIO-01-2025 y Contrato No. FGE-IRTP021-MATERIAL DE LABORATORIO-02-2025, información que se encuentra en resguardo de la Dirección de Adquisiciones, Arrendamientos y Servicios de la Fiscalía General del Estado de San Luis Potosí, es información pública de oficio, acorde a lo señalado en el artículo 84, fracción XXXIV A) de la Ley de Transparencia y Acceso a la Información Pública del Estado de San Luis Potosí.</w:t>
      </w:r>
    </w:p>
    <w:p w:rsidR="00F17114" w:rsidRPr="00F17114" w:rsidRDefault="00F17114" w:rsidP="00F17114">
      <w:pPr>
        <w:autoSpaceDE w:val="0"/>
        <w:autoSpaceDN w:val="0"/>
        <w:adjustRightInd w:val="0"/>
        <w:jc w:val="both"/>
        <w:rPr>
          <w:rFonts w:ascii="Arial" w:hAnsi="Arial" w:cs="Arial"/>
        </w:rPr>
      </w:pPr>
    </w:p>
    <w:p w:rsidR="00F17114" w:rsidRPr="00F17114" w:rsidRDefault="00F17114" w:rsidP="00F17114">
      <w:pPr>
        <w:autoSpaceDE w:val="0"/>
        <w:autoSpaceDN w:val="0"/>
        <w:adjustRightInd w:val="0"/>
        <w:jc w:val="both"/>
        <w:rPr>
          <w:rFonts w:ascii="Arial" w:hAnsi="Arial" w:cs="Arial"/>
        </w:rPr>
      </w:pPr>
      <w:r w:rsidRPr="00F17114">
        <w:rPr>
          <w:rFonts w:ascii="Arial" w:hAnsi="Arial" w:cs="Arial"/>
        </w:rPr>
        <w:t>Esto es así, porque como lo refiere el artículo 17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F17114" w:rsidRPr="00F17114" w:rsidRDefault="00F17114" w:rsidP="00F17114">
      <w:pPr>
        <w:autoSpaceDE w:val="0"/>
        <w:autoSpaceDN w:val="0"/>
        <w:adjustRightInd w:val="0"/>
        <w:jc w:val="both"/>
        <w:rPr>
          <w:rFonts w:ascii="Arial" w:hAnsi="Arial" w:cs="Arial"/>
        </w:rPr>
      </w:pPr>
    </w:p>
    <w:p w:rsidR="00F17114" w:rsidRPr="00F17114" w:rsidRDefault="00F17114" w:rsidP="00F17114">
      <w:pPr>
        <w:autoSpaceDE w:val="0"/>
        <w:autoSpaceDN w:val="0"/>
        <w:adjustRightInd w:val="0"/>
        <w:jc w:val="both"/>
        <w:rPr>
          <w:rFonts w:ascii="Arial" w:hAnsi="Arial" w:cs="Arial"/>
        </w:rPr>
      </w:pPr>
      <w:r w:rsidRPr="00F17114">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F17114" w:rsidRPr="00F17114" w:rsidRDefault="00F17114" w:rsidP="00F17114">
      <w:pPr>
        <w:autoSpaceDE w:val="0"/>
        <w:autoSpaceDN w:val="0"/>
        <w:adjustRightInd w:val="0"/>
        <w:jc w:val="both"/>
        <w:rPr>
          <w:rFonts w:ascii="Arial" w:hAnsi="Arial" w:cs="Arial"/>
        </w:rPr>
      </w:pPr>
    </w:p>
    <w:p w:rsidR="00F17114" w:rsidRPr="00F17114" w:rsidRDefault="00F17114" w:rsidP="00F17114">
      <w:pPr>
        <w:autoSpaceDE w:val="0"/>
        <w:autoSpaceDN w:val="0"/>
        <w:adjustRightInd w:val="0"/>
        <w:jc w:val="both"/>
        <w:rPr>
          <w:rFonts w:ascii="Arial" w:hAnsi="Arial" w:cs="Arial"/>
        </w:rPr>
      </w:pPr>
      <w:r w:rsidRPr="00F17114">
        <w:rPr>
          <w:rFonts w:ascii="Arial" w:hAnsi="Arial" w:cs="Arial"/>
        </w:rPr>
        <w:lastRenderedPageBreak/>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F17114" w:rsidRPr="00F17114" w:rsidRDefault="00F17114" w:rsidP="00F17114">
      <w:pPr>
        <w:autoSpaceDE w:val="0"/>
        <w:autoSpaceDN w:val="0"/>
        <w:adjustRightInd w:val="0"/>
        <w:jc w:val="both"/>
        <w:rPr>
          <w:rFonts w:ascii="Arial" w:hAnsi="Arial" w:cs="Arial"/>
        </w:rPr>
      </w:pPr>
    </w:p>
    <w:p w:rsidR="00F17114" w:rsidRPr="00F17114" w:rsidRDefault="00F17114" w:rsidP="00F17114">
      <w:pPr>
        <w:autoSpaceDE w:val="0"/>
        <w:autoSpaceDN w:val="0"/>
        <w:adjustRightInd w:val="0"/>
        <w:jc w:val="both"/>
        <w:rPr>
          <w:rFonts w:ascii="Arial" w:hAnsi="Arial" w:cs="Arial"/>
        </w:rPr>
      </w:pPr>
      <w:r w:rsidRPr="00F17114">
        <w:rPr>
          <w:rFonts w:ascii="Arial" w:hAnsi="Arial" w:cs="Arial"/>
        </w:rPr>
        <w:t>Así, la misma ley de Transparencia y Acceso a la Información Pública del Estado de San Luis Potosí precisa el momento en que puede clasificarse la información como reservada en el artículo 120, fracción III; de igual modo y en forma supletoria, en su semejante, la Ley General de Transparencia y Acceso a la Información Pública, en su artículo 112 clasifica la publicación de la información reservada.</w:t>
      </w:r>
    </w:p>
    <w:p w:rsidR="00F17114" w:rsidRPr="00F17114" w:rsidRDefault="00F17114" w:rsidP="00F17114">
      <w:pPr>
        <w:autoSpaceDE w:val="0"/>
        <w:autoSpaceDN w:val="0"/>
        <w:adjustRightInd w:val="0"/>
        <w:jc w:val="both"/>
        <w:rPr>
          <w:rFonts w:ascii="Arial" w:hAnsi="Arial" w:cs="Arial"/>
        </w:rPr>
      </w:pPr>
    </w:p>
    <w:p w:rsidR="00F17114" w:rsidRDefault="00F17114" w:rsidP="00F17114">
      <w:pPr>
        <w:autoSpaceDE w:val="0"/>
        <w:autoSpaceDN w:val="0"/>
        <w:adjustRightInd w:val="0"/>
        <w:jc w:val="both"/>
        <w:rPr>
          <w:rFonts w:ascii="Arial" w:hAnsi="Arial" w:cs="Arial"/>
        </w:rPr>
      </w:pPr>
      <w:r w:rsidRPr="00F17114">
        <w:rPr>
          <w:rFonts w:ascii="Arial" w:hAnsi="Arial" w:cs="Arial"/>
        </w:rPr>
        <w:t>En el caso que nos ocupa, se considera que se está ante información cuya publicación puede comprometer, por un lado, la procuración de justicia, los métodos de investigación en materia penal y los procedimientos judiciales en curso, esto como función imperante en esta dependencia.</w:t>
      </w:r>
    </w:p>
    <w:p w:rsidR="00F17114" w:rsidRPr="00F17114" w:rsidRDefault="00F17114" w:rsidP="00F17114">
      <w:pPr>
        <w:autoSpaceDE w:val="0"/>
        <w:autoSpaceDN w:val="0"/>
        <w:adjustRightInd w:val="0"/>
        <w:jc w:val="both"/>
        <w:rPr>
          <w:rFonts w:ascii="Arial" w:hAnsi="Arial" w:cs="Arial"/>
        </w:rPr>
      </w:pPr>
    </w:p>
    <w:p w:rsidR="00F17114" w:rsidRDefault="00F17114" w:rsidP="00F17114">
      <w:pPr>
        <w:autoSpaceDE w:val="0"/>
        <w:autoSpaceDN w:val="0"/>
        <w:adjustRightInd w:val="0"/>
        <w:jc w:val="both"/>
        <w:rPr>
          <w:rFonts w:ascii="Arial" w:hAnsi="Arial" w:cs="Arial"/>
        </w:rPr>
      </w:pPr>
      <w:r w:rsidRPr="00F17114">
        <w:rPr>
          <w:rFonts w:ascii="Arial" w:hAnsi="Arial" w:cs="Arial"/>
        </w:rPr>
        <w:t>En el caso concreto, la información relativa al “El rubro de “descripción”,  que se contiene en el proceso de Invitación Restringida a Cuando Menos Tres Proveedores No. FGE-IRTP-021-2025, en las expresiones documentales siguientes: Análisis Cuantitativo del Acta de Apertura de fecha 10 de septiembre de 2025, y en el Anexo 1 de los contratos identificados como Contrato No. FGE-IRTP021-MATERIAL DE LABORATORIO-01-2025 y Contrato No. FGE-IRTP021-MATERIAL DE LABORATORIO-02-2025, información que se encuentra en resguardo de la Dirección de Adquisiciones, Arrendamientos y Servicios de la Fiscalía General del Estado de San Luis Potosí,  utilizado en los procedimientos de investigación constituye un insumo estratégico y operativo para la Fiscalía General del Estado. Su divulgación podría:</w:t>
      </w:r>
    </w:p>
    <w:p w:rsidR="00150E0D" w:rsidRPr="00F17114" w:rsidRDefault="00150E0D" w:rsidP="00F17114">
      <w:pPr>
        <w:autoSpaceDE w:val="0"/>
        <w:autoSpaceDN w:val="0"/>
        <w:adjustRightInd w:val="0"/>
        <w:jc w:val="both"/>
        <w:rPr>
          <w:rFonts w:ascii="Arial" w:hAnsi="Arial" w:cs="Arial"/>
        </w:rPr>
      </w:pPr>
    </w:p>
    <w:p w:rsidR="00F17114" w:rsidRPr="00F17114" w:rsidRDefault="00F17114" w:rsidP="00F17114">
      <w:pPr>
        <w:autoSpaceDE w:val="0"/>
        <w:autoSpaceDN w:val="0"/>
        <w:adjustRightInd w:val="0"/>
        <w:jc w:val="both"/>
        <w:rPr>
          <w:rFonts w:ascii="Arial" w:hAnsi="Arial" w:cs="Arial"/>
        </w:rPr>
      </w:pPr>
      <w:r w:rsidRPr="00F17114">
        <w:rPr>
          <w:rFonts w:ascii="Arial" w:hAnsi="Arial" w:cs="Arial"/>
        </w:rPr>
        <w:t>•</w:t>
      </w:r>
      <w:r w:rsidRPr="00F17114">
        <w:rPr>
          <w:rFonts w:ascii="Arial" w:hAnsi="Arial" w:cs="Arial"/>
        </w:rPr>
        <w:tab/>
        <w:t>Revelar los insumos que la institución utiliza para sus capacidades operativas, técnicas y de respuesta de la institución frente a la delincuencia.</w:t>
      </w:r>
    </w:p>
    <w:p w:rsidR="00F17114" w:rsidRPr="00F17114" w:rsidRDefault="00F17114" w:rsidP="00F17114">
      <w:pPr>
        <w:autoSpaceDE w:val="0"/>
        <w:autoSpaceDN w:val="0"/>
        <w:adjustRightInd w:val="0"/>
        <w:jc w:val="both"/>
        <w:rPr>
          <w:rFonts w:ascii="Arial" w:hAnsi="Arial" w:cs="Arial"/>
        </w:rPr>
      </w:pPr>
      <w:r w:rsidRPr="00F17114">
        <w:rPr>
          <w:rFonts w:ascii="Arial" w:hAnsi="Arial" w:cs="Arial"/>
        </w:rPr>
        <w:t>•</w:t>
      </w:r>
      <w:r w:rsidRPr="00F17114">
        <w:rPr>
          <w:rFonts w:ascii="Arial" w:hAnsi="Arial" w:cs="Arial"/>
        </w:rPr>
        <w:tab/>
        <w:t>Facilitar que organizaciones delictivas adapten sus métodos para evadir la acción de la justicia.</w:t>
      </w:r>
    </w:p>
    <w:p w:rsidR="00F17114" w:rsidRDefault="00F17114" w:rsidP="00F17114">
      <w:pPr>
        <w:autoSpaceDE w:val="0"/>
        <w:autoSpaceDN w:val="0"/>
        <w:adjustRightInd w:val="0"/>
        <w:jc w:val="both"/>
        <w:rPr>
          <w:rFonts w:ascii="Arial" w:hAnsi="Arial" w:cs="Arial"/>
        </w:rPr>
      </w:pPr>
    </w:p>
    <w:p w:rsidR="00F17114" w:rsidRPr="00F17114" w:rsidRDefault="00F17114" w:rsidP="00F17114">
      <w:pPr>
        <w:autoSpaceDE w:val="0"/>
        <w:autoSpaceDN w:val="0"/>
        <w:adjustRightInd w:val="0"/>
        <w:jc w:val="both"/>
        <w:rPr>
          <w:rFonts w:ascii="Arial" w:hAnsi="Arial" w:cs="Arial"/>
        </w:rPr>
      </w:pPr>
      <w:r w:rsidRPr="00F17114">
        <w:rPr>
          <w:rFonts w:ascii="Arial" w:hAnsi="Arial" w:cs="Arial"/>
        </w:rPr>
        <w:t>Es procedente puesto que el darla a conocer contraviene lo dispuesto en el artículo 129 fracción XII, de la Ley de Transparencia y Acceso a la Información Pública del Estado del Estado de San Luis Potosí, en el que se considera: “Articulo 129. Como información reservada podrá clasificarse aquella cuya publicación, XII. Las que por disposición expresa de una ley tengan tal carácter, siempre que sean acordes con las bases, principios y disposiciones establecidos en esta Ley y no la contravengan; así como las previstas en tratados internacionales.” siempre que se ajusten a los principios de legalidad y proporcionalidad.</w:t>
      </w:r>
    </w:p>
    <w:p w:rsidR="00F17114" w:rsidRPr="00F17114" w:rsidRDefault="00F17114" w:rsidP="00F17114">
      <w:pPr>
        <w:autoSpaceDE w:val="0"/>
        <w:autoSpaceDN w:val="0"/>
        <w:adjustRightInd w:val="0"/>
        <w:jc w:val="both"/>
        <w:rPr>
          <w:rFonts w:ascii="Arial" w:hAnsi="Arial" w:cs="Arial"/>
        </w:rPr>
      </w:pPr>
    </w:p>
    <w:p w:rsidR="00F17114" w:rsidRDefault="00F17114" w:rsidP="00F17114">
      <w:pPr>
        <w:autoSpaceDE w:val="0"/>
        <w:autoSpaceDN w:val="0"/>
        <w:adjustRightInd w:val="0"/>
        <w:jc w:val="both"/>
        <w:rPr>
          <w:rFonts w:ascii="Arial" w:hAnsi="Arial" w:cs="Arial"/>
        </w:rPr>
      </w:pPr>
      <w:r w:rsidRPr="00F17114">
        <w:rPr>
          <w:rFonts w:ascii="Arial" w:hAnsi="Arial" w:cs="Arial"/>
        </w:rPr>
        <w:t xml:space="preserve">Resulta así, pues la seguridad pública es un bien jurídico tutelado por el Estado y constituye condición indispensable para el ejercicio de los demás derechos fundamentales. Así lo </w:t>
      </w:r>
      <w:r w:rsidRPr="00F17114">
        <w:rPr>
          <w:rFonts w:ascii="Arial" w:hAnsi="Arial" w:cs="Arial"/>
        </w:rPr>
        <w:lastRenderedPageBreak/>
        <w:t xml:space="preserve">establece el artículo 21 de la Constitución Federal, en correlación con el artículo 3° de la Ley del Sistema de Seguridad Pública del Estado. La información relativa: “El rubro de “descripción”,  que se contiene en el proceso de Invitación Restringida a Cuando Menos Tres Proveedores No. FGE-IRTP-021-2025, en las expresiones documentales siguientes: Análisis Cuantitativo del Acta de Apertura de fecha 10 de septiembre de 2025, y en el Anexo 1 de los contratos identificados como Contrato No. FGE-IRTP021-MATERIAL DE LABORATORIO-01-2025 y Contrato No. FGE-IRTP021-MATERIAL DE LABORATORIO-02-2025, información que se encuentra en resguardo de la Dirección de Adquisiciones, Arrendamientos y Servicios de la Fiscalía General del Estado de San Luis Potosí, se encuentra directamente vinculada con las funciones de investigación y persecución de los delitos, por lo que su revelación pública generaría un grave riesgo para la efectividad de dichas funciones. Y de manera aún más grave, se contravendría lo manifestado en reglamentación señala que esta consulta es exclusiva de las instituciones de seguridad pública que estén facultadas en cada caso, a través de los servidores públicos que cada institución designe, por lo que el público no tendrá acceso a la información que en ellos se contenga”. </w:t>
      </w:r>
    </w:p>
    <w:p w:rsidR="00F17114" w:rsidRPr="00F17114" w:rsidRDefault="00F17114" w:rsidP="00F17114">
      <w:pPr>
        <w:autoSpaceDE w:val="0"/>
        <w:autoSpaceDN w:val="0"/>
        <w:adjustRightInd w:val="0"/>
        <w:jc w:val="both"/>
        <w:rPr>
          <w:rFonts w:ascii="Arial" w:hAnsi="Arial" w:cs="Arial"/>
        </w:rPr>
      </w:pPr>
    </w:p>
    <w:p w:rsidR="00F17114" w:rsidRPr="00F17114" w:rsidRDefault="00F17114" w:rsidP="00F17114">
      <w:pPr>
        <w:autoSpaceDE w:val="0"/>
        <w:autoSpaceDN w:val="0"/>
        <w:adjustRightInd w:val="0"/>
        <w:jc w:val="both"/>
        <w:rPr>
          <w:rFonts w:ascii="Arial" w:hAnsi="Arial" w:cs="Arial"/>
        </w:rPr>
      </w:pPr>
      <w:r w:rsidRPr="00F17114">
        <w:rPr>
          <w:rFonts w:ascii="Arial" w:hAnsi="Arial" w:cs="Arial"/>
        </w:rPr>
        <w:t>La reserva parcial no implica opacidad ni encubrimiento. Los procesos de adquisición continúan siendo públicos en cuanto a su finalidad, montos, proveedores y demás aspectos generales. La restricción aplica únicamente al rubro de “descripción” el cual contiene información altamente sensible, cuyo acceso indiscriminado podría ser utilizado por la delincuencia organizada para obstaculizar los procesos, investigaciones o planear ataques contra la corporación.</w:t>
      </w:r>
    </w:p>
    <w:p w:rsidR="00F17114" w:rsidRPr="00F17114" w:rsidRDefault="00F17114" w:rsidP="00F17114">
      <w:pPr>
        <w:autoSpaceDE w:val="0"/>
        <w:autoSpaceDN w:val="0"/>
        <w:adjustRightInd w:val="0"/>
        <w:jc w:val="both"/>
        <w:rPr>
          <w:rFonts w:ascii="Arial" w:hAnsi="Arial" w:cs="Arial"/>
        </w:rPr>
      </w:pPr>
    </w:p>
    <w:p w:rsidR="00F17114" w:rsidRPr="00F17114" w:rsidRDefault="00F17114" w:rsidP="00F17114">
      <w:pPr>
        <w:autoSpaceDE w:val="0"/>
        <w:autoSpaceDN w:val="0"/>
        <w:adjustRightInd w:val="0"/>
        <w:jc w:val="both"/>
        <w:rPr>
          <w:rFonts w:ascii="Arial" w:hAnsi="Arial" w:cs="Arial"/>
        </w:rPr>
      </w:pPr>
      <w:r w:rsidRPr="00F17114">
        <w:rPr>
          <w:rFonts w:ascii="Arial" w:hAnsi="Arial" w:cs="Arial"/>
        </w:rPr>
        <w:t xml:space="preserve">A sabiendas que la información de interés, la función pública a la que está ligada directamente a los insumos con los que cuenta la Fiscalía General del Estado, al ser una Institución que constantemente responde a las necesidades de la procuración de justicia, como instrumento para el quehacer derivado de la investigación sobre hechos que pueden constituir delitos, y con la cuales ciertos servidores públicos que realizan tareas como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F17114" w:rsidRPr="00F17114" w:rsidRDefault="00F17114" w:rsidP="00F17114">
      <w:pPr>
        <w:autoSpaceDE w:val="0"/>
        <w:autoSpaceDN w:val="0"/>
        <w:adjustRightInd w:val="0"/>
        <w:jc w:val="both"/>
        <w:rPr>
          <w:rFonts w:ascii="Arial" w:hAnsi="Arial" w:cs="Arial"/>
        </w:rPr>
      </w:pPr>
    </w:p>
    <w:p w:rsidR="00F17114" w:rsidRPr="00F17114" w:rsidRDefault="00F17114" w:rsidP="00F17114">
      <w:pPr>
        <w:autoSpaceDE w:val="0"/>
        <w:autoSpaceDN w:val="0"/>
        <w:adjustRightInd w:val="0"/>
        <w:jc w:val="both"/>
        <w:rPr>
          <w:rFonts w:ascii="Arial" w:hAnsi="Arial" w:cs="Arial"/>
        </w:rPr>
      </w:pPr>
      <w:r w:rsidRPr="00F17114">
        <w:rPr>
          <w:rFonts w:ascii="Arial" w:hAnsi="Arial" w:cs="Arial"/>
        </w:rPr>
        <w:t xml:space="preserve">Se recuerda que “El rubro de “descripción”,  que se contiene en el proceso de Invitación Restringida a Cuando Menos Tres Proveedores No. FGE-IRTP-021-2025, en las expresiones documentales siguientes: Análisis Cuantitativo del Acta de Apertura de fecha 10 de septiembre de 2025, y en el Anexo 1 de los contratos identificados como Contrato No. FGE-IRTP021-MATERIAL DE LABORATORIO-01-2025 y Contrato No. FGE-IRTP021-MATERIAL DE LABORATORIO-02-2025, información que se encuentra en resguardo de la Dirección de </w:t>
      </w:r>
      <w:r w:rsidRPr="00F17114">
        <w:rPr>
          <w:rFonts w:ascii="Arial" w:hAnsi="Arial" w:cs="Arial"/>
        </w:rPr>
        <w:lastRenderedPageBreak/>
        <w:t>Adquisiciones, Arrendamientos y Servicios de la Fiscalía General del Estado de San Luis Potosí,  no es solo un recurso material; es un elemento estratégico para las áreas operativas de la Fiscalía, especialmente en tareas de métodos de investigación, carpetas de delitos, impunidad, operativos tácticos y traslados. La divulgación de la información pública de oficio puede:</w:t>
      </w:r>
    </w:p>
    <w:p w:rsidR="00F17114" w:rsidRPr="00F17114" w:rsidRDefault="00F17114" w:rsidP="00F17114">
      <w:pPr>
        <w:autoSpaceDE w:val="0"/>
        <w:autoSpaceDN w:val="0"/>
        <w:adjustRightInd w:val="0"/>
        <w:jc w:val="both"/>
        <w:rPr>
          <w:rFonts w:ascii="Arial" w:hAnsi="Arial" w:cs="Arial"/>
        </w:rPr>
      </w:pPr>
    </w:p>
    <w:p w:rsidR="00F17114" w:rsidRPr="00F17114" w:rsidRDefault="00F17114" w:rsidP="00F17114">
      <w:pPr>
        <w:autoSpaceDE w:val="0"/>
        <w:autoSpaceDN w:val="0"/>
        <w:adjustRightInd w:val="0"/>
        <w:jc w:val="both"/>
        <w:rPr>
          <w:rFonts w:ascii="Arial" w:hAnsi="Arial" w:cs="Arial"/>
        </w:rPr>
      </w:pPr>
      <w:r w:rsidRPr="00F17114">
        <w:rPr>
          <w:rFonts w:ascii="Arial" w:hAnsi="Arial" w:cs="Arial"/>
        </w:rPr>
        <w:t>•</w:t>
      </w:r>
      <w:r w:rsidRPr="00F17114">
        <w:rPr>
          <w:rFonts w:ascii="Arial" w:hAnsi="Arial" w:cs="Arial"/>
        </w:rPr>
        <w:tab/>
        <w:t>Poner en riesgo la seguridad pública, investigaciones penales o procedimientos judiciales en curso.</w:t>
      </w:r>
    </w:p>
    <w:p w:rsidR="00F17114" w:rsidRPr="00F17114" w:rsidRDefault="00F17114" w:rsidP="00F17114">
      <w:pPr>
        <w:autoSpaceDE w:val="0"/>
        <w:autoSpaceDN w:val="0"/>
        <w:adjustRightInd w:val="0"/>
        <w:jc w:val="both"/>
        <w:rPr>
          <w:rFonts w:ascii="Arial" w:hAnsi="Arial" w:cs="Arial"/>
        </w:rPr>
      </w:pPr>
      <w:r w:rsidRPr="00F17114">
        <w:rPr>
          <w:rFonts w:ascii="Arial" w:hAnsi="Arial" w:cs="Arial"/>
        </w:rPr>
        <w:t>•</w:t>
      </w:r>
      <w:r w:rsidRPr="00F17114">
        <w:rPr>
          <w:rFonts w:ascii="Arial" w:hAnsi="Arial" w:cs="Arial"/>
        </w:rPr>
        <w:tab/>
        <w:t>Compromete la impartición de justicia y la integridad del proceso penal.</w:t>
      </w:r>
    </w:p>
    <w:p w:rsidR="00F17114" w:rsidRPr="00F17114" w:rsidRDefault="00F17114" w:rsidP="00F17114">
      <w:pPr>
        <w:autoSpaceDE w:val="0"/>
        <w:autoSpaceDN w:val="0"/>
        <w:adjustRightInd w:val="0"/>
        <w:jc w:val="both"/>
        <w:rPr>
          <w:rFonts w:ascii="Arial" w:hAnsi="Arial" w:cs="Arial"/>
        </w:rPr>
      </w:pPr>
      <w:r w:rsidRPr="00F17114">
        <w:rPr>
          <w:rFonts w:ascii="Arial" w:hAnsi="Arial" w:cs="Arial"/>
        </w:rPr>
        <w:t>•</w:t>
      </w:r>
      <w:r w:rsidRPr="00F17114">
        <w:rPr>
          <w:rFonts w:ascii="Arial" w:hAnsi="Arial" w:cs="Arial"/>
        </w:rPr>
        <w:tab/>
        <w:t>Crear evasiones delictivas.</w:t>
      </w:r>
    </w:p>
    <w:p w:rsidR="00F17114" w:rsidRPr="00F17114" w:rsidRDefault="00F17114" w:rsidP="00F17114">
      <w:pPr>
        <w:autoSpaceDE w:val="0"/>
        <w:autoSpaceDN w:val="0"/>
        <w:adjustRightInd w:val="0"/>
        <w:jc w:val="both"/>
        <w:rPr>
          <w:rFonts w:ascii="Arial" w:hAnsi="Arial" w:cs="Arial"/>
        </w:rPr>
      </w:pPr>
    </w:p>
    <w:p w:rsidR="00C10CD7" w:rsidRPr="00C10CD7" w:rsidRDefault="00F17114" w:rsidP="00F17114">
      <w:pPr>
        <w:autoSpaceDE w:val="0"/>
        <w:autoSpaceDN w:val="0"/>
        <w:adjustRightInd w:val="0"/>
        <w:jc w:val="both"/>
        <w:rPr>
          <w:rFonts w:ascii="Arial" w:hAnsi="Arial" w:cs="Arial"/>
        </w:rPr>
      </w:pPr>
      <w:r w:rsidRPr="00F17114">
        <w:rPr>
          <w:rFonts w:ascii="Arial" w:hAnsi="Arial" w:cs="Arial"/>
        </w:rPr>
        <w:t>En términos de los artículos 3°, 5° 56 fracción XXVI, 93, 93 bis, de la Ley del Sistema de Seguridad Pública del Estado de San Luis Potosí, es que la información correspondiente a los “equipos” es claramente reservada, por todas aquellas funciones y modalidades en las que son usados, tanto para el ejercicio de las funciones operativas, como parte coadyuvante del cumplimiento de los objetivos de esta institución,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el lineamiento citado Trigésimo Segundo de los Lineamientos Generales de Clasificación y Desclasificación de la Información, así como para la Elaboración de Versiones Públicas. Esto refuerza jurídicamente la decisión de la Fiscalía al considerar reservada la información solicitada.</w:t>
      </w:r>
    </w:p>
    <w:p w:rsidR="00A753D0" w:rsidRDefault="00A753D0" w:rsidP="00C10CD7">
      <w:pPr>
        <w:autoSpaceDE w:val="0"/>
        <w:autoSpaceDN w:val="0"/>
        <w:adjustRightInd w:val="0"/>
        <w:jc w:val="both"/>
        <w:rPr>
          <w:rFonts w:ascii="Arial" w:hAnsi="Arial" w:cs="Arial"/>
        </w:rPr>
      </w:pPr>
    </w:p>
    <w:p w:rsidR="00045C57" w:rsidRDefault="00045C57" w:rsidP="00A64C10">
      <w:pPr>
        <w:jc w:val="both"/>
        <w:rPr>
          <w:rFonts w:ascii="Arial" w:hAnsi="Arial" w:cs="Arial"/>
        </w:rPr>
      </w:pPr>
      <w:r>
        <w:rPr>
          <w:rFonts w:ascii="Arial" w:hAnsi="Arial" w:cs="Arial"/>
        </w:rPr>
        <w:t xml:space="preserve">Fundamentación. La normativa que utiliza </w:t>
      </w:r>
      <w:r w:rsidR="004A7983">
        <w:rPr>
          <w:rFonts w:ascii="Arial" w:hAnsi="Arial" w:cs="Arial"/>
        </w:rPr>
        <w:t xml:space="preserve">María Eugenia Hunter Puente, directora de Adquisiciones, Arrendamientos y Servicios </w:t>
      </w:r>
      <w:r>
        <w:rPr>
          <w:rFonts w:ascii="Arial" w:hAnsi="Arial" w:cs="Arial"/>
        </w:rPr>
        <w:t xml:space="preserve">es la correcta pues aplica los numerales </w:t>
      </w:r>
      <w:r w:rsidR="00635ABE">
        <w:rPr>
          <w:rFonts w:ascii="Arial" w:hAnsi="Arial" w:cs="Arial"/>
        </w:rPr>
        <w:t xml:space="preserve">101, 129, fracción XIX, 110, 145, fracción II de la Ley General del Sistema Nacional de Seguridad Pública, 3º, 5º, fracción III, 56, fracción XXVI, 93, 93 BIS de la Ley del  Sistema de Seguridad Pública del Estado de San Luis Potosí, </w:t>
      </w:r>
      <w:r w:rsidR="00374F51">
        <w:rPr>
          <w:rFonts w:ascii="Arial" w:hAnsi="Arial" w:cs="Arial"/>
        </w:rPr>
        <w:t>113, 119, 120 fracción I, 129</w:t>
      </w:r>
      <w:r w:rsidR="00635ABE">
        <w:rPr>
          <w:rFonts w:ascii="Arial" w:hAnsi="Arial" w:cs="Arial"/>
        </w:rPr>
        <w:t>,</w:t>
      </w:r>
      <w:r w:rsidR="00374F51">
        <w:rPr>
          <w:rFonts w:ascii="Arial" w:hAnsi="Arial" w:cs="Arial"/>
        </w:rPr>
        <w:t xml:space="preserve"> </w:t>
      </w:r>
      <w:r w:rsidR="005160BF">
        <w:rPr>
          <w:rFonts w:ascii="Arial" w:hAnsi="Arial" w:cs="Arial"/>
        </w:rPr>
        <w:t xml:space="preserve"> XII</w:t>
      </w:r>
      <w:r w:rsidR="00374F51">
        <w:rPr>
          <w:rFonts w:ascii="Arial" w:hAnsi="Arial" w:cs="Arial"/>
        </w:rPr>
        <w:t xml:space="preserve">, y 132 de la </w:t>
      </w:r>
      <w:r w:rsidR="00635ABE">
        <w:rPr>
          <w:rFonts w:ascii="Arial" w:hAnsi="Arial" w:cs="Arial"/>
        </w:rPr>
        <w:t>L</w:t>
      </w:r>
      <w:r w:rsidR="00374F51">
        <w:rPr>
          <w:rFonts w:ascii="Arial" w:hAnsi="Arial" w:cs="Arial"/>
        </w:rPr>
        <w:t xml:space="preserve">ey de </w:t>
      </w:r>
      <w:r w:rsidR="00635ABE">
        <w:rPr>
          <w:rFonts w:ascii="Arial" w:hAnsi="Arial" w:cs="Arial"/>
        </w:rPr>
        <w:t>T</w:t>
      </w:r>
      <w:r w:rsidR="00374F51">
        <w:rPr>
          <w:rFonts w:ascii="Arial" w:hAnsi="Arial" w:cs="Arial"/>
        </w:rPr>
        <w:t xml:space="preserve">ransparencia y </w:t>
      </w:r>
      <w:r w:rsidR="00635ABE">
        <w:rPr>
          <w:rFonts w:ascii="Arial" w:hAnsi="Arial" w:cs="Arial"/>
        </w:rPr>
        <w:t>A</w:t>
      </w:r>
      <w:r w:rsidR="00374F51">
        <w:rPr>
          <w:rFonts w:ascii="Arial" w:hAnsi="Arial" w:cs="Arial"/>
        </w:rPr>
        <w:t xml:space="preserve">cceso a la </w:t>
      </w:r>
      <w:r w:rsidR="00635ABE">
        <w:rPr>
          <w:rFonts w:ascii="Arial" w:hAnsi="Arial" w:cs="Arial"/>
        </w:rPr>
        <w:t>I</w:t>
      </w:r>
      <w:r w:rsidR="00374F51">
        <w:rPr>
          <w:rFonts w:ascii="Arial" w:hAnsi="Arial" w:cs="Arial"/>
        </w:rPr>
        <w:t xml:space="preserve">nformación </w:t>
      </w:r>
      <w:r w:rsidR="00635ABE">
        <w:rPr>
          <w:rFonts w:ascii="Arial" w:hAnsi="Arial" w:cs="Arial"/>
        </w:rPr>
        <w:t>P</w:t>
      </w:r>
      <w:r w:rsidR="00374F51">
        <w:rPr>
          <w:rFonts w:ascii="Arial" w:hAnsi="Arial" w:cs="Arial"/>
        </w:rPr>
        <w:t xml:space="preserve">ública del </w:t>
      </w:r>
      <w:r w:rsidR="00635ABE">
        <w:rPr>
          <w:rFonts w:ascii="Arial" w:hAnsi="Arial" w:cs="Arial"/>
        </w:rPr>
        <w:t>E</w:t>
      </w:r>
      <w:r w:rsidR="00374F51">
        <w:rPr>
          <w:rFonts w:ascii="Arial" w:hAnsi="Arial" w:cs="Arial"/>
        </w:rPr>
        <w:t>stado,</w:t>
      </w:r>
      <w:r w:rsidR="005160BF">
        <w:rPr>
          <w:rFonts w:ascii="Arial" w:hAnsi="Arial" w:cs="Arial"/>
        </w:rPr>
        <w:t xml:space="preserve"> </w:t>
      </w:r>
      <w:r w:rsidR="00374F51">
        <w:rPr>
          <w:rFonts w:ascii="Arial" w:hAnsi="Arial" w:cs="Arial"/>
        </w:rPr>
        <w:t xml:space="preserve"> lineamiento</w:t>
      </w:r>
      <w:r w:rsidR="00635ABE">
        <w:rPr>
          <w:rFonts w:ascii="Arial" w:hAnsi="Arial" w:cs="Arial"/>
        </w:rPr>
        <w:t xml:space="preserve"> Trigésimo segundo </w:t>
      </w:r>
      <w:r w:rsidR="00374F51">
        <w:rPr>
          <w:rFonts w:ascii="Arial" w:hAnsi="Arial" w:cs="Arial"/>
        </w:rPr>
        <w:t>de los LGCDIEVP.</w:t>
      </w:r>
    </w:p>
    <w:p w:rsidR="00045C57" w:rsidRDefault="00045C57" w:rsidP="00A64C10">
      <w:pPr>
        <w:jc w:val="both"/>
        <w:rPr>
          <w:rFonts w:ascii="Arial" w:hAnsi="Arial" w:cs="Arial"/>
        </w:rPr>
      </w:pPr>
    </w:p>
    <w:p w:rsidR="00BF3665" w:rsidRDefault="007336C3" w:rsidP="00A64C10">
      <w:pPr>
        <w:jc w:val="both"/>
        <w:rPr>
          <w:rFonts w:ascii="Arial" w:hAnsi="Arial" w:cs="Arial"/>
        </w:rPr>
      </w:pPr>
      <w:r>
        <w:rPr>
          <w:rFonts w:ascii="Arial" w:hAnsi="Arial" w:cs="Arial"/>
        </w:rPr>
        <w:t xml:space="preserve">Razonamiento. </w:t>
      </w:r>
      <w:r w:rsidR="004A7983">
        <w:rPr>
          <w:rFonts w:ascii="Arial" w:hAnsi="Arial" w:cs="Arial"/>
        </w:rPr>
        <w:t xml:space="preserve">María Eugenia Hunter Puente, directora de Adquisiciones, Arrendamientos y Servicios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Pr="0057010B" w:rsidRDefault="00DF2157" w:rsidP="00A64C10">
      <w:pPr>
        <w:jc w:val="both"/>
        <w:rPr>
          <w:rFonts w:ascii="Arial" w:hAnsi="Arial" w:cs="Arial"/>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t>Artículo 118.</w:t>
      </w:r>
      <w:r w:rsidRPr="0057010B">
        <w:rPr>
          <w:rFonts w:ascii="Arial" w:hAnsi="Arial" w:cs="Arial"/>
          <w:i/>
          <w:sz w:val="20"/>
          <w:szCs w:val="20"/>
        </w:rPr>
        <w:t xml:space="preserve"> En la aplicación de la prueba de daño, el sujeto obligado deberá justificar que: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 La divulgación de la información representa un riesgo real, demostrable e identificable de perjuicio significativo al interés público;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 El riesgo de perjuicio que supondría la divulgación supera el interés público general de que se difunda, y</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III. La limitación se adecua al principio de proporcionalidad y representa el medio menos restrictivo disponible para evitar el perjuicio.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t>Trigésimo tercero</w:t>
      </w:r>
      <w:r w:rsidRPr="0057010B">
        <w:rPr>
          <w:rFonts w:ascii="Arial" w:hAnsi="Arial" w:cs="Arial"/>
          <w:i/>
          <w:sz w:val="20"/>
          <w:szCs w:val="20"/>
        </w:rPr>
        <w:t>. Para la aplicación de la prueba de daño a la que hace referencia el artículo 104 de la Ley General, los sujetos obligados atenderán lo siguiente: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57010B" w:rsidRDefault="00BF3665" w:rsidP="00A64C10">
      <w:pPr>
        <w:ind w:left="567" w:right="616"/>
        <w:jc w:val="both"/>
        <w:rPr>
          <w:rFonts w:ascii="Arial" w:hAnsi="Arial" w:cs="Arial"/>
          <w:i/>
          <w:sz w:val="20"/>
          <w:szCs w:val="20"/>
        </w:rPr>
      </w:pPr>
    </w:p>
    <w:p w:rsidR="00BF3665" w:rsidRPr="0044355B" w:rsidRDefault="009819AE" w:rsidP="00A64C10">
      <w:pPr>
        <w:pStyle w:val="Prrafodelista"/>
        <w:numPr>
          <w:ilvl w:val="0"/>
          <w:numId w:val="3"/>
        </w:numPr>
        <w:ind w:left="142" w:right="616" w:firstLine="0"/>
        <w:jc w:val="both"/>
        <w:rPr>
          <w:rFonts w:ascii="Arial" w:hAnsi="Arial" w:cs="Arial"/>
          <w:i/>
        </w:rPr>
      </w:pPr>
      <w:r w:rsidRPr="0057010B">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w:t>
      </w:r>
      <w:r w:rsidRPr="0044355B">
        <w:rPr>
          <w:rFonts w:ascii="Arial" w:hAnsi="Arial" w:cs="Arial"/>
          <w:i/>
        </w:rPr>
        <w:t xml:space="preserve"> a cumplir con el objetivo de brindar certeza al solicitante.</w:t>
      </w:r>
    </w:p>
    <w:p w:rsidR="00A753D0" w:rsidRPr="00C912D7" w:rsidRDefault="00A753D0" w:rsidP="00A753D0">
      <w:pPr>
        <w:pStyle w:val="Prrafodelista"/>
        <w:rPr>
          <w:rFonts w:ascii="Arial" w:hAnsi="Arial" w:cs="Arial"/>
          <w:i/>
          <w:sz w:val="20"/>
          <w:szCs w:val="20"/>
        </w:rPr>
      </w:pPr>
    </w:p>
    <w:p w:rsidR="00A753D0" w:rsidRPr="00D650B8" w:rsidRDefault="00A753D0" w:rsidP="00A753D0">
      <w:pPr>
        <w:pStyle w:val="Prrafodelista"/>
        <w:ind w:left="142" w:right="616"/>
        <w:jc w:val="both"/>
        <w:rPr>
          <w:rFonts w:ascii="Arial" w:hAnsi="Arial" w:cs="Arial"/>
          <w:i/>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1"/>
      </w:tblGrid>
      <w:tr w:rsidR="00A753D0" w:rsidRPr="00A753D0" w:rsidTr="00A753D0">
        <w:trPr>
          <w:tblCellSpacing w:w="15" w:type="dxa"/>
        </w:trPr>
        <w:tc>
          <w:tcPr>
            <w:tcW w:w="0" w:type="auto"/>
            <w:vAlign w:val="center"/>
            <w:hideMark/>
          </w:tcPr>
          <w:p w:rsidR="00A753D0" w:rsidRPr="00A753D0" w:rsidRDefault="00A753D0" w:rsidP="00A753D0">
            <w:pPr>
              <w:jc w:val="both"/>
              <w:rPr>
                <w:rFonts w:ascii="Arial" w:eastAsia="Times New Roman" w:hAnsi="Arial" w:cs="Arial"/>
              </w:rPr>
            </w:pPr>
          </w:p>
        </w:tc>
        <w:tc>
          <w:tcPr>
            <w:tcW w:w="0" w:type="auto"/>
            <w:vAlign w:val="center"/>
            <w:hideMark/>
          </w:tcPr>
          <w:p w:rsidR="00A753D0" w:rsidRPr="00A753D0" w:rsidRDefault="00A753D0" w:rsidP="00A753D0">
            <w:pPr>
              <w:jc w:val="both"/>
              <w:rPr>
                <w:rFonts w:ascii="Arial" w:eastAsia="Times New Roman" w:hAnsi="Arial" w:cs="Arial"/>
              </w:rPr>
            </w:pPr>
          </w:p>
        </w:tc>
      </w:tr>
    </w:tbl>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1C2EAB" w:rsidRDefault="007336C3" w:rsidP="00A64C10">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A64C10">
      <w:pPr>
        <w:jc w:val="both"/>
        <w:rPr>
          <w:rFonts w:ascii="Arial" w:eastAsia="Times New Roman" w:hAnsi="Arial" w:cs="Arial"/>
          <w:lang w:val="es-ES"/>
        </w:rPr>
      </w:pPr>
    </w:p>
    <w:p w:rsidR="00BF3665" w:rsidRDefault="009819AE" w:rsidP="00A64C10">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44355B" w:rsidRDefault="0044355B" w:rsidP="00A64C10">
      <w:pPr>
        <w:ind w:right="-142"/>
        <w:jc w:val="both"/>
        <w:rPr>
          <w:rFonts w:ascii="Arial" w:eastAsia="Times New Roman" w:hAnsi="Arial" w:cs="Arial"/>
          <w:lang w:val="es-ES"/>
        </w:rPr>
      </w:pPr>
    </w:p>
    <w:p w:rsidR="00150E0D" w:rsidRPr="00150E0D" w:rsidRDefault="00150E0D" w:rsidP="00150E0D">
      <w:pPr>
        <w:ind w:right="-283"/>
        <w:jc w:val="both"/>
        <w:rPr>
          <w:rFonts w:ascii="Arial" w:eastAsia="Times New Roman" w:hAnsi="Arial" w:cs="Arial"/>
          <w:lang w:val="es-ES"/>
        </w:rPr>
      </w:pPr>
      <w:r w:rsidRPr="00150E0D">
        <w:rPr>
          <w:rFonts w:ascii="Arial" w:eastAsia="Times New Roman" w:hAnsi="Arial" w:cs="Arial"/>
          <w:lang w:val="es-ES"/>
        </w:rPr>
        <w:t>De la información pública de oficio que señala el artículo 84 fracción XXXIV inciso A), formato LTAIPSLPA84FXXXIV A) relativo a: “De licitaciones públicas o procedimientos de invitación restringida”, del mes de SEPTIEMBRE, de la Ley de Transparencia y Acceso a la Información Pública del Estado de San Luis Potosí, consistente en:</w:t>
      </w:r>
    </w:p>
    <w:p w:rsidR="00150E0D" w:rsidRPr="00150E0D" w:rsidRDefault="00150E0D" w:rsidP="00150E0D">
      <w:pPr>
        <w:ind w:right="-283"/>
        <w:jc w:val="both"/>
        <w:rPr>
          <w:rFonts w:ascii="Arial" w:eastAsia="Times New Roman" w:hAnsi="Arial" w:cs="Arial"/>
          <w:lang w:val="es-ES"/>
        </w:rPr>
      </w:pPr>
    </w:p>
    <w:p w:rsidR="00E34693" w:rsidRDefault="00150E0D" w:rsidP="00150E0D">
      <w:pPr>
        <w:ind w:right="-283"/>
        <w:jc w:val="both"/>
        <w:rPr>
          <w:rFonts w:ascii="Arial" w:eastAsia="Times New Roman" w:hAnsi="Arial" w:cs="Arial"/>
          <w:lang w:val="es-ES"/>
        </w:rPr>
      </w:pPr>
      <w:r w:rsidRPr="00150E0D">
        <w:rPr>
          <w:rFonts w:ascii="Arial" w:eastAsia="Times New Roman" w:hAnsi="Arial" w:cs="Arial"/>
          <w:lang w:val="es-ES"/>
        </w:rPr>
        <w:lastRenderedPageBreak/>
        <w:t>“El rubro de “descripción”,  que se contiene en el proceso de Invitación Restringida a Cuando Menos Tres Proveedores No. FGE-IRTP-021-2025, en las expresiones documentales siguientes: Análisis Cuantitativo del Acta de Apertura de fecha 10 de septiembre de 2025, y en el Anexo 1 de los contratos identificados como Contrato No. FGE-IRTP021-MATERIAL DE LABORATORIO-01-2025 y Contrato No. FGE-IRTP021-MATERIAL DE LABORATORIO-02-2025, información que se encuentra en resguardo de la Dirección de Adquisiciones, Arrendamientos y Servicios de la Fiscalía General del Estado de San Luis Potosí.</w:t>
      </w:r>
    </w:p>
    <w:p w:rsidR="00150E0D" w:rsidRDefault="00150E0D" w:rsidP="00150E0D">
      <w:pPr>
        <w:ind w:right="-283"/>
        <w:jc w:val="both"/>
        <w:rPr>
          <w:rFonts w:ascii="Arial" w:eastAsia="Times New Roman" w:hAnsi="Arial" w:cs="Arial"/>
          <w:lang w:val="es-ES"/>
        </w:rPr>
      </w:pPr>
    </w:p>
    <w:p w:rsidR="00150E0D" w:rsidRPr="00E172C2" w:rsidRDefault="00150E0D" w:rsidP="00150E0D">
      <w:pPr>
        <w:ind w:left="709" w:right="-283"/>
        <w:jc w:val="both"/>
        <w:rPr>
          <w:rFonts w:ascii="Arial" w:eastAsia="Times New Roman" w:hAnsi="Arial" w:cs="Arial"/>
          <w:lang w:val="es-ES"/>
        </w:rPr>
      </w:pPr>
    </w:p>
    <w:p w:rsidR="00BF3665" w:rsidRPr="00F64080" w:rsidRDefault="009819AE" w:rsidP="00A64C10">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A64C10">
      <w:pPr>
        <w:jc w:val="both"/>
        <w:rPr>
          <w:rFonts w:ascii="Arial" w:hAnsi="Arial" w:cs="Arial"/>
        </w:rPr>
      </w:pPr>
    </w:p>
    <w:p w:rsidR="00BF3665" w:rsidRDefault="009819AE" w:rsidP="00A64C10">
      <w:pPr>
        <w:jc w:val="both"/>
        <w:rPr>
          <w:rFonts w:ascii="Arial" w:hAnsi="Arial" w:cs="Arial"/>
        </w:rPr>
      </w:pPr>
      <w:r>
        <w:rPr>
          <w:rFonts w:ascii="Arial" w:hAnsi="Arial" w:cs="Arial"/>
        </w:rPr>
        <w:t>Período. 5 años.</w:t>
      </w:r>
    </w:p>
    <w:p w:rsidR="00694F13" w:rsidRDefault="00694F13" w:rsidP="00A64C10">
      <w:pPr>
        <w:jc w:val="both"/>
        <w:rPr>
          <w:rFonts w:ascii="Arial" w:eastAsia="Times New Roman" w:hAnsi="Arial" w:cs="Arial"/>
        </w:rPr>
      </w:pPr>
    </w:p>
    <w:p w:rsidR="00BF3665" w:rsidRDefault="00F6015F" w:rsidP="00A64C10">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B94A3D">
        <w:rPr>
          <w:rFonts w:ascii="Arial" w:eastAsia="Times New Roman" w:hAnsi="Arial" w:cs="Arial"/>
          <w:b/>
        </w:rPr>
        <w:t>6</w:t>
      </w:r>
      <w:r w:rsidR="009F136E" w:rsidRPr="00B11FCD">
        <w:rPr>
          <w:rFonts w:ascii="Arial" w:eastAsia="Times New Roman" w:hAnsi="Arial" w:cs="Arial"/>
          <w:b/>
        </w:rPr>
        <w:t xml:space="preserve"> de </w:t>
      </w:r>
      <w:r w:rsidR="00B94A3D">
        <w:rPr>
          <w:rFonts w:ascii="Arial" w:eastAsia="Times New Roman" w:hAnsi="Arial" w:cs="Arial"/>
          <w:b/>
        </w:rPr>
        <w:t>octubre</w:t>
      </w:r>
      <w:r w:rsidR="009819AE" w:rsidRPr="00B11FCD">
        <w:rPr>
          <w:rFonts w:ascii="Arial" w:eastAsia="Times New Roman" w:hAnsi="Arial" w:cs="Arial"/>
          <w:b/>
        </w:rPr>
        <w:t xml:space="preserve"> 20</w:t>
      </w:r>
      <w:r w:rsidR="005E66F3">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150E0D" w:rsidRDefault="00150E0D" w:rsidP="00A64C10">
      <w:pPr>
        <w:jc w:val="both"/>
        <w:rPr>
          <w:rFonts w:ascii="Arial" w:eastAsia="Times New Roman" w:hAnsi="Arial" w:cs="Arial"/>
        </w:rPr>
      </w:pPr>
    </w:p>
    <w:p w:rsidR="00CD77A1" w:rsidRDefault="00CD77A1" w:rsidP="00A64C10">
      <w:pPr>
        <w:jc w:val="both"/>
        <w:rPr>
          <w:rFonts w:ascii="Arial" w:eastAsia="Times New Roman" w:hAnsi="Arial" w:cs="Arial"/>
        </w:rPr>
      </w:pPr>
    </w:p>
    <w:p w:rsidR="00BF3665" w:rsidRPr="00FF1B19" w:rsidRDefault="009819AE" w:rsidP="00A64C10">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A64C10">
      <w:pPr>
        <w:pStyle w:val="Prrafodelista"/>
        <w:jc w:val="both"/>
        <w:rPr>
          <w:rFonts w:ascii="Arial" w:hAnsi="Arial" w:cs="Arial"/>
          <w:b/>
        </w:rPr>
      </w:pPr>
    </w:p>
    <w:p w:rsidR="00FF1B19" w:rsidRPr="008565C9" w:rsidRDefault="00FF1B19" w:rsidP="00A64C10">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B43764">
        <w:rPr>
          <w:rFonts w:ascii="Arial" w:hAnsi="Arial" w:cs="Arial"/>
          <w:b/>
        </w:rPr>
        <w:t>parcial</w:t>
      </w:r>
      <w:r w:rsidR="007F24DE">
        <w:rPr>
          <w:rFonts w:ascii="Arial" w:hAnsi="Arial" w:cs="Arial"/>
          <w:b/>
        </w:rPr>
        <w:t xml:space="preserve"> </w:t>
      </w:r>
      <w:r w:rsidRPr="007134C5">
        <w:rPr>
          <w:rFonts w:ascii="Arial" w:hAnsi="Arial" w:cs="Arial"/>
        </w:rPr>
        <w:t xml:space="preserve">número </w:t>
      </w:r>
      <w:r w:rsidR="008565C9" w:rsidRPr="007134C5">
        <w:rPr>
          <w:rFonts w:ascii="Arial" w:hAnsi="Arial" w:cs="Arial"/>
          <w:b/>
        </w:rPr>
        <w:t>AR/</w:t>
      </w:r>
      <w:r w:rsidR="00DA13CD">
        <w:rPr>
          <w:rFonts w:ascii="Arial" w:hAnsi="Arial" w:cs="Arial"/>
          <w:b/>
        </w:rPr>
        <w:t>0</w:t>
      </w:r>
      <w:r w:rsidR="00150E0D">
        <w:rPr>
          <w:rFonts w:ascii="Arial" w:hAnsi="Arial" w:cs="Arial"/>
          <w:b/>
        </w:rPr>
        <w:t>71</w:t>
      </w:r>
      <w:r w:rsidR="008565C9" w:rsidRPr="007134C5">
        <w:rPr>
          <w:rFonts w:ascii="Arial" w:hAnsi="Arial" w:cs="Arial"/>
          <w:b/>
        </w:rPr>
        <w:t>/202</w:t>
      </w:r>
      <w:r w:rsidR="005E66F3" w:rsidRPr="007134C5">
        <w:rPr>
          <w:rFonts w:ascii="Arial" w:hAnsi="Arial" w:cs="Arial"/>
          <w:b/>
        </w:rPr>
        <w:t>5</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w:t>
      </w:r>
      <w:r w:rsidR="007F24DE">
        <w:rPr>
          <w:rFonts w:ascii="Arial" w:hAnsi="Arial" w:cs="Arial"/>
        </w:rPr>
        <w:t xml:space="preserve"> </w:t>
      </w:r>
      <w:r w:rsidR="004A7983">
        <w:rPr>
          <w:rFonts w:ascii="Arial" w:hAnsi="Arial" w:cs="Arial"/>
        </w:rPr>
        <w:t>María Eugenia Hunter Puente, directora de Adquisiciones, Arrendamientos y Servicios</w:t>
      </w:r>
      <w:r w:rsidR="002E085B">
        <w:rPr>
          <w:rFonts w:ascii="Arial" w:hAnsi="Arial" w:cs="Arial"/>
        </w:rPr>
        <w:t>.</w:t>
      </w:r>
      <w:r w:rsidR="001E24B3">
        <w:rPr>
          <w:rFonts w:ascii="Arial" w:hAnsi="Arial" w:cs="Arial"/>
        </w:rPr>
        <w:t xml:space="preserve"> </w:t>
      </w:r>
    </w:p>
    <w:p w:rsidR="00B11FCD" w:rsidRPr="00476EF2" w:rsidRDefault="00B11FCD" w:rsidP="00A64C10">
      <w:pPr>
        <w:jc w:val="both"/>
        <w:rPr>
          <w:rFonts w:ascii="Arial" w:hAnsi="Arial" w:cs="Arial"/>
        </w:rPr>
      </w:pPr>
    </w:p>
    <w:p w:rsidR="00FF1B19" w:rsidRDefault="00FF1B19" w:rsidP="00A64C10">
      <w:pPr>
        <w:jc w:val="both"/>
        <w:rPr>
          <w:rFonts w:ascii="Arial" w:hAnsi="Arial" w:cs="Arial"/>
        </w:rPr>
      </w:pPr>
      <w:r w:rsidRPr="00476EF2">
        <w:rPr>
          <w:rFonts w:ascii="Arial" w:hAnsi="Arial" w:cs="Arial"/>
        </w:rPr>
        <w:t>Se instruye a</w:t>
      </w:r>
      <w:r w:rsidR="004A7983">
        <w:rPr>
          <w:rFonts w:ascii="Arial" w:hAnsi="Arial" w:cs="Arial"/>
        </w:rPr>
        <w:t xml:space="preserve"> María Eugenia Hunter Puente, directora de Adquisiciones, Arrendamientos y Servicios</w:t>
      </w:r>
      <w:r w:rsidR="004A7983"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44355B" w:rsidRDefault="0044355B" w:rsidP="00A64C10">
      <w:pPr>
        <w:jc w:val="both"/>
        <w:rPr>
          <w:rFonts w:ascii="Arial" w:hAnsi="Arial" w:cs="Arial"/>
        </w:rPr>
      </w:pPr>
    </w:p>
    <w:p w:rsidR="00FF1B19" w:rsidRDefault="00FF1B19" w:rsidP="00A64C10">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 </w:t>
      </w:r>
      <w:r w:rsidR="00434058">
        <w:rPr>
          <w:rFonts w:ascii="Arial" w:eastAsiaTheme="minorEastAsia" w:hAnsi="Arial" w:cs="Arial"/>
          <w:sz w:val="24"/>
          <w:szCs w:val="24"/>
          <w:lang w:eastAsia="es-ES"/>
        </w:rPr>
        <w:t>publicación de información</w:t>
      </w:r>
      <w:r w:rsidR="001E24B3">
        <w:rPr>
          <w:rFonts w:ascii="Arial" w:eastAsiaTheme="minorEastAsia" w:hAnsi="Arial" w:cs="Arial"/>
          <w:sz w:val="24"/>
          <w:szCs w:val="24"/>
          <w:lang w:eastAsia="es-ES"/>
        </w:rPr>
        <w:t xml:space="preserve">, 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A64C10">
      <w:pPr>
        <w:pStyle w:val="Sinespaciado"/>
        <w:jc w:val="both"/>
        <w:rPr>
          <w:rFonts w:ascii="Arial" w:eastAsiaTheme="minorEastAsia" w:hAnsi="Arial" w:cs="Arial"/>
          <w:sz w:val="24"/>
          <w:szCs w:val="24"/>
          <w:lang w:eastAsia="es-ES"/>
        </w:rPr>
      </w:pPr>
    </w:p>
    <w:p w:rsidR="00BF3665" w:rsidRDefault="009819AE" w:rsidP="00A64C10">
      <w:pPr>
        <w:widowControl w:val="0"/>
        <w:jc w:val="both"/>
        <w:rPr>
          <w:rFonts w:ascii="Arial" w:hAnsi="Arial" w:cs="Arial"/>
        </w:rPr>
      </w:pPr>
      <w:r>
        <w:rPr>
          <w:rFonts w:ascii="Arial" w:hAnsi="Arial" w:cs="Arial"/>
        </w:rPr>
        <w:t xml:space="preserve">Se instruye </w:t>
      </w:r>
      <w:r w:rsidR="004A7983">
        <w:rPr>
          <w:rFonts w:ascii="Arial" w:hAnsi="Arial" w:cs="Arial"/>
        </w:rPr>
        <w:t xml:space="preserve">María Eugenia Hunter Puente, directora de Adquisiciones, Arrendamientos y Servicios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150E0D" w:rsidRDefault="00150E0D" w:rsidP="00A64C10">
      <w:pPr>
        <w:widowControl w:val="0"/>
        <w:jc w:val="both"/>
        <w:rPr>
          <w:rFonts w:ascii="Arial" w:hAnsi="Arial" w:cs="Arial"/>
        </w:rPr>
      </w:pPr>
    </w:p>
    <w:p w:rsidR="00CD77A1" w:rsidRDefault="00CD77A1" w:rsidP="00A64C10">
      <w:pPr>
        <w:jc w:val="both"/>
        <w:rPr>
          <w:rFonts w:ascii="Arial" w:hAnsi="Arial" w:cs="Arial"/>
          <w:b/>
          <w:lang w:val="es-ES"/>
        </w:rPr>
      </w:pPr>
    </w:p>
    <w:p w:rsidR="00F62C18" w:rsidRDefault="00F62C18" w:rsidP="00A64C10">
      <w:pPr>
        <w:jc w:val="both"/>
        <w:rPr>
          <w:rFonts w:ascii="Arial" w:hAnsi="Arial" w:cs="Arial"/>
          <w:b/>
          <w:lang w:val="es-ES"/>
        </w:rPr>
      </w:pPr>
      <w:r>
        <w:rPr>
          <w:rFonts w:ascii="Arial" w:hAnsi="Arial" w:cs="Arial"/>
          <w:b/>
          <w:lang w:val="es-ES"/>
        </w:rPr>
        <w:t>CUARTO. Versiones Públicas.</w:t>
      </w:r>
    </w:p>
    <w:p w:rsidR="006A624D" w:rsidRDefault="006A624D" w:rsidP="00A64C10">
      <w:pPr>
        <w:jc w:val="both"/>
        <w:rPr>
          <w:rFonts w:ascii="Arial" w:hAnsi="Arial" w:cs="Arial"/>
          <w:b/>
          <w:lang w:val="es-ES"/>
        </w:rPr>
      </w:pPr>
    </w:p>
    <w:p w:rsidR="00E34693" w:rsidRDefault="00F62C18" w:rsidP="00E34693">
      <w:pPr>
        <w:pStyle w:val="Encabezado"/>
        <w:jc w:val="both"/>
        <w:rPr>
          <w:rFonts w:ascii="Arial" w:hAnsi="Arial" w:cs="Arial"/>
          <w:lang w:val="es-ES"/>
        </w:rPr>
      </w:pPr>
      <w:r w:rsidRPr="007A04B0">
        <w:rPr>
          <w:rFonts w:ascii="Arial" w:hAnsi="Arial" w:cs="Arial"/>
          <w:lang w:val="es-ES"/>
        </w:rPr>
        <w:t xml:space="preserve">Una vez confirmado el </w:t>
      </w:r>
      <w:r w:rsidRPr="00C62FCF">
        <w:rPr>
          <w:rFonts w:ascii="Arial" w:hAnsi="Arial" w:cs="Arial"/>
        </w:rPr>
        <w:t xml:space="preserve">acuerdo </w:t>
      </w:r>
      <w:r>
        <w:rPr>
          <w:rFonts w:ascii="Arial" w:hAnsi="Arial" w:cs="Arial"/>
        </w:rPr>
        <w:t xml:space="preserve">reserva </w:t>
      </w:r>
      <w:r w:rsidRPr="00B43764">
        <w:rPr>
          <w:rFonts w:ascii="Arial" w:hAnsi="Arial" w:cs="Arial"/>
          <w:b/>
        </w:rPr>
        <w:t xml:space="preserve">parcial </w:t>
      </w:r>
      <w:r w:rsidRPr="007134C5">
        <w:rPr>
          <w:rFonts w:ascii="Arial" w:hAnsi="Arial" w:cs="Arial"/>
        </w:rPr>
        <w:t xml:space="preserve">número </w:t>
      </w:r>
      <w:r w:rsidRPr="007134C5">
        <w:rPr>
          <w:rFonts w:ascii="Arial" w:hAnsi="Arial" w:cs="Arial"/>
          <w:b/>
          <w:bCs/>
        </w:rPr>
        <w:t>AR/</w:t>
      </w:r>
      <w:r w:rsidR="00DA13CD">
        <w:rPr>
          <w:rFonts w:ascii="Arial" w:hAnsi="Arial" w:cs="Arial"/>
          <w:b/>
          <w:bCs/>
        </w:rPr>
        <w:t>0</w:t>
      </w:r>
      <w:r w:rsidR="00150E0D">
        <w:rPr>
          <w:rFonts w:ascii="Arial" w:hAnsi="Arial" w:cs="Arial"/>
          <w:b/>
          <w:bCs/>
        </w:rPr>
        <w:t>71</w:t>
      </w:r>
      <w:r w:rsidRPr="00C912D7">
        <w:rPr>
          <w:rFonts w:ascii="Arial" w:hAnsi="Arial" w:cs="Arial"/>
          <w:b/>
          <w:bCs/>
        </w:rPr>
        <w:t>/</w:t>
      </w:r>
      <w:r w:rsidRPr="007134C5">
        <w:rPr>
          <w:rFonts w:ascii="Arial" w:hAnsi="Arial" w:cs="Arial"/>
          <w:b/>
          <w:bCs/>
        </w:rPr>
        <w:t>202</w:t>
      </w:r>
      <w:r w:rsidR="005E66F3" w:rsidRPr="007134C5">
        <w:rPr>
          <w:rFonts w:ascii="Arial" w:hAnsi="Arial" w:cs="Arial"/>
          <w:b/>
          <w:bCs/>
        </w:rPr>
        <w:t>5</w:t>
      </w:r>
      <w:r w:rsidRPr="007134C5">
        <w:rPr>
          <w:rFonts w:ascii="Arial" w:hAnsi="Arial" w:cs="Arial"/>
          <w:lang w:val="es-ES"/>
        </w:rPr>
        <w:t>, resulta procedente la</w:t>
      </w:r>
      <w:r w:rsidRPr="007134C5">
        <w:rPr>
          <w:rFonts w:ascii="Arial" w:hAnsi="Arial" w:cs="Arial"/>
          <w:b/>
          <w:lang w:val="es-ES"/>
        </w:rPr>
        <w:t xml:space="preserve"> aprobación </w:t>
      </w:r>
      <w:r w:rsidRPr="007134C5">
        <w:rPr>
          <w:rFonts w:ascii="Arial" w:hAnsi="Arial" w:cs="Arial"/>
          <w:lang w:val="es-ES"/>
        </w:rPr>
        <w:t>de la realización de la</w:t>
      </w:r>
      <w:r w:rsidR="000E28C2" w:rsidRPr="007134C5">
        <w:rPr>
          <w:rFonts w:ascii="Arial" w:hAnsi="Arial" w:cs="Arial"/>
          <w:lang w:val="es-ES"/>
        </w:rPr>
        <w:t>s</w:t>
      </w:r>
      <w:r w:rsidRPr="007134C5">
        <w:rPr>
          <w:rFonts w:ascii="Arial" w:hAnsi="Arial" w:cs="Arial"/>
          <w:b/>
          <w:lang w:val="es-ES"/>
        </w:rPr>
        <w:t xml:space="preserve"> versi</w:t>
      </w:r>
      <w:r w:rsidR="000E28C2" w:rsidRPr="007134C5">
        <w:rPr>
          <w:rFonts w:ascii="Arial" w:hAnsi="Arial" w:cs="Arial"/>
          <w:b/>
          <w:lang w:val="es-ES"/>
        </w:rPr>
        <w:t xml:space="preserve">ones </w:t>
      </w:r>
      <w:r w:rsidRPr="007134C5">
        <w:rPr>
          <w:rFonts w:ascii="Arial" w:hAnsi="Arial" w:cs="Arial"/>
          <w:b/>
          <w:lang w:val="es-ES"/>
        </w:rPr>
        <w:t>pública</w:t>
      </w:r>
      <w:r w:rsidR="000E28C2" w:rsidRPr="007134C5">
        <w:rPr>
          <w:rFonts w:ascii="Arial" w:hAnsi="Arial" w:cs="Arial"/>
          <w:b/>
          <w:lang w:val="es-ES"/>
        </w:rPr>
        <w:t>s</w:t>
      </w:r>
      <w:r w:rsidRPr="007134C5">
        <w:rPr>
          <w:rFonts w:ascii="Arial" w:hAnsi="Arial" w:cs="Arial"/>
          <w:lang w:val="es-ES"/>
        </w:rPr>
        <w:t xml:space="preserve"> que solicita </w:t>
      </w:r>
      <w:r w:rsidR="004A7983">
        <w:rPr>
          <w:rFonts w:ascii="Arial" w:hAnsi="Arial" w:cs="Arial"/>
        </w:rPr>
        <w:t xml:space="preserve">María Eugenia Hunter </w:t>
      </w:r>
      <w:r w:rsidR="004A7983">
        <w:rPr>
          <w:rFonts w:ascii="Arial" w:hAnsi="Arial" w:cs="Arial"/>
        </w:rPr>
        <w:lastRenderedPageBreak/>
        <w:t>Puente, directora de Adquisiciones, Arrendamientos y Servicios</w:t>
      </w:r>
      <w:r w:rsidRPr="007134C5">
        <w:rPr>
          <w:rFonts w:ascii="Arial" w:hAnsi="Arial" w:cs="Arial"/>
          <w:lang w:val="es-ES"/>
        </w:rPr>
        <w:t xml:space="preserve"> en el consecutivo </w:t>
      </w:r>
      <w:r w:rsidR="005E66F3" w:rsidRPr="007134C5">
        <w:rPr>
          <w:rFonts w:ascii="Arial" w:hAnsi="Arial" w:cs="Arial"/>
          <w:b/>
          <w:lang w:val="es-ES"/>
        </w:rPr>
        <w:t>FGE</w:t>
      </w:r>
      <w:r w:rsidRPr="007134C5">
        <w:rPr>
          <w:rFonts w:ascii="Arial" w:hAnsi="Arial" w:cs="Arial"/>
          <w:b/>
          <w:lang w:val="es-ES"/>
        </w:rPr>
        <w:t>/</w:t>
      </w:r>
      <w:r w:rsidR="006F3792">
        <w:rPr>
          <w:rFonts w:ascii="Arial" w:hAnsi="Arial" w:cs="Arial"/>
          <w:b/>
          <w:lang w:val="es-ES"/>
        </w:rPr>
        <w:t>ADQ</w:t>
      </w:r>
      <w:r w:rsidRPr="007134C5">
        <w:rPr>
          <w:rFonts w:ascii="Arial" w:hAnsi="Arial" w:cs="Arial"/>
          <w:b/>
          <w:lang w:val="es-ES"/>
        </w:rPr>
        <w:t>/</w:t>
      </w:r>
      <w:r w:rsidR="006F3792">
        <w:rPr>
          <w:rFonts w:ascii="Arial" w:hAnsi="Arial" w:cs="Arial"/>
          <w:b/>
          <w:lang w:val="es-ES"/>
        </w:rPr>
        <w:t>010</w:t>
      </w:r>
      <w:r w:rsidR="00150E0D">
        <w:rPr>
          <w:rFonts w:ascii="Arial" w:hAnsi="Arial" w:cs="Arial"/>
          <w:b/>
          <w:lang w:val="es-ES"/>
        </w:rPr>
        <w:t>0</w:t>
      </w:r>
      <w:r w:rsidRPr="00C912D7">
        <w:rPr>
          <w:rFonts w:ascii="Arial" w:hAnsi="Arial" w:cs="Arial"/>
          <w:b/>
          <w:lang w:val="es-ES"/>
        </w:rPr>
        <w:t>/</w:t>
      </w:r>
      <w:r w:rsidRPr="007134C5">
        <w:rPr>
          <w:rFonts w:ascii="Arial" w:hAnsi="Arial" w:cs="Arial"/>
          <w:b/>
          <w:lang w:val="es-ES"/>
        </w:rPr>
        <w:t>202</w:t>
      </w:r>
      <w:r w:rsidR="005E66F3" w:rsidRPr="007134C5">
        <w:rPr>
          <w:rFonts w:ascii="Arial" w:hAnsi="Arial" w:cs="Arial"/>
          <w:b/>
          <w:lang w:val="es-ES"/>
        </w:rPr>
        <w:t>5</w:t>
      </w:r>
      <w:r w:rsidRPr="007134C5">
        <w:rPr>
          <w:rFonts w:ascii="Arial" w:hAnsi="Arial" w:cs="Arial"/>
        </w:rPr>
        <w:t>, la</w:t>
      </w:r>
      <w:r w:rsidRPr="00B43764">
        <w:rPr>
          <w:rFonts w:ascii="Arial" w:hAnsi="Arial" w:cs="Arial"/>
        </w:rPr>
        <w:t xml:space="preserve"> </w:t>
      </w:r>
      <w:r w:rsidRPr="007A04B0">
        <w:rPr>
          <w:rFonts w:ascii="Arial" w:hAnsi="Arial" w:cs="Arial"/>
        </w:rPr>
        <w:t>cuál</w:t>
      </w:r>
      <w:r w:rsidRPr="007A04B0">
        <w:rPr>
          <w:rFonts w:ascii="Arial" w:hAnsi="Arial" w:cs="Arial"/>
          <w:lang w:val="es-ES"/>
        </w:rPr>
        <w:t xml:space="preserve"> debe de realizar atendiendo lo establecido en el capítulo IX, de las versiones públicas, de</w:t>
      </w:r>
      <w:r>
        <w:rPr>
          <w:rFonts w:ascii="Arial" w:hAnsi="Arial" w:cs="Arial"/>
          <w:lang w:val="es-ES"/>
        </w:rPr>
        <w:t xml:space="preserve"> los LGCDIEVP</w:t>
      </w:r>
      <w:r w:rsidR="00BA7D37">
        <w:rPr>
          <w:rFonts w:ascii="Arial" w:hAnsi="Arial" w:cs="Arial"/>
          <w:lang w:val="es-ES"/>
        </w:rPr>
        <w:t xml:space="preserve">, respecto </w:t>
      </w:r>
      <w:r w:rsidR="00E34693">
        <w:rPr>
          <w:rFonts w:ascii="Arial" w:hAnsi="Arial" w:cs="Arial"/>
          <w:lang w:val="es-ES"/>
        </w:rPr>
        <w:t xml:space="preserve"> </w:t>
      </w:r>
      <w:r w:rsidR="002C5322" w:rsidRPr="002C5322">
        <w:rPr>
          <w:rFonts w:ascii="Arial" w:hAnsi="Arial" w:cs="Arial"/>
          <w:lang w:val="es-ES"/>
        </w:rPr>
        <w:t>“</w:t>
      </w:r>
      <w:r w:rsidR="002C5322">
        <w:rPr>
          <w:rFonts w:ascii="Arial" w:hAnsi="Arial" w:cs="Arial"/>
          <w:lang w:val="es-ES"/>
        </w:rPr>
        <w:t>al rubro</w:t>
      </w:r>
      <w:r w:rsidR="002C5322" w:rsidRPr="002C5322">
        <w:rPr>
          <w:rFonts w:ascii="Arial" w:hAnsi="Arial" w:cs="Arial"/>
          <w:lang w:val="es-ES"/>
        </w:rPr>
        <w:t xml:space="preserve"> de “descripción”,  que se contiene en el proceso de Invitación Restringida a Cuando Menos Tres Proveedores No. FGE-IRTP-021-2025, en las expresiones documentales siguientes: Análisis Cuantitativo del Acta de Apertura de fecha 10 de septiembre de 2025, y en el Anexo 1 de los contratos identificados como Contrato No. FGE-IRTP021-MATERIAL DE LABORATORIO-01-2025 y Contrato No. FGE-IRTP021-MATERIAL DE LABORATORIO-02-2025</w:t>
      </w:r>
      <w:r w:rsidR="00E34693" w:rsidRPr="00E34693">
        <w:rPr>
          <w:rFonts w:ascii="Arial" w:hAnsi="Arial" w:cs="Arial"/>
          <w:lang w:val="es-ES"/>
        </w:rPr>
        <w:t>.</w:t>
      </w:r>
    </w:p>
    <w:p w:rsidR="00E34693" w:rsidRDefault="00E34693" w:rsidP="00A64C10">
      <w:pPr>
        <w:pStyle w:val="Encabezado"/>
        <w:jc w:val="both"/>
        <w:rPr>
          <w:rFonts w:ascii="Arial" w:hAnsi="Arial" w:cs="Arial"/>
          <w:lang w:val="es-ES"/>
        </w:rPr>
      </w:pPr>
    </w:p>
    <w:p w:rsidR="002C5322" w:rsidRDefault="002C5322" w:rsidP="00A64C10">
      <w:pPr>
        <w:pStyle w:val="Encabezado"/>
        <w:jc w:val="both"/>
        <w:rPr>
          <w:rFonts w:ascii="Arial" w:hAnsi="Arial" w:cs="Arial"/>
          <w:lang w:val="es-ES"/>
        </w:rPr>
      </w:pPr>
    </w:p>
    <w:p w:rsidR="00BA7D37" w:rsidRDefault="00BA7D37" w:rsidP="0064745D">
      <w:pPr>
        <w:pStyle w:val="Encabezado"/>
        <w:jc w:val="both"/>
        <w:rPr>
          <w:rFonts w:ascii="Arial" w:hAnsi="Arial" w:cs="Arial"/>
          <w:lang w:val="es-ES"/>
        </w:rPr>
      </w:pPr>
      <w:r>
        <w:rPr>
          <w:rFonts w:ascii="Arial" w:hAnsi="Arial" w:cs="Arial"/>
          <w:lang w:val="es-ES"/>
        </w:rPr>
        <w:t xml:space="preserve">Se nombra como </w:t>
      </w:r>
      <w:r w:rsidRPr="00247F90">
        <w:rPr>
          <w:rFonts w:ascii="Arial" w:hAnsi="Arial" w:cs="Arial"/>
          <w:b/>
          <w:lang w:val="es-ES"/>
        </w:rPr>
        <w:t>responsable del testado</w:t>
      </w:r>
      <w:r>
        <w:rPr>
          <w:rFonts w:ascii="Arial" w:hAnsi="Arial" w:cs="Arial"/>
          <w:lang w:val="es-ES"/>
        </w:rPr>
        <w:t xml:space="preserve"> a </w:t>
      </w:r>
      <w:r w:rsidR="00C06EC0">
        <w:rPr>
          <w:rFonts w:ascii="Arial" w:hAnsi="Arial" w:cs="Arial"/>
          <w:lang w:val="es-ES"/>
        </w:rPr>
        <w:t>María Eugenia Hunter Puente directora de Adquisiciones, Arrendamientos y Servicios.</w:t>
      </w:r>
    </w:p>
    <w:p w:rsidR="00431ACA" w:rsidRDefault="00431ACA" w:rsidP="0064745D">
      <w:pPr>
        <w:widowControl w:val="0"/>
        <w:jc w:val="both"/>
        <w:rPr>
          <w:rFonts w:ascii="Arial" w:hAnsi="Arial" w:cs="Arial"/>
          <w:lang w:val="es-ES"/>
        </w:rPr>
      </w:pPr>
    </w:p>
    <w:p w:rsidR="002C5322" w:rsidRPr="00F62C18" w:rsidRDefault="002C5322" w:rsidP="0064745D">
      <w:pPr>
        <w:widowControl w:val="0"/>
        <w:jc w:val="both"/>
        <w:rPr>
          <w:rFonts w:ascii="Arial" w:hAnsi="Arial" w:cs="Arial"/>
          <w:lang w:val="es-ES"/>
        </w:rPr>
      </w:pPr>
    </w:p>
    <w:p w:rsidR="00BF3665" w:rsidRDefault="009819AE" w:rsidP="0064745D">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150E0D" w:rsidRDefault="00150E0D" w:rsidP="0064745D">
      <w:pPr>
        <w:jc w:val="both"/>
        <w:rPr>
          <w:rFonts w:ascii="Arial" w:hAnsi="Arial" w:cs="Arial"/>
        </w:rPr>
      </w:pPr>
    </w:p>
    <w:p w:rsidR="00C06EC0" w:rsidRDefault="00C06EC0"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t>RESUELVE POR UNANIMIDAD:</w:t>
      </w:r>
    </w:p>
    <w:p w:rsidR="00150E0D" w:rsidRDefault="00150E0D" w:rsidP="0064745D">
      <w:pPr>
        <w:jc w:val="center"/>
        <w:rPr>
          <w:rFonts w:ascii="Arial" w:hAnsi="Arial" w:cs="Arial"/>
          <w:b/>
        </w:rPr>
      </w:pPr>
    </w:p>
    <w:p w:rsidR="00D650B8" w:rsidRDefault="00D650B8" w:rsidP="0064745D">
      <w:pPr>
        <w:jc w:val="center"/>
        <w:rPr>
          <w:rFonts w:ascii="Arial" w:hAnsi="Arial" w:cs="Arial"/>
          <w:b/>
        </w:rPr>
      </w:pPr>
    </w:p>
    <w:p w:rsidR="00476EF2" w:rsidRDefault="00476EF2" w:rsidP="0064745D">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F62C18">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8565C9" w:rsidRPr="007134C5">
        <w:rPr>
          <w:rFonts w:ascii="Arial" w:hAnsi="Arial" w:cs="Arial"/>
          <w:b/>
        </w:rPr>
        <w:t>AR/</w:t>
      </w:r>
      <w:r w:rsidR="00DA13CD">
        <w:rPr>
          <w:rFonts w:ascii="Arial" w:hAnsi="Arial" w:cs="Arial"/>
          <w:b/>
        </w:rPr>
        <w:t>0</w:t>
      </w:r>
      <w:r w:rsidR="00150E0D">
        <w:rPr>
          <w:rFonts w:ascii="Arial" w:hAnsi="Arial" w:cs="Arial"/>
          <w:b/>
        </w:rPr>
        <w:t>71</w:t>
      </w:r>
      <w:r w:rsidR="008565C9" w:rsidRPr="00C912D7">
        <w:rPr>
          <w:rFonts w:ascii="Arial" w:hAnsi="Arial" w:cs="Arial"/>
          <w:b/>
        </w:rPr>
        <w:t>/</w:t>
      </w:r>
      <w:r w:rsidR="008565C9" w:rsidRPr="007134C5">
        <w:rPr>
          <w:rFonts w:ascii="Arial" w:hAnsi="Arial" w:cs="Arial"/>
          <w:b/>
        </w:rPr>
        <w:t>202</w:t>
      </w:r>
      <w:r w:rsidR="005E66F3" w:rsidRPr="007134C5">
        <w:rPr>
          <w:rFonts w:ascii="Arial" w:hAnsi="Arial" w:cs="Arial"/>
          <w:b/>
        </w:rPr>
        <w:t>5</w:t>
      </w:r>
      <w:r w:rsidRPr="007134C5">
        <w:rPr>
          <w:rFonts w:ascii="Arial" w:hAnsi="Arial" w:cs="Arial"/>
        </w:rPr>
        <w:t>,</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 </w:t>
      </w:r>
      <w:r w:rsidR="00C06EC0">
        <w:rPr>
          <w:rFonts w:ascii="Arial" w:hAnsi="Arial" w:cs="Arial"/>
          <w:lang w:val="es-ES"/>
        </w:rPr>
        <w:t>María Eugenia Hunter Puente directora de Adquisiciones, Arrendamientos y Servicios</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D650B8" w:rsidRDefault="00D650B8" w:rsidP="0064745D">
      <w:pPr>
        <w:jc w:val="both"/>
        <w:rPr>
          <w:rFonts w:ascii="Arial" w:hAnsi="Arial" w:cs="Arial"/>
        </w:rPr>
      </w:pPr>
    </w:p>
    <w:p w:rsidR="00150E0D" w:rsidRDefault="00150E0D" w:rsidP="0044355B">
      <w:pPr>
        <w:jc w:val="both"/>
        <w:rPr>
          <w:rFonts w:ascii="Arial" w:hAnsi="Arial" w:cs="Arial"/>
          <w:b/>
        </w:rPr>
      </w:pPr>
    </w:p>
    <w:p w:rsidR="0044355B" w:rsidRDefault="00476EF2" w:rsidP="0044355B">
      <w:pPr>
        <w:jc w:val="both"/>
        <w:rPr>
          <w:rFonts w:ascii="Arial" w:hAnsi="Arial" w:cs="Arial"/>
        </w:rPr>
      </w:pPr>
      <w:r w:rsidRPr="00476EF2">
        <w:rPr>
          <w:rFonts w:ascii="Arial" w:hAnsi="Arial" w:cs="Arial"/>
          <w:b/>
        </w:rPr>
        <w:t xml:space="preserve">SEGUNDO. </w:t>
      </w:r>
      <w:r w:rsidR="00C06EC0">
        <w:rPr>
          <w:rFonts w:ascii="Arial" w:hAnsi="Arial" w:cs="Arial"/>
          <w:lang w:val="es-ES"/>
        </w:rPr>
        <w:t>María Eugenia Hunter Puente directora de Adquisiciones, Arrendamientos y Servicios</w:t>
      </w:r>
      <w:r w:rsidR="0044355B" w:rsidRPr="00476EF2">
        <w:rPr>
          <w:rFonts w:ascii="Arial" w:hAnsi="Arial" w:cs="Arial"/>
        </w:rPr>
        <w:t xml:space="preserve">, debe solicitar la desclasificación una vez que hayan fenecido las causas que dieron origen a la reserva o haya concluido el plazo establecido en el </w:t>
      </w:r>
      <w:r w:rsidR="0044355B">
        <w:rPr>
          <w:rFonts w:ascii="Arial" w:hAnsi="Arial" w:cs="Arial"/>
        </w:rPr>
        <w:t>c</w:t>
      </w:r>
      <w:r w:rsidR="0044355B" w:rsidRPr="00476EF2">
        <w:rPr>
          <w:rFonts w:ascii="Arial" w:hAnsi="Arial" w:cs="Arial"/>
        </w:rPr>
        <w:t xml:space="preserve">onsiderando </w:t>
      </w:r>
      <w:r w:rsidR="0044355B" w:rsidRPr="00450A9E">
        <w:rPr>
          <w:rFonts w:ascii="Arial" w:hAnsi="Arial" w:cs="Arial"/>
          <w:i/>
        </w:rPr>
        <w:t>tercero</w:t>
      </w:r>
      <w:r w:rsidR="0044355B" w:rsidRPr="00476EF2">
        <w:rPr>
          <w:rFonts w:ascii="Arial" w:hAnsi="Arial" w:cs="Arial"/>
        </w:rPr>
        <w:t xml:space="preserve"> </w:t>
      </w:r>
      <w:r w:rsidR="0044355B">
        <w:rPr>
          <w:rFonts w:ascii="Arial" w:hAnsi="Arial" w:cs="Arial"/>
        </w:rPr>
        <w:t>fracción</w:t>
      </w:r>
      <w:r w:rsidR="0044355B" w:rsidRPr="00476EF2">
        <w:rPr>
          <w:rFonts w:ascii="Arial" w:hAnsi="Arial" w:cs="Arial"/>
        </w:rPr>
        <w:t xml:space="preserve"> III de la presente resolución.</w:t>
      </w:r>
    </w:p>
    <w:p w:rsidR="00D650B8" w:rsidRDefault="00D650B8" w:rsidP="0064745D">
      <w:pPr>
        <w:jc w:val="both"/>
        <w:rPr>
          <w:rFonts w:ascii="Arial" w:hAnsi="Arial" w:cs="Arial"/>
        </w:rPr>
      </w:pPr>
    </w:p>
    <w:p w:rsidR="00150E0D" w:rsidRDefault="00150E0D" w:rsidP="0044355B">
      <w:pPr>
        <w:jc w:val="both"/>
        <w:rPr>
          <w:rFonts w:ascii="Arial" w:hAnsi="Arial" w:cs="Arial"/>
          <w:b/>
        </w:rPr>
      </w:pPr>
    </w:p>
    <w:p w:rsidR="0044355B" w:rsidRDefault="00476EF2" w:rsidP="0044355B">
      <w:pPr>
        <w:jc w:val="both"/>
        <w:rPr>
          <w:rFonts w:ascii="Arial" w:hAnsi="Arial" w:cs="Arial"/>
        </w:rPr>
      </w:pPr>
      <w:r w:rsidRPr="00476EF2">
        <w:rPr>
          <w:rFonts w:ascii="Arial" w:hAnsi="Arial" w:cs="Arial"/>
          <w:b/>
        </w:rPr>
        <w:t xml:space="preserve">TERCERO. </w:t>
      </w:r>
      <w:r w:rsidR="0044355B" w:rsidRPr="00476EF2">
        <w:rPr>
          <w:rFonts w:ascii="Arial" w:hAnsi="Arial" w:cs="Arial"/>
        </w:rPr>
        <w:t xml:space="preserve">Se instruye </w:t>
      </w:r>
      <w:r w:rsidR="0044355B">
        <w:rPr>
          <w:rFonts w:ascii="Arial" w:hAnsi="Arial" w:cs="Arial"/>
        </w:rPr>
        <w:t>a</w:t>
      </w:r>
      <w:r w:rsidR="00C06EC0">
        <w:rPr>
          <w:rFonts w:ascii="Arial" w:hAnsi="Arial" w:cs="Arial"/>
        </w:rPr>
        <w:t xml:space="preserve"> </w:t>
      </w:r>
      <w:r w:rsidR="00C06EC0">
        <w:rPr>
          <w:rFonts w:ascii="Arial" w:hAnsi="Arial" w:cs="Arial"/>
          <w:lang w:val="es-ES"/>
        </w:rPr>
        <w:t>María Eugenia Hunter Puente directora de Adquisiciones, Arrendamientos y Servicios</w:t>
      </w:r>
      <w:r w:rsidR="00C06EC0" w:rsidRPr="00476EF2">
        <w:rPr>
          <w:rFonts w:ascii="Arial" w:hAnsi="Arial" w:cs="Arial"/>
        </w:rPr>
        <w:t xml:space="preserve"> </w:t>
      </w:r>
      <w:r w:rsidR="0044355B" w:rsidRPr="00476EF2">
        <w:rPr>
          <w:rFonts w:ascii="Arial" w:hAnsi="Arial" w:cs="Arial"/>
        </w:rPr>
        <w:t>para que dé cumplimiento a los efectos de la presente resolución</w:t>
      </w:r>
      <w:r w:rsidR="0044355B">
        <w:rPr>
          <w:rFonts w:ascii="Arial" w:hAnsi="Arial" w:cs="Arial"/>
        </w:rPr>
        <w:t xml:space="preserve"> establecidos en el considerando </w:t>
      </w:r>
      <w:r w:rsidR="0044355B" w:rsidRPr="00450A9E">
        <w:rPr>
          <w:rFonts w:ascii="Arial" w:hAnsi="Arial" w:cs="Arial"/>
          <w:i/>
        </w:rPr>
        <w:t>tercero</w:t>
      </w:r>
      <w:r w:rsidR="0044355B">
        <w:rPr>
          <w:rFonts w:ascii="Arial" w:hAnsi="Arial" w:cs="Arial"/>
        </w:rPr>
        <w:t xml:space="preserve"> fracción IV</w:t>
      </w:r>
      <w:r w:rsidR="0044355B" w:rsidRPr="00476EF2">
        <w:rPr>
          <w:rFonts w:ascii="Arial" w:hAnsi="Arial" w:cs="Arial"/>
        </w:rPr>
        <w:t>.</w:t>
      </w:r>
    </w:p>
    <w:p w:rsidR="0044355B" w:rsidRDefault="0044355B" w:rsidP="0064745D">
      <w:pPr>
        <w:jc w:val="both"/>
        <w:rPr>
          <w:rFonts w:ascii="Arial" w:hAnsi="Arial" w:cs="Arial"/>
          <w:b/>
        </w:rPr>
      </w:pPr>
    </w:p>
    <w:p w:rsidR="00150E0D" w:rsidRDefault="00150E0D" w:rsidP="0064745D">
      <w:pPr>
        <w:jc w:val="both"/>
        <w:rPr>
          <w:rFonts w:ascii="Arial" w:hAnsi="Arial" w:cs="Arial"/>
          <w:b/>
        </w:rPr>
      </w:pPr>
    </w:p>
    <w:p w:rsidR="00CB380F" w:rsidRDefault="000E28C2" w:rsidP="0064745D">
      <w:pPr>
        <w:jc w:val="both"/>
        <w:rPr>
          <w:rFonts w:ascii="Arial" w:hAnsi="Arial" w:cs="Arial"/>
        </w:rPr>
      </w:pPr>
      <w:r w:rsidRPr="00B43764">
        <w:rPr>
          <w:rFonts w:ascii="Arial" w:hAnsi="Arial" w:cs="Arial"/>
          <w:b/>
        </w:rPr>
        <w:t>CUARTO.</w:t>
      </w:r>
      <w:r w:rsidRPr="00B43764">
        <w:rPr>
          <w:rFonts w:ascii="Arial" w:hAnsi="Arial" w:cs="Arial"/>
        </w:rPr>
        <w:t xml:space="preserve"> Se aprueba la realización de las versiones publicas solicitadas en el consecutivo </w:t>
      </w:r>
      <w:r w:rsidR="00CD6B70" w:rsidRPr="007134C5">
        <w:rPr>
          <w:rFonts w:ascii="Arial" w:hAnsi="Arial" w:cs="Arial"/>
          <w:b/>
        </w:rPr>
        <w:t>FGE/</w:t>
      </w:r>
      <w:r w:rsidRPr="007134C5">
        <w:rPr>
          <w:rFonts w:ascii="Arial" w:hAnsi="Arial" w:cs="Arial"/>
          <w:b/>
        </w:rPr>
        <w:t>DGA/</w:t>
      </w:r>
      <w:r w:rsidR="00C06EC0">
        <w:rPr>
          <w:rFonts w:ascii="Arial" w:hAnsi="Arial" w:cs="Arial"/>
          <w:b/>
        </w:rPr>
        <w:t>FGE/ADQ/010</w:t>
      </w:r>
      <w:r w:rsidR="00150E0D">
        <w:rPr>
          <w:rFonts w:ascii="Arial" w:hAnsi="Arial" w:cs="Arial"/>
          <w:b/>
        </w:rPr>
        <w:t>0</w:t>
      </w:r>
      <w:r w:rsidR="00C06EC0">
        <w:rPr>
          <w:rFonts w:ascii="Arial" w:hAnsi="Arial" w:cs="Arial"/>
          <w:b/>
        </w:rPr>
        <w:t>/2025</w:t>
      </w:r>
      <w:r w:rsidRPr="007134C5">
        <w:rPr>
          <w:rFonts w:ascii="Arial" w:hAnsi="Arial" w:cs="Arial"/>
        </w:rPr>
        <w:t>, en</w:t>
      </w:r>
      <w:r w:rsidRPr="00B43764">
        <w:rPr>
          <w:rFonts w:ascii="Arial" w:hAnsi="Arial" w:cs="Arial"/>
        </w:rPr>
        <w:t xml:space="preserve"> estricto cumplimiento al considerando </w:t>
      </w:r>
      <w:r w:rsidRPr="00B43764">
        <w:rPr>
          <w:rFonts w:ascii="Arial" w:hAnsi="Arial" w:cs="Arial"/>
          <w:i/>
        </w:rPr>
        <w:t>cuarto</w:t>
      </w:r>
      <w:r w:rsidRPr="00B43764">
        <w:rPr>
          <w:rFonts w:ascii="Arial" w:hAnsi="Arial" w:cs="Arial"/>
        </w:rPr>
        <w:t xml:space="preserve">. </w:t>
      </w:r>
    </w:p>
    <w:p w:rsidR="00CD77A1" w:rsidRDefault="00CD77A1" w:rsidP="0064745D">
      <w:pPr>
        <w:jc w:val="both"/>
        <w:rPr>
          <w:rFonts w:ascii="Arial" w:hAnsi="Arial" w:cs="Arial"/>
        </w:rPr>
      </w:pPr>
    </w:p>
    <w:p w:rsidR="002C5322" w:rsidRDefault="002C5322" w:rsidP="0064745D">
      <w:pPr>
        <w:jc w:val="both"/>
        <w:rPr>
          <w:rFonts w:ascii="Arial" w:hAnsi="Arial" w:cs="Arial"/>
        </w:rPr>
      </w:pPr>
    </w:p>
    <w:p w:rsidR="00247F90" w:rsidRDefault="009819AE" w:rsidP="0064745D">
      <w:pPr>
        <w:jc w:val="both"/>
        <w:rPr>
          <w:rFonts w:ascii="Arial" w:hAnsi="Arial" w:cs="Arial"/>
          <w:b/>
        </w:rPr>
      </w:pPr>
      <w:r w:rsidRPr="00B43764">
        <w:rPr>
          <w:rFonts w:ascii="Arial" w:hAnsi="Arial" w:cs="Arial"/>
        </w:rPr>
        <w:lastRenderedPageBreak/>
        <w:t xml:space="preserve">Es preciso dejar asentado que, con el fin de que el Comité de Transparencia lleve un control </w:t>
      </w:r>
      <w:r w:rsidRPr="007134C5">
        <w:rPr>
          <w:rFonts w:ascii="Arial" w:hAnsi="Arial" w:cs="Arial"/>
        </w:rPr>
        <w:t xml:space="preserve">interno de todas y cada una de las resoluciones que emite, se le asigna el consecutivo </w:t>
      </w:r>
      <w:r w:rsidR="00F64080" w:rsidRPr="007134C5">
        <w:rPr>
          <w:rFonts w:ascii="Arial" w:hAnsi="Arial" w:cs="Arial"/>
          <w:b/>
        </w:rPr>
        <w:t>FGE-CT-AR-</w:t>
      </w:r>
      <w:r w:rsidR="00150E0D">
        <w:rPr>
          <w:rFonts w:ascii="Arial" w:hAnsi="Arial" w:cs="Arial"/>
          <w:b/>
        </w:rPr>
        <w:t>200</w:t>
      </w:r>
      <w:r w:rsidRPr="00C912D7">
        <w:rPr>
          <w:rFonts w:ascii="Arial" w:hAnsi="Arial" w:cs="Arial"/>
          <w:b/>
        </w:rPr>
        <w:t>-</w:t>
      </w:r>
      <w:r w:rsidRPr="007134C5">
        <w:rPr>
          <w:rFonts w:ascii="Arial" w:hAnsi="Arial" w:cs="Arial"/>
          <w:b/>
        </w:rPr>
        <w:t>202</w:t>
      </w:r>
      <w:r w:rsidR="00CD6B70" w:rsidRPr="007134C5">
        <w:rPr>
          <w:rFonts w:ascii="Arial" w:hAnsi="Arial" w:cs="Arial"/>
          <w:b/>
        </w:rPr>
        <w:t>5</w:t>
      </w:r>
      <w:r w:rsidR="00247F90" w:rsidRPr="007134C5">
        <w:rPr>
          <w:rFonts w:ascii="Arial" w:hAnsi="Arial" w:cs="Arial"/>
          <w:b/>
        </w:rPr>
        <w:t xml:space="preserve">, </w:t>
      </w:r>
      <w:r w:rsidR="00247F90" w:rsidRPr="007134C5">
        <w:rPr>
          <w:rFonts w:ascii="Arial" w:hAnsi="Arial" w:cs="Arial"/>
        </w:rPr>
        <w:t xml:space="preserve">y en cuanto a la versión pública queda registrada bajo el consecutivo </w:t>
      </w:r>
      <w:r w:rsidR="00247F90" w:rsidRPr="007134C5">
        <w:rPr>
          <w:rFonts w:ascii="Arial" w:hAnsi="Arial" w:cs="Arial"/>
          <w:b/>
        </w:rPr>
        <w:t>FGE-CT-AVP-</w:t>
      </w:r>
      <w:r w:rsidR="0044355B">
        <w:rPr>
          <w:rFonts w:ascii="Arial" w:hAnsi="Arial" w:cs="Arial"/>
          <w:b/>
        </w:rPr>
        <w:t>6</w:t>
      </w:r>
      <w:r w:rsidR="00150E0D">
        <w:rPr>
          <w:rFonts w:ascii="Arial" w:hAnsi="Arial" w:cs="Arial"/>
          <w:b/>
        </w:rPr>
        <w:t>7</w:t>
      </w:r>
      <w:r w:rsidR="00247F90" w:rsidRPr="00C912D7">
        <w:rPr>
          <w:rFonts w:ascii="Arial" w:hAnsi="Arial" w:cs="Arial"/>
          <w:b/>
        </w:rPr>
        <w:t>-2</w:t>
      </w:r>
      <w:r w:rsidR="00247F90" w:rsidRPr="007134C5">
        <w:rPr>
          <w:rFonts w:ascii="Arial" w:hAnsi="Arial" w:cs="Arial"/>
          <w:b/>
        </w:rPr>
        <w:t>025</w:t>
      </w:r>
      <w:r w:rsidR="00247F90">
        <w:rPr>
          <w:rFonts w:ascii="Arial" w:hAnsi="Arial" w:cs="Arial"/>
          <w:b/>
        </w:rPr>
        <w:t>.</w:t>
      </w:r>
    </w:p>
    <w:p w:rsidR="0064745D" w:rsidRDefault="0064745D" w:rsidP="0064745D">
      <w:pPr>
        <w:jc w:val="both"/>
        <w:rPr>
          <w:rFonts w:ascii="Arial" w:hAnsi="Arial" w:cs="Arial"/>
          <w:b/>
        </w:rPr>
      </w:pPr>
    </w:p>
    <w:bookmarkEnd w:id="2"/>
    <w:p w:rsidR="00BF3665" w:rsidRDefault="009819AE" w:rsidP="0064745D">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76EF2" w:rsidRDefault="00476EF2"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C912D7" w:rsidRDefault="00C912D7" w:rsidP="0064745D">
      <w:pPr>
        <w:jc w:val="both"/>
        <w:rPr>
          <w:rFonts w:ascii="Arial" w:hAnsi="Arial" w:cs="Arial"/>
          <w:highlight w:val="yellow"/>
        </w:rPr>
      </w:pPr>
    </w:p>
    <w:p w:rsidR="00150E0D" w:rsidRPr="00844277" w:rsidRDefault="00150E0D"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44355B" w:rsidRDefault="0044355B" w:rsidP="0044355B">
      <w:pPr>
        <w:tabs>
          <w:tab w:val="left" w:pos="3500"/>
        </w:tabs>
        <w:spacing w:before="20"/>
        <w:rPr>
          <w:rFonts w:ascii="Arial" w:eastAsia="Arial" w:hAnsi="Arial" w:cs="Arial"/>
          <w:b/>
        </w:rPr>
      </w:pPr>
    </w:p>
    <w:p w:rsidR="0057010B" w:rsidRDefault="0057010B" w:rsidP="008079E0">
      <w:pPr>
        <w:tabs>
          <w:tab w:val="left" w:pos="8998"/>
          <w:tab w:val="left" w:pos="9932"/>
        </w:tabs>
        <w:spacing w:before="20"/>
        <w:rPr>
          <w:rFonts w:ascii="Arial" w:eastAsia="Arial" w:hAnsi="Arial" w:cs="Arial"/>
          <w:b/>
          <w:lang w:eastAsia="es-MX"/>
        </w:rPr>
      </w:pPr>
    </w:p>
    <w:p w:rsidR="00150E0D" w:rsidRDefault="00150E0D" w:rsidP="008079E0">
      <w:pPr>
        <w:tabs>
          <w:tab w:val="left" w:pos="8998"/>
          <w:tab w:val="left" w:pos="9932"/>
        </w:tabs>
        <w:spacing w:before="20"/>
        <w:rPr>
          <w:rFonts w:ascii="Arial" w:eastAsia="Arial" w:hAnsi="Arial" w:cs="Arial"/>
          <w:b/>
          <w:lang w:eastAsia="es-MX"/>
        </w:rPr>
      </w:pPr>
    </w:p>
    <w:p w:rsidR="008079E0" w:rsidRDefault="00150E0D" w:rsidP="008079E0">
      <w:pPr>
        <w:jc w:val="both"/>
        <w:rPr>
          <w:rFonts w:ascii="Arial" w:hAnsi="Arial" w:cs="Arial"/>
        </w:rPr>
      </w:pPr>
      <w:r>
        <w:rPr>
          <w:rFonts w:ascii="Arial" w:hAnsi="Arial" w:cs="Arial"/>
        </w:rPr>
        <w:t>_____________________</w:t>
      </w:r>
      <w:r w:rsidR="008079E0">
        <w:rPr>
          <w:rFonts w:ascii="Arial" w:hAnsi="Arial" w:cs="Arial"/>
        </w:rPr>
        <w:t>_______________</w:t>
      </w:r>
    </w:p>
    <w:p w:rsidR="008079E0" w:rsidRDefault="008079E0" w:rsidP="008079E0">
      <w:pPr>
        <w:rPr>
          <w:rFonts w:ascii="Arial" w:hAnsi="Arial" w:cs="Arial"/>
          <w:b/>
        </w:rPr>
      </w:pPr>
      <w:r>
        <w:rPr>
          <w:rFonts w:ascii="Arial" w:hAnsi="Arial" w:cs="Arial"/>
          <w:b/>
        </w:rPr>
        <w:t>MAESTRO CARLOS ALEJANDRO PONCE RODRÍGUEZ</w:t>
      </w:r>
    </w:p>
    <w:p w:rsidR="008079E0" w:rsidRDefault="008079E0" w:rsidP="008079E0">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D650B8" w:rsidRDefault="00D650B8" w:rsidP="0064745D">
      <w:pPr>
        <w:jc w:val="both"/>
        <w:rPr>
          <w:rFonts w:ascii="Arial" w:hAnsi="Arial" w:cs="Arial"/>
          <w:b/>
        </w:rPr>
      </w:pPr>
    </w:p>
    <w:p w:rsidR="0057010B" w:rsidRDefault="0057010B" w:rsidP="0064745D">
      <w:pPr>
        <w:jc w:val="both"/>
        <w:rPr>
          <w:rFonts w:ascii="Arial" w:hAnsi="Arial" w:cs="Arial"/>
          <w:b/>
        </w:rPr>
      </w:pPr>
    </w:p>
    <w:p w:rsidR="00150E0D" w:rsidRDefault="00150E0D" w:rsidP="0064745D">
      <w:pPr>
        <w:jc w:val="both"/>
        <w:rPr>
          <w:rFonts w:ascii="Arial" w:hAnsi="Arial" w:cs="Arial"/>
          <w:b/>
        </w:rPr>
      </w:pPr>
    </w:p>
    <w:p w:rsidR="00D650B8" w:rsidRDefault="00D650B8"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AC0131">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3900" w:rsidRDefault="00953900">
      <w:r>
        <w:separator/>
      </w:r>
    </w:p>
  </w:endnote>
  <w:endnote w:type="continuationSeparator" w:id="0">
    <w:p w:rsidR="00953900" w:rsidRDefault="009539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619B" w:rsidRDefault="0008619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619B" w:rsidRDefault="0008619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3900" w:rsidRDefault="00953900">
      <w:r>
        <w:separator/>
      </w:r>
    </w:p>
  </w:footnote>
  <w:footnote w:type="continuationSeparator" w:id="0">
    <w:p w:rsidR="00953900" w:rsidRDefault="009539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619B" w:rsidRDefault="0008619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2089516"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08619B">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2089517"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10CD7">
      <w:rPr>
        <w:noProof/>
        <w:lang w:eastAsia="es-MX"/>
      </w:rPr>
      <w:drawing>
        <wp:anchor distT="0" distB="0" distL="114300" distR="114300" simplePos="0" relativeHeight="251662336" behindDoc="1" locked="0" layoutInCell="1" allowOverlap="1">
          <wp:simplePos x="0" y="0"/>
          <wp:positionH relativeFrom="page">
            <wp:align>left</wp:align>
          </wp:positionH>
          <wp:positionV relativeFrom="paragraph">
            <wp:posOffset>-451716</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C10CD7" w:rsidRDefault="00C10CD7" w:rsidP="00AC0131">
    <w:pPr>
      <w:spacing w:line="276" w:lineRule="auto"/>
      <w:jc w:val="both"/>
      <w:rPr>
        <w:rFonts w:ascii="Arial" w:hAnsi="Arial" w:cs="Arial"/>
        <w:sz w:val="18"/>
        <w:szCs w:val="18"/>
        <w:lang w:val="es-ES"/>
      </w:rPr>
    </w:pPr>
  </w:p>
  <w:tbl>
    <w:tblPr>
      <w:tblStyle w:val="Tablaconcuadrcula"/>
      <w:tblW w:w="0" w:type="auto"/>
      <w:tblLook w:val="04A0" w:firstRow="1" w:lastRow="0" w:firstColumn="1" w:lastColumn="0" w:noHBand="0" w:noVBand="1"/>
    </w:tblPr>
    <w:tblGrid>
      <w:gridCol w:w="9962"/>
    </w:tblGrid>
    <w:tr w:rsidR="00C10CD7" w:rsidTr="00C10CD7">
      <w:tc>
        <w:tcPr>
          <w:tcW w:w="9962" w:type="dxa"/>
          <w:shd w:val="clear" w:color="auto" w:fill="000000" w:themeFill="text1"/>
        </w:tcPr>
        <w:p w:rsidR="00C10CD7" w:rsidRDefault="00C10CD7" w:rsidP="00C10CD7">
          <w:pPr>
            <w:spacing w:line="276" w:lineRule="auto"/>
            <w:jc w:val="both"/>
            <w:rPr>
              <w:rFonts w:ascii="Arial" w:hAnsi="Arial" w:cs="Arial"/>
              <w:sz w:val="18"/>
              <w:szCs w:val="18"/>
              <w:lang w:val="es-ES"/>
            </w:rPr>
          </w:pPr>
          <w:r w:rsidRPr="00AC0131">
            <w:rPr>
              <w:rFonts w:ascii="Arial" w:hAnsi="Arial" w:cs="Arial"/>
              <w:sz w:val="18"/>
              <w:szCs w:val="18"/>
              <w:lang w:val="es-ES"/>
            </w:rPr>
            <w:t xml:space="preserve">06 de octubre 2025. </w:t>
          </w:r>
          <w:r w:rsidRPr="00AC0131">
            <w:rPr>
              <w:rFonts w:ascii="Arial" w:hAnsi="Arial" w:cs="Arial"/>
              <w:sz w:val="18"/>
              <w:szCs w:val="18"/>
            </w:rPr>
            <w:t xml:space="preserve">Décima sesión ordinaria 2025 del Comité de Transparencia. </w:t>
          </w:r>
          <w:r w:rsidRPr="00AC0131">
            <w:rPr>
              <w:rFonts w:ascii="Arial" w:hAnsi="Arial" w:cs="Arial"/>
              <w:sz w:val="18"/>
              <w:szCs w:val="18"/>
              <w:lang w:val="es-ES"/>
            </w:rPr>
            <w:t xml:space="preserve">Confirmación del acuerdo de reserva </w:t>
          </w:r>
          <w:r w:rsidRPr="00AC0131">
            <w:rPr>
              <w:rFonts w:ascii="Arial" w:hAnsi="Arial" w:cs="Arial"/>
              <w:b/>
              <w:sz w:val="18"/>
              <w:szCs w:val="18"/>
              <w:lang w:val="es-ES"/>
            </w:rPr>
            <w:t>parcial AR/</w:t>
          </w:r>
          <w:r>
            <w:rPr>
              <w:rFonts w:ascii="Arial" w:hAnsi="Arial" w:cs="Arial"/>
              <w:b/>
              <w:sz w:val="18"/>
              <w:szCs w:val="18"/>
              <w:lang w:val="es-ES"/>
            </w:rPr>
            <w:t>071</w:t>
          </w:r>
          <w:r w:rsidRPr="00AC0131">
            <w:rPr>
              <w:rFonts w:ascii="Arial" w:hAnsi="Arial" w:cs="Arial"/>
              <w:b/>
              <w:sz w:val="18"/>
              <w:szCs w:val="18"/>
              <w:lang w:val="es-ES"/>
            </w:rPr>
            <w:t>/2025</w:t>
          </w:r>
          <w:r w:rsidRPr="00AC0131">
            <w:rPr>
              <w:rFonts w:ascii="Arial" w:hAnsi="Arial" w:cs="Arial"/>
              <w:sz w:val="18"/>
              <w:szCs w:val="18"/>
              <w:lang w:val="es-ES"/>
            </w:rPr>
            <w:t xml:space="preserve"> que emite </w:t>
          </w:r>
          <w:r>
            <w:rPr>
              <w:rFonts w:ascii="Arial" w:hAnsi="Arial" w:cs="Arial"/>
              <w:sz w:val="18"/>
              <w:szCs w:val="18"/>
              <w:lang w:val="es-ES"/>
            </w:rPr>
            <w:t>la Directora de Adquisiciones, Arrendamientos y Servicios</w:t>
          </w:r>
          <w:r w:rsidRPr="00AC0131">
            <w:rPr>
              <w:rFonts w:ascii="Arial" w:hAnsi="Arial" w:cs="Arial"/>
              <w:sz w:val="18"/>
              <w:szCs w:val="18"/>
              <w:lang w:val="es-ES"/>
            </w:rPr>
            <w:t xml:space="preserve">. </w:t>
          </w:r>
        </w:p>
      </w:tc>
    </w:tr>
  </w:tbl>
  <w:p w:rsidR="00C10CD7" w:rsidRDefault="00C10CD7" w:rsidP="00AC0131">
    <w:pPr>
      <w:spacing w:line="276" w:lineRule="auto"/>
      <w:jc w:val="both"/>
      <w:rPr>
        <w:rFonts w:ascii="Arial" w:hAnsi="Arial" w:cs="Arial"/>
        <w:sz w:val="18"/>
        <w:szCs w:val="18"/>
        <w:lang w:val="es-E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619B" w:rsidRDefault="0008619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2089515"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6"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4"/>
  </w:num>
  <w:num w:numId="3">
    <w:abstractNumId w:val="11"/>
  </w:num>
  <w:num w:numId="4">
    <w:abstractNumId w:val="8"/>
  </w:num>
  <w:num w:numId="5">
    <w:abstractNumId w:val="10"/>
  </w:num>
  <w:num w:numId="6">
    <w:abstractNumId w:val="2"/>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1"/>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06072"/>
    <w:rsid w:val="0000608B"/>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6032"/>
    <w:rsid w:val="0006766C"/>
    <w:rsid w:val="0006789D"/>
    <w:rsid w:val="00074CBB"/>
    <w:rsid w:val="00075321"/>
    <w:rsid w:val="0008619B"/>
    <w:rsid w:val="0009152F"/>
    <w:rsid w:val="00091F6F"/>
    <w:rsid w:val="00092311"/>
    <w:rsid w:val="00097461"/>
    <w:rsid w:val="000A001A"/>
    <w:rsid w:val="000B4E59"/>
    <w:rsid w:val="000B4E6F"/>
    <w:rsid w:val="000B5998"/>
    <w:rsid w:val="000C04FF"/>
    <w:rsid w:val="000C09C1"/>
    <w:rsid w:val="000C7192"/>
    <w:rsid w:val="000D2B3E"/>
    <w:rsid w:val="000D36B3"/>
    <w:rsid w:val="000D44A7"/>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0E0D"/>
    <w:rsid w:val="00155DB1"/>
    <w:rsid w:val="001569ED"/>
    <w:rsid w:val="00157A2B"/>
    <w:rsid w:val="00160079"/>
    <w:rsid w:val="001610C7"/>
    <w:rsid w:val="0016273D"/>
    <w:rsid w:val="001645C1"/>
    <w:rsid w:val="00166BDA"/>
    <w:rsid w:val="00171740"/>
    <w:rsid w:val="00171FB5"/>
    <w:rsid w:val="0017368E"/>
    <w:rsid w:val="001743AB"/>
    <w:rsid w:val="00174F96"/>
    <w:rsid w:val="00175555"/>
    <w:rsid w:val="00175F0E"/>
    <w:rsid w:val="00176FDC"/>
    <w:rsid w:val="001771BC"/>
    <w:rsid w:val="001771D4"/>
    <w:rsid w:val="001816A1"/>
    <w:rsid w:val="001829E3"/>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29D5"/>
    <w:rsid w:val="001F60B7"/>
    <w:rsid w:val="001F71C9"/>
    <w:rsid w:val="001F7332"/>
    <w:rsid w:val="00201134"/>
    <w:rsid w:val="00201B91"/>
    <w:rsid w:val="00204354"/>
    <w:rsid w:val="002054C1"/>
    <w:rsid w:val="002075EA"/>
    <w:rsid w:val="00207633"/>
    <w:rsid w:val="0021105B"/>
    <w:rsid w:val="00216D37"/>
    <w:rsid w:val="0022103D"/>
    <w:rsid w:val="002224C6"/>
    <w:rsid w:val="00234321"/>
    <w:rsid w:val="002367AF"/>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B5530"/>
    <w:rsid w:val="002B62D5"/>
    <w:rsid w:val="002B7462"/>
    <w:rsid w:val="002C182D"/>
    <w:rsid w:val="002C492F"/>
    <w:rsid w:val="002C5322"/>
    <w:rsid w:val="002D0260"/>
    <w:rsid w:val="002E085B"/>
    <w:rsid w:val="002E1A1F"/>
    <w:rsid w:val="002E1D10"/>
    <w:rsid w:val="002E6666"/>
    <w:rsid w:val="002E7CE8"/>
    <w:rsid w:val="002F210D"/>
    <w:rsid w:val="002F5CAB"/>
    <w:rsid w:val="002F7281"/>
    <w:rsid w:val="003003C1"/>
    <w:rsid w:val="00303ECE"/>
    <w:rsid w:val="00311032"/>
    <w:rsid w:val="00311B65"/>
    <w:rsid w:val="003132BF"/>
    <w:rsid w:val="0032003C"/>
    <w:rsid w:val="00322663"/>
    <w:rsid w:val="00322769"/>
    <w:rsid w:val="00326DD7"/>
    <w:rsid w:val="00330F5F"/>
    <w:rsid w:val="003311E5"/>
    <w:rsid w:val="0033544C"/>
    <w:rsid w:val="00335E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10772"/>
    <w:rsid w:val="0041685E"/>
    <w:rsid w:val="00420AA1"/>
    <w:rsid w:val="004231C1"/>
    <w:rsid w:val="00424F5C"/>
    <w:rsid w:val="00431ACA"/>
    <w:rsid w:val="0043309B"/>
    <w:rsid w:val="00433942"/>
    <w:rsid w:val="00433D8C"/>
    <w:rsid w:val="00434058"/>
    <w:rsid w:val="00437D50"/>
    <w:rsid w:val="00440E63"/>
    <w:rsid w:val="0044355B"/>
    <w:rsid w:val="004443EA"/>
    <w:rsid w:val="004477C0"/>
    <w:rsid w:val="00450A9E"/>
    <w:rsid w:val="00454E3D"/>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7983"/>
    <w:rsid w:val="004B1662"/>
    <w:rsid w:val="004B2C7C"/>
    <w:rsid w:val="004B475C"/>
    <w:rsid w:val="004B58C7"/>
    <w:rsid w:val="004B6BFE"/>
    <w:rsid w:val="004C1B6F"/>
    <w:rsid w:val="004C5296"/>
    <w:rsid w:val="004D49ED"/>
    <w:rsid w:val="004D7C2D"/>
    <w:rsid w:val="004E2D74"/>
    <w:rsid w:val="004E4283"/>
    <w:rsid w:val="004E497E"/>
    <w:rsid w:val="004F1770"/>
    <w:rsid w:val="004F4889"/>
    <w:rsid w:val="004F640E"/>
    <w:rsid w:val="004F7019"/>
    <w:rsid w:val="00502579"/>
    <w:rsid w:val="005066D9"/>
    <w:rsid w:val="005078F4"/>
    <w:rsid w:val="005117B5"/>
    <w:rsid w:val="005137BF"/>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10B"/>
    <w:rsid w:val="00570815"/>
    <w:rsid w:val="005753B3"/>
    <w:rsid w:val="00581A7F"/>
    <w:rsid w:val="00581DA2"/>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66F3"/>
    <w:rsid w:val="005E7E7E"/>
    <w:rsid w:val="005F457C"/>
    <w:rsid w:val="005F550E"/>
    <w:rsid w:val="005F7CFE"/>
    <w:rsid w:val="006036CF"/>
    <w:rsid w:val="006046F9"/>
    <w:rsid w:val="006079C3"/>
    <w:rsid w:val="006161FB"/>
    <w:rsid w:val="00620AA5"/>
    <w:rsid w:val="00620EB9"/>
    <w:rsid w:val="006214A7"/>
    <w:rsid w:val="00622506"/>
    <w:rsid w:val="006235C6"/>
    <w:rsid w:val="00624454"/>
    <w:rsid w:val="006272C3"/>
    <w:rsid w:val="0062770E"/>
    <w:rsid w:val="00627959"/>
    <w:rsid w:val="00631FA4"/>
    <w:rsid w:val="00633FD2"/>
    <w:rsid w:val="006356BE"/>
    <w:rsid w:val="00635ABE"/>
    <w:rsid w:val="00635FB1"/>
    <w:rsid w:val="00641F47"/>
    <w:rsid w:val="00642ACE"/>
    <w:rsid w:val="00645A75"/>
    <w:rsid w:val="0064745D"/>
    <w:rsid w:val="006479DA"/>
    <w:rsid w:val="006515A3"/>
    <w:rsid w:val="00653EBB"/>
    <w:rsid w:val="00656F96"/>
    <w:rsid w:val="00660EA9"/>
    <w:rsid w:val="00662AED"/>
    <w:rsid w:val="006639DB"/>
    <w:rsid w:val="00670055"/>
    <w:rsid w:val="00677535"/>
    <w:rsid w:val="00677AEE"/>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3792"/>
    <w:rsid w:val="006F6522"/>
    <w:rsid w:val="006F6BD9"/>
    <w:rsid w:val="006F7D0F"/>
    <w:rsid w:val="007007EE"/>
    <w:rsid w:val="0070291D"/>
    <w:rsid w:val="0070596D"/>
    <w:rsid w:val="00710C84"/>
    <w:rsid w:val="00711658"/>
    <w:rsid w:val="007134C5"/>
    <w:rsid w:val="007136AC"/>
    <w:rsid w:val="00714D40"/>
    <w:rsid w:val="00717045"/>
    <w:rsid w:val="00717CF8"/>
    <w:rsid w:val="007226C6"/>
    <w:rsid w:val="00723AF7"/>
    <w:rsid w:val="00723C7B"/>
    <w:rsid w:val="007248BE"/>
    <w:rsid w:val="007336C3"/>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531"/>
    <w:rsid w:val="007F2DA8"/>
    <w:rsid w:val="007F4E72"/>
    <w:rsid w:val="007F56DE"/>
    <w:rsid w:val="00805047"/>
    <w:rsid w:val="00805092"/>
    <w:rsid w:val="008079E0"/>
    <w:rsid w:val="00812BF7"/>
    <w:rsid w:val="00814012"/>
    <w:rsid w:val="008235C2"/>
    <w:rsid w:val="00823D57"/>
    <w:rsid w:val="0082794C"/>
    <w:rsid w:val="00831099"/>
    <w:rsid w:val="00832DD2"/>
    <w:rsid w:val="00842F00"/>
    <w:rsid w:val="008437E2"/>
    <w:rsid w:val="00845198"/>
    <w:rsid w:val="008458CE"/>
    <w:rsid w:val="00850661"/>
    <w:rsid w:val="00854CCF"/>
    <w:rsid w:val="008557A6"/>
    <w:rsid w:val="008565C9"/>
    <w:rsid w:val="0086255E"/>
    <w:rsid w:val="0086360B"/>
    <w:rsid w:val="008669B5"/>
    <w:rsid w:val="00871464"/>
    <w:rsid w:val="008760A4"/>
    <w:rsid w:val="00876A3D"/>
    <w:rsid w:val="008777CC"/>
    <w:rsid w:val="00885156"/>
    <w:rsid w:val="00886225"/>
    <w:rsid w:val="0089199F"/>
    <w:rsid w:val="00891BAB"/>
    <w:rsid w:val="008929DA"/>
    <w:rsid w:val="0089595B"/>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31DC"/>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3900"/>
    <w:rsid w:val="00954944"/>
    <w:rsid w:val="00956609"/>
    <w:rsid w:val="0095660D"/>
    <w:rsid w:val="00961F3B"/>
    <w:rsid w:val="00962C3F"/>
    <w:rsid w:val="00967709"/>
    <w:rsid w:val="00973D78"/>
    <w:rsid w:val="00981293"/>
    <w:rsid w:val="009819AE"/>
    <w:rsid w:val="00985470"/>
    <w:rsid w:val="00987CF2"/>
    <w:rsid w:val="00991CC1"/>
    <w:rsid w:val="00991EE3"/>
    <w:rsid w:val="0099252F"/>
    <w:rsid w:val="00992721"/>
    <w:rsid w:val="00995ED3"/>
    <w:rsid w:val="00996A0E"/>
    <w:rsid w:val="00996BA3"/>
    <w:rsid w:val="00997ADC"/>
    <w:rsid w:val="009A1E76"/>
    <w:rsid w:val="009A3010"/>
    <w:rsid w:val="009A4F60"/>
    <w:rsid w:val="009A51D7"/>
    <w:rsid w:val="009B13C9"/>
    <w:rsid w:val="009B2DF8"/>
    <w:rsid w:val="009B3FF4"/>
    <w:rsid w:val="009B461F"/>
    <w:rsid w:val="009C36F2"/>
    <w:rsid w:val="009C51A7"/>
    <w:rsid w:val="009C71D2"/>
    <w:rsid w:val="009D1416"/>
    <w:rsid w:val="009D3B37"/>
    <w:rsid w:val="009D3B91"/>
    <w:rsid w:val="009D498E"/>
    <w:rsid w:val="009D5B45"/>
    <w:rsid w:val="009D7D1C"/>
    <w:rsid w:val="009E1324"/>
    <w:rsid w:val="009E35D7"/>
    <w:rsid w:val="009E3729"/>
    <w:rsid w:val="009E3C35"/>
    <w:rsid w:val="009E4CCF"/>
    <w:rsid w:val="009F136E"/>
    <w:rsid w:val="009F14B6"/>
    <w:rsid w:val="009F1F56"/>
    <w:rsid w:val="009F25F5"/>
    <w:rsid w:val="009F61A6"/>
    <w:rsid w:val="009F7723"/>
    <w:rsid w:val="00A00378"/>
    <w:rsid w:val="00A027E0"/>
    <w:rsid w:val="00A11177"/>
    <w:rsid w:val="00A11C91"/>
    <w:rsid w:val="00A1332F"/>
    <w:rsid w:val="00A142C3"/>
    <w:rsid w:val="00A14577"/>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4C10"/>
    <w:rsid w:val="00A67F68"/>
    <w:rsid w:val="00A720FD"/>
    <w:rsid w:val="00A753D0"/>
    <w:rsid w:val="00A773A3"/>
    <w:rsid w:val="00A80CA3"/>
    <w:rsid w:val="00A85761"/>
    <w:rsid w:val="00A90A66"/>
    <w:rsid w:val="00A90E40"/>
    <w:rsid w:val="00A92BFF"/>
    <w:rsid w:val="00A94E88"/>
    <w:rsid w:val="00A97941"/>
    <w:rsid w:val="00AA120F"/>
    <w:rsid w:val="00AA5A00"/>
    <w:rsid w:val="00AB0017"/>
    <w:rsid w:val="00AB161E"/>
    <w:rsid w:val="00AB1A5A"/>
    <w:rsid w:val="00AC0131"/>
    <w:rsid w:val="00AC091B"/>
    <w:rsid w:val="00AC1176"/>
    <w:rsid w:val="00AC14B9"/>
    <w:rsid w:val="00AC29C8"/>
    <w:rsid w:val="00AC3865"/>
    <w:rsid w:val="00AC42EF"/>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3122"/>
    <w:rsid w:val="00B5443B"/>
    <w:rsid w:val="00B54D6F"/>
    <w:rsid w:val="00B553A3"/>
    <w:rsid w:val="00B55F32"/>
    <w:rsid w:val="00B579E5"/>
    <w:rsid w:val="00B60DD6"/>
    <w:rsid w:val="00B6394A"/>
    <w:rsid w:val="00B66D2F"/>
    <w:rsid w:val="00B70007"/>
    <w:rsid w:val="00B72D93"/>
    <w:rsid w:val="00B7307C"/>
    <w:rsid w:val="00B74065"/>
    <w:rsid w:val="00B80027"/>
    <w:rsid w:val="00B82063"/>
    <w:rsid w:val="00B835A7"/>
    <w:rsid w:val="00B8766D"/>
    <w:rsid w:val="00B87F89"/>
    <w:rsid w:val="00B90860"/>
    <w:rsid w:val="00B90A8A"/>
    <w:rsid w:val="00B932D0"/>
    <w:rsid w:val="00B9390A"/>
    <w:rsid w:val="00B94A3D"/>
    <w:rsid w:val="00BA05C2"/>
    <w:rsid w:val="00BA3E12"/>
    <w:rsid w:val="00BA41D6"/>
    <w:rsid w:val="00BA7D37"/>
    <w:rsid w:val="00BB225B"/>
    <w:rsid w:val="00BB6469"/>
    <w:rsid w:val="00BB6845"/>
    <w:rsid w:val="00BC0B10"/>
    <w:rsid w:val="00BC22A8"/>
    <w:rsid w:val="00BC37ED"/>
    <w:rsid w:val="00BD135C"/>
    <w:rsid w:val="00BD1CA5"/>
    <w:rsid w:val="00BD2550"/>
    <w:rsid w:val="00BD570D"/>
    <w:rsid w:val="00BE587C"/>
    <w:rsid w:val="00BE5C2C"/>
    <w:rsid w:val="00BE686F"/>
    <w:rsid w:val="00BE6BCF"/>
    <w:rsid w:val="00BF2889"/>
    <w:rsid w:val="00BF3665"/>
    <w:rsid w:val="00BF5146"/>
    <w:rsid w:val="00BF5FB4"/>
    <w:rsid w:val="00BF7C0E"/>
    <w:rsid w:val="00C01500"/>
    <w:rsid w:val="00C06DC3"/>
    <w:rsid w:val="00C06EC0"/>
    <w:rsid w:val="00C10CD7"/>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0C19"/>
    <w:rsid w:val="00C71829"/>
    <w:rsid w:val="00C75574"/>
    <w:rsid w:val="00C760CF"/>
    <w:rsid w:val="00C76C0B"/>
    <w:rsid w:val="00C90D83"/>
    <w:rsid w:val="00C912D7"/>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0B8"/>
    <w:rsid w:val="00D71D91"/>
    <w:rsid w:val="00D77002"/>
    <w:rsid w:val="00D7765F"/>
    <w:rsid w:val="00D812EA"/>
    <w:rsid w:val="00D843EF"/>
    <w:rsid w:val="00D855D5"/>
    <w:rsid w:val="00D90F51"/>
    <w:rsid w:val="00D93F6F"/>
    <w:rsid w:val="00D951F0"/>
    <w:rsid w:val="00D96174"/>
    <w:rsid w:val="00DA13CD"/>
    <w:rsid w:val="00DA15CD"/>
    <w:rsid w:val="00DA1E52"/>
    <w:rsid w:val="00DA2497"/>
    <w:rsid w:val="00DA2785"/>
    <w:rsid w:val="00DA3298"/>
    <w:rsid w:val="00DA4A66"/>
    <w:rsid w:val="00DB2030"/>
    <w:rsid w:val="00DB51DB"/>
    <w:rsid w:val="00DC1C7F"/>
    <w:rsid w:val="00DC2367"/>
    <w:rsid w:val="00DC37CD"/>
    <w:rsid w:val="00DC76DB"/>
    <w:rsid w:val="00DD16E5"/>
    <w:rsid w:val="00DD2A4D"/>
    <w:rsid w:val="00DD37DB"/>
    <w:rsid w:val="00DD6DC7"/>
    <w:rsid w:val="00DE0B86"/>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4693"/>
    <w:rsid w:val="00E3576D"/>
    <w:rsid w:val="00E36D27"/>
    <w:rsid w:val="00E40A44"/>
    <w:rsid w:val="00E45D1D"/>
    <w:rsid w:val="00E50A83"/>
    <w:rsid w:val="00E57FCA"/>
    <w:rsid w:val="00E60011"/>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053D"/>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17114"/>
    <w:rsid w:val="00F21CB7"/>
    <w:rsid w:val="00F2285F"/>
    <w:rsid w:val="00F251D7"/>
    <w:rsid w:val="00F25244"/>
    <w:rsid w:val="00F30B7B"/>
    <w:rsid w:val="00F31137"/>
    <w:rsid w:val="00F32008"/>
    <w:rsid w:val="00F36B0C"/>
    <w:rsid w:val="00F40511"/>
    <w:rsid w:val="00F42B2F"/>
    <w:rsid w:val="00F434DE"/>
    <w:rsid w:val="00F44815"/>
    <w:rsid w:val="00F45354"/>
    <w:rsid w:val="00F46007"/>
    <w:rsid w:val="00F4731A"/>
    <w:rsid w:val="00F47D67"/>
    <w:rsid w:val="00F53DFF"/>
    <w:rsid w:val="00F57D2A"/>
    <w:rsid w:val="00F6015F"/>
    <w:rsid w:val="00F60BAA"/>
    <w:rsid w:val="00F623FE"/>
    <w:rsid w:val="00F62C18"/>
    <w:rsid w:val="00F64080"/>
    <w:rsid w:val="00F66C46"/>
    <w:rsid w:val="00F678C6"/>
    <w:rsid w:val="00F73C74"/>
    <w:rsid w:val="00F76C58"/>
    <w:rsid w:val="00F8233E"/>
    <w:rsid w:val="00F83DF1"/>
    <w:rsid w:val="00F85303"/>
    <w:rsid w:val="00F87C0B"/>
    <w:rsid w:val="00F9186B"/>
    <w:rsid w:val="00F9233E"/>
    <w:rsid w:val="00F94224"/>
    <w:rsid w:val="00F9513D"/>
    <w:rsid w:val="00F9700F"/>
    <w:rsid w:val="00FA1DB0"/>
    <w:rsid w:val="00FA4178"/>
    <w:rsid w:val="00FA5344"/>
    <w:rsid w:val="00FA5484"/>
    <w:rsid w:val="00FB1319"/>
    <w:rsid w:val="00FB300E"/>
    <w:rsid w:val="00FB5F3C"/>
    <w:rsid w:val="00FC02E2"/>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A75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535042838">
      <w:bodyDiv w:val="1"/>
      <w:marLeft w:val="0"/>
      <w:marRight w:val="0"/>
      <w:marTop w:val="0"/>
      <w:marBottom w:val="0"/>
      <w:divBdr>
        <w:top w:val="none" w:sz="0" w:space="0" w:color="auto"/>
        <w:left w:val="none" w:sz="0" w:space="0" w:color="auto"/>
        <w:bottom w:val="none" w:sz="0" w:space="0" w:color="auto"/>
        <w:right w:val="none" w:sz="0" w:space="0" w:color="auto"/>
      </w:divBdr>
    </w:div>
    <w:div w:id="68651885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9338949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484808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14E2FA1-C208-4AD7-A069-9813DC098B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9</Pages>
  <Words>3323</Words>
  <Characters>18280</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2025-10-08T16:56:00Z</cp:lastPrinted>
  <dcterms:created xsi:type="dcterms:W3CDTF">2025-10-07T19:21:00Z</dcterms:created>
  <dcterms:modified xsi:type="dcterms:W3CDTF">2025-10-17T19:32:00Z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