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25BD" w:rsidRDefault="005425BD" w:rsidP="005425BD">
      <w:pPr>
        <w:rPr>
          <w:rFonts w:ascii="Arial" w:hAnsi="Arial" w:cs="Arial"/>
          <w:sz w:val="28"/>
          <w:szCs w:val="28"/>
          <w:lang w:val="es-ES"/>
        </w:rPr>
      </w:pPr>
      <w:r>
        <w:rPr>
          <w:noProof/>
        </w:rPr>
        <w:drawing>
          <wp:inline distT="0" distB="0" distL="0" distR="0" wp14:anchorId="282DE673" wp14:editId="03EE8E91">
            <wp:extent cx="1843790" cy="1113551"/>
            <wp:effectExtent l="0" t="0" r="4445" b="0"/>
            <wp:docPr id="30"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29"/>
                    <pic:cNvPicPr>
                      <a:picLocks noChangeAspect="1"/>
                    </pic:cNvPicPr>
                  </pic:nvPicPr>
                  <pic:blipFill>
                    <a:blip r:embed="rId4"/>
                    <a:stretch>
                      <a:fillRect/>
                    </a:stretch>
                  </pic:blipFill>
                  <pic:spPr>
                    <a:xfrm>
                      <a:off x="0" y="0"/>
                      <a:ext cx="1851548" cy="1118237"/>
                    </a:xfrm>
                    <a:prstGeom prst="rect">
                      <a:avLst/>
                    </a:prstGeom>
                  </pic:spPr>
                </pic:pic>
              </a:graphicData>
            </a:graphic>
          </wp:inline>
        </w:drawing>
      </w:r>
      <w:r w:rsidRPr="007F4CCF">
        <w:rPr>
          <w:noProof/>
          <w:lang w:val="es-ES"/>
        </w:rPr>
        <w:t xml:space="preserve">                  </w:t>
      </w:r>
      <w:r>
        <w:rPr>
          <w:noProof/>
        </w:rPr>
        <w:drawing>
          <wp:inline distT="0" distB="0" distL="0" distR="0" wp14:anchorId="71DFFA68" wp14:editId="38966EA7">
            <wp:extent cx="1390650" cy="1085850"/>
            <wp:effectExtent l="0" t="0" r="0" b="0"/>
            <wp:docPr id="29"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8"/>
                    <pic:cNvPicPr>
                      <a:picLocks noChangeAspect="1"/>
                    </pic:cNvPicPr>
                  </pic:nvPicPr>
                  <pic:blipFill>
                    <a:blip r:embed="rId5"/>
                    <a:stretch>
                      <a:fillRect/>
                    </a:stretch>
                  </pic:blipFill>
                  <pic:spPr>
                    <a:xfrm>
                      <a:off x="0" y="0"/>
                      <a:ext cx="1390650" cy="1085850"/>
                    </a:xfrm>
                    <a:prstGeom prst="rect">
                      <a:avLst/>
                    </a:prstGeom>
                  </pic:spPr>
                </pic:pic>
              </a:graphicData>
            </a:graphic>
          </wp:inline>
        </w:drawing>
      </w:r>
      <w:r w:rsidRPr="007F4CCF">
        <w:rPr>
          <w:noProof/>
          <w:lang w:val="es-ES"/>
        </w:rPr>
        <w:t xml:space="preserve">                          </w:t>
      </w:r>
      <w:r>
        <w:rPr>
          <w:noProof/>
        </w:rPr>
        <w:drawing>
          <wp:inline distT="0" distB="0" distL="0" distR="0" wp14:anchorId="7E1FD4B5" wp14:editId="26300E01">
            <wp:extent cx="1524000" cy="1114425"/>
            <wp:effectExtent l="0" t="0" r="0" b="9525"/>
            <wp:docPr id="31"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n 30"/>
                    <pic:cNvPicPr>
                      <a:picLocks noChangeAspect="1"/>
                    </pic:cNvPicPr>
                  </pic:nvPicPr>
                  <pic:blipFill>
                    <a:blip r:embed="rId6"/>
                    <a:stretch>
                      <a:fillRect/>
                    </a:stretch>
                  </pic:blipFill>
                  <pic:spPr>
                    <a:xfrm>
                      <a:off x="0" y="0"/>
                      <a:ext cx="1524000" cy="1114425"/>
                    </a:xfrm>
                    <a:prstGeom prst="rect">
                      <a:avLst/>
                    </a:prstGeom>
                  </pic:spPr>
                </pic:pic>
              </a:graphicData>
            </a:graphic>
          </wp:inline>
        </w:drawing>
      </w:r>
    </w:p>
    <w:p w:rsidR="005425BD" w:rsidRDefault="005425BD" w:rsidP="005425BD">
      <w:pPr>
        <w:rPr>
          <w:rFonts w:ascii="Arial" w:hAnsi="Arial" w:cs="Arial"/>
          <w:sz w:val="28"/>
          <w:szCs w:val="28"/>
          <w:lang w:val="es-ES"/>
        </w:rPr>
      </w:pPr>
    </w:p>
    <w:p w:rsidR="005425BD" w:rsidRDefault="005425BD" w:rsidP="005425BD">
      <w:pPr>
        <w:jc w:val="center"/>
        <w:rPr>
          <w:rFonts w:ascii="Bradley Hand ITC" w:hAnsi="Bradley Hand ITC" w:cs="Arial"/>
          <w:b/>
          <w:sz w:val="28"/>
          <w:szCs w:val="28"/>
          <w:lang w:val="es-ES"/>
        </w:rPr>
      </w:pPr>
      <w:r w:rsidRPr="007F4CCF">
        <w:rPr>
          <w:rFonts w:ascii="Bradley Hand ITC" w:hAnsi="Bradley Hand ITC" w:cs="Arial"/>
          <w:b/>
          <w:sz w:val="28"/>
          <w:szCs w:val="28"/>
          <w:lang w:val="es-ES"/>
        </w:rPr>
        <w:t>“Año de la innovación y el fortalecimiento educativo “</w:t>
      </w:r>
    </w:p>
    <w:p w:rsidR="005425BD" w:rsidRPr="007F4CCF" w:rsidRDefault="005425BD" w:rsidP="005425BD">
      <w:pPr>
        <w:jc w:val="center"/>
        <w:rPr>
          <w:rFonts w:ascii="Bradley Hand ITC" w:hAnsi="Bradley Hand ITC" w:cs="Arial"/>
          <w:b/>
          <w:sz w:val="28"/>
          <w:szCs w:val="28"/>
          <w:lang w:val="es-ES"/>
        </w:rPr>
      </w:pPr>
    </w:p>
    <w:p w:rsidR="005425BD" w:rsidRPr="005425BD" w:rsidRDefault="005425BD" w:rsidP="005425BD">
      <w:pPr>
        <w:rPr>
          <w:rFonts w:ascii="Arial" w:hAnsi="Arial" w:cs="Arial"/>
          <w:sz w:val="24"/>
          <w:szCs w:val="24"/>
          <w:lang w:val="es-ES"/>
        </w:rPr>
      </w:pPr>
      <w:r w:rsidRPr="005425BD">
        <w:rPr>
          <w:rFonts w:ascii="Arial" w:hAnsi="Arial" w:cs="Arial"/>
          <w:sz w:val="24"/>
          <w:szCs w:val="24"/>
          <w:lang w:val="es-ES"/>
        </w:rPr>
        <w:t xml:space="preserve"> EN LO REFERENTE A COSTOS DEL SERVICIO QUE SE PROPORCIONA.</w:t>
      </w:r>
    </w:p>
    <w:p w:rsidR="005425BD" w:rsidRPr="005425BD" w:rsidRDefault="005425BD" w:rsidP="005425BD">
      <w:pPr>
        <w:rPr>
          <w:rFonts w:ascii="Arial" w:hAnsi="Arial" w:cs="Arial"/>
          <w:sz w:val="24"/>
          <w:szCs w:val="24"/>
          <w:lang w:val="es-ES"/>
        </w:rPr>
      </w:pPr>
    </w:p>
    <w:p w:rsidR="005425BD" w:rsidRDefault="005425BD" w:rsidP="005425BD">
      <w:pPr>
        <w:jc w:val="both"/>
        <w:rPr>
          <w:rFonts w:ascii="Arial" w:hAnsi="Arial" w:cs="Arial"/>
          <w:sz w:val="24"/>
          <w:szCs w:val="24"/>
          <w:lang w:val="es-ES"/>
        </w:rPr>
      </w:pPr>
      <w:r w:rsidRPr="005425BD">
        <w:rPr>
          <w:rFonts w:ascii="Arial" w:hAnsi="Arial" w:cs="Arial"/>
          <w:sz w:val="24"/>
          <w:szCs w:val="24"/>
          <w:lang w:val="es-ES"/>
        </w:rPr>
        <w:t xml:space="preserve">De acuerdo a la ley de trasparencia y Acceso a la información pública del estado de San Luis Potosí. Con artículo 85 capítulo III De las Obligaciones de Transparencia Específicas de los Sujetos Obligados. </w:t>
      </w:r>
    </w:p>
    <w:p w:rsidR="005425BD" w:rsidRDefault="005425BD" w:rsidP="005425BD">
      <w:pPr>
        <w:jc w:val="both"/>
        <w:rPr>
          <w:rFonts w:ascii="Arial" w:hAnsi="Arial" w:cs="Arial"/>
          <w:sz w:val="24"/>
          <w:szCs w:val="24"/>
          <w:lang w:val="es-ES"/>
        </w:rPr>
      </w:pPr>
      <w:r>
        <w:rPr>
          <w:rFonts w:ascii="Arial" w:hAnsi="Arial" w:cs="Arial"/>
          <w:sz w:val="24"/>
          <w:szCs w:val="24"/>
          <w:lang w:val="es-ES"/>
        </w:rPr>
        <w:t xml:space="preserve">En la breve descripción de este apartado se informa que los costos que pudieran generarse en los apoyos solicitados depende de la autorización del presidente municipal, recalcando que los apoyos que se otorgan por parte del departamento según el costo de la cotización en la solicitud ingresada varían desde un 50% a un 100% a lo que el beneficiario pondría la diferencia para cubrir el 100 % del implemento o alguna otra adquisición. </w:t>
      </w:r>
    </w:p>
    <w:p w:rsidR="005425BD" w:rsidRDefault="005425BD" w:rsidP="005425BD">
      <w:pPr>
        <w:jc w:val="both"/>
        <w:rPr>
          <w:rFonts w:ascii="Arial" w:hAnsi="Arial" w:cs="Arial"/>
          <w:sz w:val="24"/>
          <w:szCs w:val="24"/>
          <w:lang w:val="es-ES"/>
        </w:rPr>
      </w:pPr>
      <w:r>
        <w:rPr>
          <w:rFonts w:ascii="Arial" w:hAnsi="Arial" w:cs="Arial"/>
          <w:sz w:val="24"/>
          <w:szCs w:val="24"/>
          <w:lang w:val="es-ES"/>
        </w:rPr>
        <w:t xml:space="preserve">En el programa de equipamiento de tractores el apoyo será máximo de $150,000.00 dependiendo del estudio socio-económico y las ha comprobadas. </w:t>
      </w:r>
    </w:p>
    <w:p w:rsidR="005425BD" w:rsidRDefault="005425BD" w:rsidP="005425BD">
      <w:pPr>
        <w:jc w:val="both"/>
        <w:rPr>
          <w:rFonts w:ascii="Arial" w:hAnsi="Arial" w:cs="Arial"/>
          <w:sz w:val="24"/>
          <w:szCs w:val="24"/>
          <w:lang w:val="es-ES"/>
        </w:rPr>
      </w:pPr>
      <w:r>
        <w:rPr>
          <w:rFonts w:ascii="Arial" w:hAnsi="Arial" w:cs="Arial"/>
          <w:sz w:val="24"/>
          <w:szCs w:val="24"/>
          <w:lang w:val="es-ES"/>
        </w:rPr>
        <w:t xml:space="preserve">En maquinaria en implementos agrícola el apoyo será del 50% por parte de municipio, poniendo el resto el interesado. </w:t>
      </w:r>
      <w:r w:rsidR="00072B73">
        <w:rPr>
          <w:rFonts w:ascii="Arial" w:hAnsi="Arial" w:cs="Arial"/>
          <w:sz w:val="24"/>
          <w:szCs w:val="24"/>
          <w:lang w:val="es-ES"/>
        </w:rPr>
        <w:t xml:space="preserve">Al igual que en apoyo con cintilla, manguera y motobombas. En semillas se apoyará hasta con 40 kg. Por Ha. </w:t>
      </w:r>
      <w:r>
        <w:rPr>
          <w:rFonts w:ascii="Arial" w:hAnsi="Arial" w:cs="Arial"/>
          <w:sz w:val="24"/>
          <w:szCs w:val="24"/>
          <w:lang w:val="es-ES"/>
        </w:rPr>
        <w:t xml:space="preserve"> </w:t>
      </w:r>
    </w:p>
    <w:p w:rsidR="005425BD" w:rsidRPr="005425BD" w:rsidRDefault="005425BD" w:rsidP="005425BD">
      <w:pPr>
        <w:jc w:val="both"/>
        <w:rPr>
          <w:rFonts w:ascii="Arial" w:hAnsi="Arial" w:cs="Arial"/>
          <w:sz w:val="24"/>
          <w:szCs w:val="24"/>
          <w:lang w:val="es-ES"/>
        </w:rPr>
      </w:pPr>
      <w:r w:rsidRPr="005425BD">
        <w:rPr>
          <w:rFonts w:ascii="Arial" w:hAnsi="Arial" w:cs="Arial"/>
          <w:sz w:val="24"/>
          <w:szCs w:val="24"/>
          <w:lang w:val="es-ES"/>
        </w:rPr>
        <w:t>Especificando que dichos programas están sujetos a la d</w:t>
      </w:r>
      <w:r w:rsidR="00072B73">
        <w:rPr>
          <w:rFonts w:ascii="Arial" w:hAnsi="Arial" w:cs="Arial"/>
          <w:sz w:val="24"/>
          <w:szCs w:val="24"/>
          <w:lang w:val="es-ES"/>
        </w:rPr>
        <w:t>isponibilidad presupuestal.</w:t>
      </w:r>
      <w:bookmarkStart w:id="0" w:name="_GoBack"/>
      <w:bookmarkEnd w:id="0"/>
    </w:p>
    <w:p w:rsidR="005425BD" w:rsidRPr="005425BD" w:rsidRDefault="005425BD" w:rsidP="005425BD">
      <w:pPr>
        <w:rPr>
          <w:rFonts w:ascii="Arial" w:hAnsi="Arial" w:cs="Arial"/>
          <w:sz w:val="24"/>
          <w:szCs w:val="24"/>
          <w:lang w:val="es-ES"/>
        </w:rPr>
      </w:pPr>
    </w:p>
    <w:p w:rsidR="005425BD" w:rsidRPr="005425BD" w:rsidRDefault="005425BD" w:rsidP="005425BD">
      <w:pPr>
        <w:spacing w:after="0"/>
        <w:rPr>
          <w:rFonts w:ascii="Arial" w:hAnsi="Arial" w:cs="Arial"/>
          <w:sz w:val="24"/>
          <w:szCs w:val="24"/>
          <w:lang w:val="es-ES"/>
        </w:rPr>
      </w:pPr>
      <w:r w:rsidRPr="005425BD">
        <w:rPr>
          <w:rFonts w:ascii="Arial" w:hAnsi="Arial" w:cs="Arial"/>
          <w:sz w:val="24"/>
          <w:szCs w:val="24"/>
          <w:lang w:val="es-ES"/>
        </w:rPr>
        <w:t xml:space="preserve">DIRECTORA DEL DEPARTAMENTO DE </w:t>
      </w:r>
    </w:p>
    <w:p w:rsidR="005425BD" w:rsidRPr="005425BD" w:rsidRDefault="005425BD" w:rsidP="005425BD">
      <w:pPr>
        <w:spacing w:after="0"/>
        <w:rPr>
          <w:rFonts w:ascii="Arial" w:hAnsi="Arial" w:cs="Arial"/>
          <w:sz w:val="24"/>
          <w:szCs w:val="24"/>
          <w:lang w:val="es-ES"/>
        </w:rPr>
      </w:pPr>
      <w:r w:rsidRPr="005425BD">
        <w:rPr>
          <w:rFonts w:ascii="Arial" w:hAnsi="Arial" w:cs="Arial"/>
          <w:sz w:val="24"/>
          <w:szCs w:val="24"/>
          <w:lang w:val="es-ES"/>
        </w:rPr>
        <w:t>DESARROLLO AGROPECUARIO</w:t>
      </w:r>
    </w:p>
    <w:p w:rsidR="005425BD" w:rsidRPr="005425BD" w:rsidRDefault="005425BD" w:rsidP="005425BD">
      <w:pPr>
        <w:spacing w:after="0"/>
        <w:rPr>
          <w:rFonts w:ascii="Arial" w:hAnsi="Arial" w:cs="Arial"/>
          <w:sz w:val="24"/>
          <w:szCs w:val="24"/>
          <w:lang w:val="es-ES"/>
        </w:rPr>
      </w:pPr>
    </w:p>
    <w:p w:rsidR="005425BD" w:rsidRPr="005425BD" w:rsidRDefault="005425BD" w:rsidP="005425BD">
      <w:pPr>
        <w:spacing w:after="0"/>
        <w:rPr>
          <w:rFonts w:ascii="Arial" w:hAnsi="Arial" w:cs="Arial"/>
          <w:sz w:val="24"/>
          <w:szCs w:val="24"/>
          <w:lang w:val="es-ES"/>
        </w:rPr>
      </w:pPr>
      <w:r w:rsidRPr="005425BD">
        <w:rPr>
          <w:rFonts w:ascii="Arial" w:hAnsi="Arial" w:cs="Arial"/>
          <w:sz w:val="24"/>
          <w:szCs w:val="24"/>
          <w:lang w:val="es-ES"/>
        </w:rPr>
        <w:t xml:space="preserve">ING. VENNIA EDITH RAMOS RANGEL. </w:t>
      </w:r>
    </w:p>
    <w:p w:rsidR="00C47CB9" w:rsidRPr="005425BD" w:rsidRDefault="00C47CB9">
      <w:pPr>
        <w:rPr>
          <w:sz w:val="24"/>
          <w:szCs w:val="24"/>
        </w:rPr>
      </w:pPr>
    </w:p>
    <w:sectPr w:rsidR="00C47CB9" w:rsidRPr="005425BD" w:rsidSect="005425BD">
      <w:pgSz w:w="12240" w:h="15840"/>
      <w:pgMar w:top="1418" w:right="1183"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5BD"/>
    <w:rsid w:val="00072B73"/>
    <w:rsid w:val="005425BD"/>
    <w:rsid w:val="00702F3F"/>
    <w:rsid w:val="00C47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63704"/>
  <w15:chartTrackingRefBased/>
  <w15:docId w15:val="{9B5C81E9-0299-4BAE-8F08-4BCA89D9D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25B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201</Words>
  <Characters>1149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ThinkCentre</dc:creator>
  <cp:keywords/>
  <dc:description/>
  <cp:lastModifiedBy>Lenovo ThinkCentre</cp:lastModifiedBy>
  <cp:revision>1</cp:revision>
  <dcterms:created xsi:type="dcterms:W3CDTF">2025-12-23T15:09:00Z</dcterms:created>
  <dcterms:modified xsi:type="dcterms:W3CDTF">2025-12-23T15:25:00Z</dcterms:modified>
</cp:coreProperties>
</file>