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8764AA">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8764AA">
        <w:rPr>
          <w:rFonts w:ascii="Arial" w:hAnsi="Arial" w:cs="Arial"/>
          <w:b/>
          <w:sz w:val="24"/>
          <w:szCs w:val="24"/>
        </w:rPr>
        <w:t>septiembre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8764AA">
        <w:rPr>
          <w:rFonts w:ascii="Arial" w:hAnsi="Arial" w:cs="Arial"/>
          <w:b/>
          <w:sz w:val="24"/>
          <w:szCs w:val="24"/>
        </w:rPr>
        <w:t>novena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FE05DD"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2C0021">
        <w:rPr>
          <w:rFonts w:ascii="Arial" w:hAnsi="Arial" w:cs="Arial"/>
          <w:sz w:val="24"/>
          <w:szCs w:val="24"/>
        </w:rPr>
        <w:t xml:space="preserve">La </w:t>
      </w:r>
      <w:r w:rsidR="00D52EEE">
        <w:rPr>
          <w:rFonts w:ascii="Arial" w:hAnsi="Arial" w:cs="Arial"/>
          <w:sz w:val="24"/>
          <w:szCs w:val="24"/>
        </w:rPr>
        <w:t>Directora General del Instituto Universitario de Ciencias Penales y Forenses Rita Santillán Guzmán</w:t>
      </w:r>
      <w:r w:rsidR="00D4742A" w:rsidRPr="00115CE3">
        <w:rPr>
          <w:rFonts w:ascii="Arial" w:hAnsi="Arial" w:cs="Arial"/>
          <w:sz w:val="24"/>
          <w:szCs w:val="24"/>
        </w:rPr>
        <w:t>,</w:t>
      </w:r>
      <w:r w:rsidRPr="00115CE3">
        <w:rPr>
          <w:rFonts w:ascii="Arial" w:hAnsi="Arial" w:cs="Arial"/>
          <w:sz w:val="24"/>
          <w:szCs w:val="24"/>
        </w:rPr>
        <w:t xml:space="preserve"> mediante oficio </w:t>
      </w:r>
      <w:r w:rsidR="00C63668">
        <w:rPr>
          <w:rFonts w:ascii="Arial" w:hAnsi="Arial" w:cs="Arial"/>
          <w:b/>
          <w:sz w:val="24"/>
          <w:szCs w:val="24"/>
        </w:rPr>
        <w:t>IUCPF/334/08/</w:t>
      </w:r>
      <w:r w:rsidR="00C03933" w:rsidRPr="00115CE3">
        <w:rPr>
          <w:rFonts w:ascii="Arial" w:hAnsi="Arial" w:cs="Arial"/>
          <w:b/>
          <w:sz w:val="24"/>
          <w:szCs w:val="24"/>
        </w:rPr>
        <w:t xml:space="preserve">2025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C63668">
        <w:rPr>
          <w:rFonts w:ascii="Arial" w:hAnsi="Arial" w:cs="Arial"/>
          <w:b/>
          <w:sz w:val="24"/>
          <w:szCs w:val="24"/>
        </w:rPr>
        <w:t>IUCPF/AR/02</w:t>
      </w:r>
      <w:r w:rsidR="002C0021">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-240469825000</w:t>
      </w:r>
      <w:r w:rsidR="005F0249">
        <w:rPr>
          <w:rFonts w:ascii="Arial" w:hAnsi="Arial" w:cs="Arial"/>
          <w:b/>
          <w:sz w:val="24"/>
          <w:szCs w:val="24"/>
        </w:rPr>
        <w:t>3</w:t>
      </w:r>
      <w:r w:rsidR="008764AA">
        <w:rPr>
          <w:rFonts w:ascii="Arial" w:hAnsi="Arial" w:cs="Arial"/>
          <w:b/>
          <w:sz w:val="24"/>
          <w:szCs w:val="24"/>
        </w:rPr>
        <w:t>76</w:t>
      </w:r>
      <w:r w:rsidR="0053156B" w:rsidRPr="00115CE3">
        <w:rPr>
          <w:rFonts w:ascii="Arial" w:hAnsi="Arial" w:cs="Arial"/>
          <w:sz w:val="24"/>
          <w:szCs w:val="24"/>
        </w:rPr>
        <w:t xml:space="preserve">-2025 realizada por </w:t>
      </w:r>
      <w:r w:rsidR="005F0249">
        <w:rPr>
          <w:rFonts w:ascii="Arial" w:hAnsi="Arial" w:cs="Arial"/>
          <w:sz w:val="24"/>
          <w:szCs w:val="24"/>
        </w:rPr>
        <w:t xml:space="preserve">un usuario </w:t>
      </w:r>
      <w:r w:rsidR="008764AA" w:rsidRPr="00FE05DD">
        <w:rPr>
          <w:rFonts w:ascii="Arial" w:hAnsi="Arial" w:cs="Arial"/>
          <w:b/>
          <w:sz w:val="24"/>
          <w:szCs w:val="24"/>
        </w:rPr>
        <w:t>Ernesto Barajas Páez</w:t>
      </w:r>
      <w:r w:rsidR="00FE05DD">
        <w:rPr>
          <w:rFonts w:ascii="Arial" w:hAnsi="Arial" w:cs="Arial"/>
          <w:b/>
          <w:sz w:val="24"/>
          <w:szCs w:val="24"/>
        </w:rPr>
        <w:t xml:space="preserve">, </w:t>
      </w:r>
      <w:r w:rsidR="00FE05DD">
        <w:rPr>
          <w:rFonts w:ascii="Arial" w:hAnsi="Arial" w:cs="Arial"/>
          <w:sz w:val="24"/>
          <w:szCs w:val="24"/>
        </w:rPr>
        <w:t>quien manifestó su deseo de acceder a la siguiente información:</w:t>
      </w:r>
    </w:p>
    <w:p w:rsidR="00FE05DD" w:rsidRPr="00FE05DD" w:rsidRDefault="00FE05DD" w:rsidP="00FE05DD">
      <w:pPr>
        <w:pStyle w:val="Prrafodelista"/>
        <w:numPr>
          <w:ilvl w:val="0"/>
          <w:numId w:val="20"/>
        </w:numPr>
        <w:spacing w:after="200" w:line="288" w:lineRule="auto"/>
        <w:ind w:left="284"/>
        <w:jc w:val="both"/>
        <w:rPr>
          <w:rFonts w:ascii="Arial" w:hAnsi="Arial" w:cs="Arial"/>
        </w:rPr>
      </w:pPr>
      <w:r w:rsidRPr="00FE05DD">
        <w:rPr>
          <w:rFonts w:ascii="Arial" w:hAnsi="Arial" w:cs="Arial"/>
        </w:rPr>
        <w:t>Indique si la Fiscalía General del Estado cuenta con una unidad de atención especializada para la investigación y persecución de delitos cometidos contra las personas LGBTIQ+ y/o delitos motivados por la orientación sexual, identidad y/o expresión de género o características sexuales de las víctimas.</w:t>
      </w:r>
    </w:p>
    <w:p w:rsidR="00FE05DD" w:rsidRPr="00FE05DD" w:rsidRDefault="00FE05DD" w:rsidP="00FE05DD">
      <w:pPr>
        <w:pStyle w:val="Prrafodelista"/>
        <w:numPr>
          <w:ilvl w:val="0"/>
          <w:numId w:val="20"/>
        </w:numPr>
        <w:spacing w:after="200" w:line="288" w:lineRule="auto"/>
        <w:ind w:left="284"/>
        <w:jc w:val="both"/>
        <w:rPr>
          <w:rFonts w:ascii="Arial" w:hAnsi="Arial" w:cs="Arial"/>
        </w:rPr>
      </w:pPr>
      <w:r w:rsidRPr="00FE05DD">
        <w:rPr>
          <w:rFonts w:ascii="Arial" w:hAnsi="Arial" w:cs="Arial"/>
        </w:rPr>
        <w:t xml:space="preserve">Indique si la Fiscalía General del Estado cuenta protocolos especializados para la atención de casos que involucren orientación sexual, identidad y/o expresión de género o características sexuales. En caso de no contar con ellos, indique cuál es el procedimiento interno para atender personas que denuncian delitos motivados por su orientación sexual, identidad y/o expresión de género o características sexuales. </w:t>
      </w:r>
    </w:p>
    <w:p w:rsidR="00FE05DD" w:rsidRPr="00FE05DD" w:rsidRDefault="00FE05DD" w:rsidP="00FE05DD">
      <w:pPr>
        <w:pStyle w:val="Prrafodelista"/>
        <w:numPr>
          <w:ilvl w:val="0"/>
          <w:numId w:val="20"/>
        </w:numPr>
        <w:spacing w:after="200" w:line="288" w:lineRule="auto"/>
        <w:ind w:left="284"/>
        <w:jc w:val="both"/>
        <w:rPr>
          <w:rFonts w:ascii="Arial" w:hAnsi="Arial" w:cs="Arial"/>
        </w:rPr>
      </w:pPr>
      <w:r w:rsidRPr="00FE05DD">
        <w:rPr>
          <w:rFonts w:ascii="Arial" w:hAnsi="Arial" w:cs="Arial"/>
        </w:rPr>
        <w:t xml:space="preserve">En caso de ser afirmativa la respuesta al punto "1", indique el número de personas adscrita a dicha unidad. </w:t>
      </w:r>
    </w:p>
    <w:p w:rsidR="00FE05DD" w:rsidRPr="00FE05DD" w:rsidRDefault="00FE05DD" w:rsidP="00FE05DD">
      <w:pPr>
        <w:pStyle w:val="Prrafodelista"/>
        <w:numPr>
          <w:ilvl w:val="0"/>
          <w:numId w:val="20"/>
        </w:numPr>
        <w:spacing w:after="200" w:line="288" w:lineRule="auto"/>
        <w:ind w:left="284"/>
        <w:jc w:val="both"/>
        <w:rPr>
          <w:rFonts w:ascii="Arial" w:hAnsi="Arial" w:cs="Arial"/>
        </w:rPr>
      </w:pPr>
      <w:r w:rsidRPr="00FE05DD">
        <w:rPr>
          <w:rFonts w:ascii="Arial" w:hAnsi="Arial" w:cs="Arial"/>
        </w:rPr>
        <w:t xml:space="preserve">Asimismo, indique si el personal de la Fiscalía General del Estado ha recibido charlas, talleres o capacitaciones en materia de investigación de delitos con perspectiva de diversidad sexual o charlas, talleres o capacitaciones de sensibilización sobre temas que involucren a personas LGBTIQ+. </w:t>
      </w:r>
    </w:p>
    <w:p w:rsidR="00FE05DD" w:rsidRPr="00FE05DD" w:rsidRDefault="00FE05DD" w:rsidP="00FE05DD">
      <w:pPr>
        <w:pStyle w:val="Prrafodelista"/>
        <w:numPr>
          <w:ilvl w:val="0"/>
          <w:numId w:val="20"/>
        </w:numPr>
        <w:spacing w:after="200" w:line="288" w:lineRule="auto"/>
        <w:ind w:left="284"/>
        <w:jc w:val="both"/>
        <w:rPr>
          <w:rFonts w:ascii="Arial" w:hAnsi="Arial" w:cs="Arial"/>
        </w:rPr>
      </w:pPr>
      <w:r w:rsidRPr="00FE05DD">
        <w:rPr>
          <w:rFonts w:ascii="Arial" w:hAnsi="Arial" w:cs="Arial"/>
        </w:rPr>
        <w:t xml:space="preserve">En caso de ser afirmativa su respuesta al punto anterior, indique el nombre de los talleres, descripción de los contenidos impartidos, nombre de la persona facilitadora de la charla, taller o capacitación y número de horas por charla, taller o capacitación. </w:t>
      </w:r>
    </w:p>
    <w:p w:rsidR="00FE05DD" w:rsidRPr="00FE05DD" w:rsidRDefault="00FE05DD" w:rsidP="00FE05DD">
      <w:pPr>
        <w:pStyle w:val="Prrafodelista"/>
        <w:numPr>
          <w:ilvl w:val="0"/>
          <w:numId w:val="20"/>
        </w:numPr>
        <w:spacing w:after="200" w:line="288" w:lineRule="auto"/>
        <w:ind w:left="284"/>
        <w:jc w:val="both"/>
        <w:rPr>
          <w:rFonts w:ascii="Arial" w:hAnsi="Arial" w:cs="Arial"/>
        </w:rPr>
      </w:pPr>
      <w:r w:rsidRPr="00FE05DD">
        <w:rPr>
          <w:rFonts w:ascii="Arial" w:hAnsi="Arial" w:cs="Arial"/>
        </w:rPr>
        <w:t xml:space="preserve">En caso de ser afirmativa su respuesta, indique el número total de personas que recibieron dicha charla, taller o capacitación. </w:t>
      </w:r>
    </w:p>
    <w:p w:rsidR="00FE05DD" w:rsidRPr="00FE05DD" w:rsidRDefault="00FE05DD" w:rsidP="00FE05DD">
      <w:pPr>
        <w:pStyle w:val="Prrafodelista"/>
        <w:numPr>
          <w:ilvl w:val="0"/>
          <w:numId w:val="20"/>
        </w:numPr>
        <w:spacing w:after="200" w:line="288" w:lineRule="auto"/>
        <w:ind w:left="284"/>
        <w:jc w:val="both"/>
        <w:rPr>
          <w:rFonts w:ascii="Arial" w:hAnsi="Arial" w:cs="Arial"/>
        </w:rPr>
      </w:pPr>
      <w:r w:rsidRPr="00FE05DD">
        <w:rPr>
          <w:rFonts w:ascii="Arial" w:hAnsi="Arial" w:cs="Arial"/>
        </w:rPr>
        <w:t>Indique el número total de personas que trabajan en la Fiscalía General del Estado.</w:t>
      </w:r>
    </w:p>
    <w:p w:rsidR="00BF3665" w:rsidRPr="00115CE3" w:rsidRDefault="0053156B"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 </w:t>
      </w:r>
      <w:r w:rsidR="009819AE" w:rsidRPr="00115CE3">
        <w:rPr>
          <w:rFonts w:ascii="Arial" w:hAnsi="Arial" w:cs="Arial"/>
          <w:b/>
          <w:sz w:val="24"/>
          <w:szCs w:val="24"/>
        </w:rPr>
        <w:t>II.</w:t>
      </w:r>
      <w:r w:rsidR="009819AE" w:rsidRPr="00115CE3">
        <w:rPr>
          <w:rFonts w:ascii="Arial" w:hAnsi="Arial" w:cs="Arial"/>
          <w:sz w:val="24"/>
          <w:szCs w:val="24"/>
        </w:rPr>
        <w:t xml:space="preserve"> </w:t>
      </w:r>
      <w:r w:rsidR="00D52EEE">
        <w:rPr>
          <w:rFonts w:ascii="Arial" w:hAnsi="Arial" w:cs="Arial"/>
          <w:sz w:val="24"/>
          <w:szCs w:val="24"/>
        </w:rPr>
        <w:t>La Directora General del Instituto Universitario de Ciencias Penales y Forenses Rita Santillán Guzmán</w:t>
      </w:r>
      <w:r w:rsidR="00672FE8" w:rsidRPr="00115CE3">
        <w:rPr>
          <w:rFonts w:ascii="Arial" w:hAnsi="Arial" w:cs="Arial"/>
          <w:sz w:val="24"/>
          <w:szCs w:val="24"/>
        </w:rPr>
        <w:t>,</w:t>
      </w:r>
      <w:r w:rsidR="00590B9B" w:rsidRPr="00115CE3">
        <w:rPr>
          <w:rFonts w:ascii="Arial" w:hAnsi="Arial" w:cs="Arial"/>
          <w:sz w:val="24"/>
          <w:szCs w:val="24"/>
        </w:rPr>
        <w:t xml:space="preserve"> </w:t>
      </w:r>
      <w:r w:rsidR="009819AE" w:rsidRPr="00115CE3">
        <w:rPr>
          <w:rFonts w:ascii="Arial" w:hAnsi="Arial" w:cs="Arial"/>
          <w:sz w:val="24"/>
          <w:szCs w:val="24"/>
        </w:rPr>
        <w:t xml:space="preserve">al realizar el estudio de la información requerida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009819AE" w:rsidRPr="00115CE3">
        <w:rPr>
          <w:rFonts w:ascii="Arial" w:hAnsi="Arial" w:cs="Arial"/>
          <w:sz w:val="24"/>
          <w:szCs w:val="24"/>
        </w:rPr>
        <w:t>es susceptible de clasificar</w:t>
      </w:r>
      <w:r w:rsidR="008D7FD6" w:rsidRPr="00115CE3">
        <w:rPr>
          <w:rFonts w:ascii="Arial" w:hAnsi="Arial" w:cs="Arial"/>
          <w:sz w:val="24"/>
          <w:szCs w:val="24"/>
        </w:rPr>
        <w:t>se</w:t>
      </w:r>
      <w:r w:rsidR="009819AE" w:rsidRPr="00115CE3">
        <w:rPr>
          <w:rFonts w:ascii="Arial" w:hAnsi="Arial" w:cs="Arial"/>
          <w:sz w:val="24"/>
          <w:szCs w:val="24"/>
        </w:rPr>
        <w:t xml:space="preserve"> como 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BB2764">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XII</w:t>
      </w:r>
      <w:r w:rsidR="009819AE"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EEE">
        <w:rPr>
          <w:rFonts w:ascii="Arial" w:hAnsi="Arial" w:cs="Arial"/>
          <w:sz w:val="24"/>
          <w:szCs w:val="24"/>
        </w:rPr>
        <w:t>La Directora General del Instituto Universitario de Ciencias Penales y Forenses Rita Santillán Guzmán</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C63668">
        <w:rPr>
          <w:rFonts w:ascii="Arial" w:hAnsi="Arial" w:cs="Arial"/>
          <w:b/>
          <w:sz w:val="24"/>
          <w:szCs w:val="24"/>
        </w:rPr>
        <w:t>IUCPF/AR/02/2025</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C63668">
        <w:rPr>
          <w:rFonts w:ascii="Arial" w:hAnsi="Arial" w:cs="Arial"/>
          <w:b/>
          <w:sz w:val="24"/>
          <w:szCs w:val="24"/>
        </w:rPr>
        <w:t>IUCPF/AR/02/2025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C63668">
        <w:rPr>
          <w:rFonts w:ascii="Arial" w:hAnsi="Arial" w:cs="Arial"/>
          <w:b/>
          <w:sz w:val="24"/>
          <w:szCs w:val="24"/>
        </w:rPr>
        <w:t>IUCPF/AR/02/2025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C63668" w:rsidRDefault="00C63668" w:rsidP="005F0249">
      <w:pPr>
        <w:spacing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o</w:t>
      </w:r>
      <w:r w:rsidRPr="00115CE3">
        <w:rPr>
          <w:rFonts w:ascii="Arial" w:hAnsi="Arial" w:cs="Arial"/>
          <w:sz w:val="24"/>
          <w:szCs w:val="24"/>
        </w:rPr>
        <w:t>ctavo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v</w:t>
      </w:r>
      <w:r w:rsidRPr="00115CE3">
        <w:rPr>
          <w:rFonts w:ascii="Arial" w:hAnsi="Arial" w:cs="Arial"/>
          <w:sz w:val="24"/>
          <w:szCs w:val="24"/>
        </w:rPr>
        <w:t xml:space="preserve">igésimo </w:t>
      </w:r>
      <w:r w:rsidR="008D7FD6" w:rsidRPr="00115CE3">
        <w:rPr>
          <w:rFonts w:ascii="Arial" w:hAnsi="Arial" w:cs="Arial"/>
          <w:sz w:val="24"/>
          <w:szCs w:val="24"/>
        </w:rPr>
        <w:t>t</w:t>
      </w:r>
      <w:r w:rsidRPr="00115CE3">
        <w:rPr>
          <w:rFonts w:ascii="Arial" w:hAnsi="Arial" w:cs="Arial"/>
          <w:sz w:val="24"/>
          <w:szCs w:val="24"/>
        </w:rPr>
        <w:t xml:space="preserve">ercero, </w:t>
      </w:r>
      <w:r w:rsidR="008D7FD6" w:rsidRPr="00115CE3">
        <w:rPr>
          <w:rFonts w:ascii="Arial" w:hAnsi="Arial" w:cs="Arial"/>
          <w:sz w:val="24"/>
          <w:szCs w:val="24"/>
        </w:rPr>
        <w:t>t</w:t>
      </w:r>
      <w:r w:rsidRPr="00115CE3">
        <w:rPr>
          <w:rFonts w:ascii="Arial" w:hAnsi="Arial" w:cs="Arial"/>
          <w:sz w:val="24"/>
          <w:szCs w:val="24"/>
        </w:rPr>
        <w:t xml:space="preserve">rigésimo primero, </w:t>
      </w:r>
      <w:r w:rsidR="008D7FD6" w:rsidRPr="00115CE3">
        <w:rPr>
          <w:rFonts w:ascii="Arial" w:hAnsi="Arial" w:cs="Arial"/>
          <w:sz w:val="24"/>
          <w:szCs w:val="24"/>
        </w:rPr>
        <w:t>t</w:t>
      </w:r>
      <w:r w:rsidRPr="00115CE3">
        <w:rPr>
          <w:rFonts w:ascii="Arial" w:hAnsi="Arial" w:cs="Arial"/>
          <w:sz w:val="24"/>
          <w:szCs w:val="24"/>
        </w:rPr>
        <w:t xml:space="preserve">rigésimo segundo,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D52EEE" w:rsidRPr="00D52EEE" w:rsidRDefault="007336C3" w:rsidP="00D52EE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D52EEE">
        <w:rPr>
          <w:rFonts w:ascii="Arial" w:hAnsi="Arial" w:cs="Arial"/>
          <w:sz w:val="24"/>
          <w:szCs w:val="24"/>
        </w:rPr>
        <w:t>La L</w:t>
      </w:r>
      <w:r w:rsidR="00D52EEE" w:rsidRPr="00D52EEE">
        <w:rPr>
          <w:rFonts w:ascii="Arial" w:hAnsi="Arial" w:cs="Arial"/>
          <w:sz w:val="24"/>
          <w:szCs w:val="24"/>
        </w:rPr>
        <w:t xml:space="preserve">ey del Sistema de Seguridad del Estado de San Luis Potosí que rige al personal de esta Fiscalía se considera "como reservada la información contenida en todas y </w:t>
      </w:r>
      <w:r w:rsidR="00D52EEE" w:rsidRPr="00D52EEE">
        <w:rPr>
          <w:rFonts w:ascii="Arial" w:hAnsi="Arial" w:cs="Arial"/>
          <w:sz w:val="24"/>
          <w:szCs w:val="24"/>
        </w:rPr>
        <w:lastRenderedPageBreak/>
        <w:t>cada una de las bases de datos del sistema, y la información contenida en ellos, en materia de detenciones, información criminal, personal de seguridad pública considerando que la base de datos del sistema a la que se refiere el artículo citado, se integra con datos descritos en su Artículo 99, "El Registro de Personal de Seguridad Pública contendrá la información actualizada, relativa a los integrantes de las instituciones de seguridad pública del Estado el cual contendrá. por lo menos I Los datos que permitan identificar plenamente y localizar al servidor público, III Cualquier cambio de adscripción, actividad o rango del servidor público...”</w:t>
      </w:r>
    </w:p>
    <w:p w:rsidR="00D52EEE" w:rsidRPr="00D52EEE" w:rsidRDefault="00D52EEE" w:rsidP="00D52EEE">
      <w:pPr>
        <w:autoSpaceDE w:val="0"/>
        <w:autoSpaceDN w:val="0"/>
        <w:adjustRightInd w:val="0"/>
        <w:spacing w:line="240" w:lineRule="auto"/>
        <w:jc w:val="both"/>
        <w:rPr>
          <w:rFonts w:ascii="Arial" w:hAnsi="Arial" w:cs="Arial"/>
          <w:sz w:val="24"/>
          <w:szCs w:val="24"/>
        </w:rPr>
      </w:pPr>
      <w:r w:rsidRPr="00D52EEE">
        <w:rPr>
          <w:rFonts w:ascii="Arial" w:hAnsi="Arial" w:cs="Arial"/>
          <w:sz w:val="24"/>
          <w:szCs w:val="24"/>
        </w:rPr>
        <w:t>Por lo cual, la entrega de la información consistente en: El número total de Ministerios Públicos, policías investigadores, peritos y personal administrativo adscrito a áreas operativas de la Fiscalía General del Estado de San Luis Potosí, que recibieron charlas, talleres o capacitaciones en materia de investigación de delitos con perspectiva de diversidad sexual o charlas, talleres o capacitaciones de sensibilización sobre temas que involucren a personas LGBTIQ+. Establecería brechas en la investigación de hechos delictivos, menoscabando su capacidad de reacción en la persecución de delitos y dejándolos vulnerables ante cualquier evento frente a personas con fines ilícitos, y en desventaja en operativos y programas de vigilancia, por lo que implica un compromiso de orden prioritario salvaguardar la seguridad del personal de investigación, toda vez que la difusión puede poner en riesgo la vida, la integridad y salud del personal en cita, al ser entregada la información a un tercero podría llegar a ser del conocimiento de los grupos delincuenciales y estos obstaculizar las investigaciones, estrategias y acciones, afectando el orden público y la seguridad estatal.</w:t>
      </w:r>
    </w:p>
    <w:p w:rsidR="00D52EEE" w:rsidRPr="00D52EEE" w:rsidRDefault="00D52EEE" w:rsidP="00D52EEE">
      <w:pPr>
        <w:autoSpaceDE w:val="0"/>
        <w:autoSpaceDN w:val="0"/>
        <w:adjustRightInd w:val="0"/>
        <w:spacing w:line="240" w:lineRule="auto"/>
        <w:jc w:val="both"/>
        <w:rPr>
          <w:rFonts w:ascii="Arial" w:hAnsi="Arial" w:cs="Arial"/>
          <w:sz w:val="24"/>
          <w:szCs w:val="24"/>
        </w:rPr>
      </w:pPr>
      <w:r w:rsidRPr="00D52EEE">
        <w:rPr>
          <w:rFonts w:ascii="Arial" w:hAnsi="Arial" w:cs="Arial"/>
          <w:sz w:val="24"/>
          <w:szCs w:val="24"/>
        </w:rPr>
        <w:t>A sabiendas que la información de interés, la función pública a la que está ligada directamente a la investigación y seguridad, al realizar las investigaciones sobre hechos que pueden constituir delitos, dictaminar sobre los hechos que se le encomiendan, comparecer ante Autoridades Judiciales que los requieren. cumplimientos de mandamientos judiciales, propiciando la identificación de los servidores públicos operativos y con ello se compromete su seguridad y la de su familia, dejando además en un grave estado de vulnerabilidad a la institución debido a que sería fácilmente determinar la capacidad de reacción de la corporación ante hechos delictivos y la delincuencia organizada, además de haber una obstrucción en la persecución de delitos.</w:t>
      </w:r>
    </w:p>
    <w:p w:rsidR="00D52EEE" w:rsidRPr="00D52EEE" w:rsidRDefault="00D52EEE" w:rsidP="00D52EEE">
      <w:pPr>
        <w:autoSpaceDE w:val="0"/>
        <w:autoSpaceDN w:val="0"/>
        <w:adjustRightInd w:val="0"/>
        <w:spacing w:line="240" w:lineRule="auto"/>
        <w:jc w:val="both"/>
        <w:rPr>
          <w:rFonts w:ascii="Arial" w:hAnsi="Arial" w:cs="Arial"/>
          <w:sz w:val="24"/>
          <w:szCs w:val="24"/>
        </w:rPr>
      </w:pPr>
      <w:r w:rsidRPr="00D52EEE">
        <w:rPr>
          <w:rFonts w:ascii="Arial" w:hAnsi="Arial" w:cs="Arial"/>
          <w:sz w:val="24"/>
          <w:szCs w:val="24"/>
        </w:rPr>
        <w:t>Así también, los datos que hacen identificables a quienes participan dejando características peculiares como área de adscripción, perfil y cantidad de personal de los Agentes del Ministerio Publico, peritos y policías de la Fiscalía General del Estado, es información que los hacen ubicables para las partes imputadas. incrementando la posibilidad cuando pertenecen a grupos delincuenciales, quienes podrían localizarlos a fin de amedrentar, agredir o sobornar a los servidores públicos para que la resolución de sus indagatorias les beneficie, buscando obstaculizar de este modo la correcta persecución de los delitos. Situaciones previstas en los lineamientos citados, así como en el artículo 126 fracción III de la Ley del Sistema de Seguridad Pública Del Estado de San Luis Potosí y en la Resolución de la Suprema Corte de Justicia de la Nación emitida dentro de la Controversia Constitucional Numero 325/2019;</w:t>
      </w:r>
    </w:p>
    <w:p w:rsidR="00D52EEE" w:rsidRPr="00D52EEE" w:rsidRDefault="00D52EEE" w:rsidP="00D52EEE">
      <w:pPr>
        <w:autoSpaceDE w:val="0"/>
        <w:autoSpaceDN w:val="0"/>
        <w:adjustRightInd w:val="0"/>
        <w:spacing w:line="240" w:lineRule="auto"/>
        <w:jc w:val="both"/>
        <w:rPr>
          <w:rFonts w:ascii="Arial" w:hAnsi="Arial" w:cs="Arial"/>
          <w:sz w:val="24"/>
          <w:szCs w:val="24"/>
        </w:rPr>
      </w:pPr>
      <w:r w:rsidRPr="00D52EEE">
        <w:rPr>
          <w:rFonts w:ascii="Arial" w:hAnsi="Arial" w:cs="Arial"/>
          <w:sz w:val="24"/>
          <w:szCs w:val="24"/>
        </w:rPr>
        <w:lastRenderedPageBreak/>
        <w:t>Además de que publicar: El número total de Ministerios Públicos, policías investigadores, peritos y personal administrativo adscrito a áreas operativas de la Fiscalía General del Estado de San Luis Potosí, que recibieron charlas, talleres o capacitaciones en materia de investigación de delitos con perspectiva de diversidad sexual o charlas, talleres o capacitaciones de sensibilización sobre temas que involucren a personas LGBTIQ+. Permite vincular de forma directa la cantidad de personal operativo de seguridad con que cuenta la Fiscalía, vulnerando la función investigadora, recopilación de evidencia, e integración de carpetas de investigación, es decir, una obstrucción en la persecución de delitos, dado que dar a conocer la cantidad de personas que han sido capacitadas en temas relacionados con la operación del sistema penal acusatorio, es un dato que la delincuencia organizada puede utilizar para esbozar la capacidad de reacción de la Fiscalía.</w:t>
      </w:r>
    </w:p>
    <w:p w:rsidR="00D52EEE" w:rsidRPr="00D52EEE" w:rsidRDefault="00D52EEE" w:rsidP="00D52EEE">
      <w:pPr>
        <w:autoSpaceDE w:val="0"/>
        <w:autoSpaceDN w:val="0"/>
        <w:adjustRightInd w:val="0"/>
        <w:spacing w:line="240" w:lineRule="auto"/>
        <w:jc w:val="both"/>
        <w:rPr>
          <w:rFonts w:ascii="Arial" w:hAnsi="Arial" w:cs="Arial"/>
          <w:sz w:val="24"/>
          <w:szCs w:val="24"/>
        </w:rPr>
      </w:pPr>
      <w:r w:rsidRPr="00D52EEE">
        <w:rPr>
          <w:rFonts w:ascii="Arial" w:hAnsi="Arial" w:cs="Arial"/>
          <w:sz w:val="24"/>
          <w:szCs w:val="24"/>
        </w:rPr>
        <w:t>La información que se reserva válidamente puede formar parte de los registros de la investigación, independientemente de su contenido o naturaleza, y que son estrictamente reservados; la información que sobre la que se emite a reserva, forma parte de la base de datos del Sistema de Seguridad Pública cuya información se señala como reserva en la Ley del Sistema de Seguridad Pública del Estado de San Luis Potosí en los artículos 93, 93 bis, 94, fracciones l y ll, 95 fracción Vl, 97 fracciones I y II, 99, fracciones I y Ill</w:t>
      </w:r>
      <w:r>
        <w:rPr>
          <w:rFonts w:ascii="Arial" w:hAnsi="Arial" w:cs="Arial"/>
          <w:sz w:val="24"/>
          <w:szCs w:val="24"/>
        </w:rPr>
        <w:t>.</w:t>
      </w:r>
    </w:p>
    <w:p w:rsidR="00D52EEE" w:rsidRPr="00D52EEE" w:rsidRDefault="00D52EEE" w:rsidP="00D52EEE">
      <w:pPr>
        <w:autoSpaceDE w:val="0"/>
        <w:autoSpaceDN w:val="0"/>
        <w:adjustRightInd w:val="0"/>
        <w:spacing w:line="240" w:lineRule="auto"/>
        <w:jc w:val="both"/>
        <w:rPr>
          <w:rFonts w:ascii="Arial" w:hAnsi="Arial" w:cs="Arial"/>
          <w:sz w:val="24"/>
          <w:szCs w:val="24"/>
        </w:rPr>
      </w:pPr>
    </w:p>
    <w:p w:rsidR="00D52EEE" w:rsidRPr="00D52EEE" w:rsidRDefault="00D52EEE" w:rsidP="00D52EEE">
      <w:pPr>
        <w:autoSpaceDE w:val="0"/>
        <w:autoSpaceDN w:val="0"/>
        <w:adjustRightInd w:val="0"/>
        <w:spacing w:line="240" w:lineRule="auto"/>
        <w:jc w:val="both"/>
        <w:rPr>
          <w:rFonts w:ascii="Arial" w:hAnsi="Arial" w:cs="Arial"/>
          <w:sz w:val="24"/>
          <w:szCs w:val="24"/>
        </w:rPr>
      </w:pPr>
      <w:r w:rsidRPr="00D52EEE">
        <w:rPr>
          <w:rFonts w:ascii="Arial" w:hAnsi="Arial" w:cs="Arial"/>
          <w:sz w:val="24"/>
          <w:szCs w:val="24"/>
        </w:rPr>
        <w:t>En suma, se advierte que el realizar la divulgación de la información materia del presente Acuerdo de Reserva dejaría en estado de vulnerabilidad ante hechos delictivos y ante la delincuencia organizada, y por qué no incluso exponer a los servidores públicos a corrupción, toda vez que se daría a conocer la capacidad de reacción que tiene la Fiscalía General del Estado, como parte de las estrategias de las organizaciones criminales para seguir perpetuando sus conductas antijurídicas, por lo que la propia reglamentación señala que esta consulta es exclusiva de las instituciones de seguridad pública que estén facultadas en cada caso, a través de los servidores públicos que cada institución designe, por lo que el público no tendrá acceso a la información que en ellos se contenga. Pues, se establece que el personal de esta institución es adscrito a puntos estratégicos, con la finalidad de garantizar los derechos humanos consagrados en el numeral 20 fracción l aparado A) apegándose a diversos principios de corte político criminal, establece que el proceso penal será acusatorio y oral en México y tendrá como objeto:</w:t>
      </w:r>
    </w:p>
    <w:p w:rsidR="00D52EEE" w:rsidRPr="00D52EEE" w:rsidRDefault="00D52EEE" w:rsidP="00D52EEE">
      <w:pPr>
        <w:autoSpaceDE w:val="0"/>
        <w:autoSpaceDN w:val="0"/>
        <w:adjustRightInd w:val="0"/>
        <w:spacing w:after="0" w:line="240" w:lineRule="auto"/>
        <w:jc w:val="both"/>
        <w:rPr>
          <w:rFonts w:ascii="Arial" w:hAnsi="Arial" w:cs="Arial"/>
          <w:sz w:val="24"/>
          <w:szCs w:val="24"/>
        </w:rPr>
      </w:pPr>
      <w:r w:rsidRPr="00D52EEE">
        <w:rPr>
          <w:rFonts w:ascii="Arial" w:hAnsi="Arial" w:cs="Arial"/>
          <w:sz w:val="24"/>
          <w:szCs w:val="24"/>
        </w:rPr>
        <w:t>1) El esclarecimiento de los hechos</w:t>
      </w:r>
    </w:p>
    <w:p w:rsidR="00D52EEE" w:rsidRPr="00D52EEE" w:rsidRDefault="00D52EEE" w:rsidP="00D52EEE">
      <w:pPr>
        <w:autoSpaceDE w:val="0"/>
        <w:autoSpaceDN w:val="0"/>
        <w:adjustRightInd w:val="0"/>
        <w:spacing w:after="0" w:line="240" w:lineRule="auto"/>
        <w:jc w:val="both"/>
        <w:rPr>
          <w:rFonts w:ascii="Arial" w:hAnsi="Arial" w:cs="Arial"/>
          <w:sz w:val="24"/>
          <w:szCs w:val="24"/>
        </w:rPr>
      </w:pPr>
      <w:r w:rsidRPr="00D52EEE">
        <w:rPr>
          <w:rFonts w:ascii="Arial" w:hAnsi="Arial" w:cs="Arial"/>
          <w:sz w:val="24"/>
          <w:szCs w:val="24"/>
        </w:rPr>
        <w:t>2) Proteger al inocente.</w:t>
      </w:r>
    </w:p>
    <w:p w:rsidR="00D52EEE" w:rsidRPr="00D52EEE" w:rsidRDefault="00D52EEE" w:rsidP="00D52EEE">
      <w:pPr>
        <w:autoSpaceDE w:val="0"/>
        <w:autoSpaceDN w:val="0"/>
        <w:adjustRightInd w:val="0"/>
        <w:spacing w:after="0" w:line="240" w:lineRule="auto"/>
        <w:jc w:val="both"/>
        <w:rPr>
          <w:rFonts w:ascii="Arial" w:hAnsi="Arial" w:cs="Arial"/>
          <w:sz w:val="24"/>
          <w:szCs w:val="24"/>
        </w:rPr>
      </w:pPr>
      <w:r w:rsidRPr="00D52EEE">
        <w:rPr>
          <w:rFonts w:ascii="Arial" w:hAnsi="Arial" w:cs="Arial"/>
          <w:sz w:val="24"/>
          <w:szCs w:val="24"/>
        </w:rPr>
        <w:t>3) Procurar que el culpable no quede impune.</w:t>
      </w:r>
    </w:p>
    <w:p w:rsidR="007359E9" w:rsidRPr="009E1D25" w:rsidRDefault="00D52EEE" w:rsidP="00D52EEE">
      <w:pPr>
        <w:autoSpaceDE w:val="0"/>
        <w:autoSpaceDN w:val="0"/>
        <w:adjustRightInd w:val="0"/>
        <w:spacing w:after="0" w:line="240" w:lineRule="auto"/>
        <w:jc w:val="both"/>
        <w:rPr>
          <w:rFonts w:ascii="Arial" w:hAnsi="Arial" w:cs="Arial"/>
          <w:sz w:val="24"/>
          <w:szCs w:val="24"/>
        </w:rPr>
      </w:pPr>
      <w:r w:rsidRPr="00D52EEE">
        <w:rPr>
          <w:rFonts w:ascii="Arial" w:hAnsi="Arial" w:cs="Arial"/>
          <w:sz w:val="24"/>
          <w:szCs w:val="24"/>
        </w:rPr>
        <w:t>4) Que los daños causados por el delito se reparen.</w:t>
      </w:r>
    </w:p>
    <w:p w:rsidR="00BD2602" w:rsidRDefault="00BD2602" w:rsidP="003474AB">
      <w:pPr>
        <w:autoSpaceDE w:val="0"/>
        <w:autoSpaceDN w:val="0"/>
        <w:adjustRightInd w:val="0"/>
        <w:spacing w:line="240" w:lineRule="auto"/>
        <w:jc w:val="both"/>
        <w:rPr>
          <w:rFonts w:ascii="Arial" w:hAnsi="Arial" w:cs="Arial"/>
          <w:sz w:val="24"/>
          <w:szCs w:val="24"/>
          <w:u w:val="single"/>
        </w:rPr>
      </w:pPr>
    </w:p>
    <w:p w:rsidR="00F97B38" w:rsidRDefault="00045C57" w:rsidP="003474AB">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fracciones X</w:t>
      </w:r>
      <w:r w:rsidR="00C63668">
        <w:rPr>
          <w:rFonts w:ascii="Arial" w:hAnsi="Arial" w:cs="Arial"/>
          <w:sz w:val="24"/>
          <w:szCs w:val="24"/>
        </w:rPr>
        <w:t>I</w:t>
      </w:r>
      <w:r w:rsidR="00F97B38" w:rsidRPr="00E26106">
        <w:rPr>
          <w:rFonts w:ascii="Arial" w:hAnsi="Arial" w:cs="Arial"/>
          <w:sz w:val="24"/>
          <w:szCs w:val="24"/>
        </w:rPr>
        <w:t>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lineamiento, Trigésimo segundo,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3474AB">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C63668">
        <w:rPr>
          <w:rFonts w:ascii="Arial" w:hAnsi="Arial" w:cs="Arial"/>
          <w:sz w:val="24"/>
          <w:szCs w:val="24"/>
        </w:rPr>
        <w:t>La Directora General del Instituto Universitario de Ciencias Penales y Forenses Rita Santillán Guzmán</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Artículo 118.</w:t>
      </w:r>
      <w:r w:rsidRPr="00604782">
        <w:rPr>
          <w:rFonts w:ascii="Arial" w:hAnsi="Arial" w:cs="Arial"/>
          <w:i/>
        </w:rPr>
        <w:t xml:space="preserve"> En la aplicación de la prueba de daño, el sujeto obligado deberá justificar que:</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 La divulgación de la información representa un riesgo real, demostrable e identificable de perjuicio significativo al interés público;</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 El riesgo de perjuicio que supondría la divulgación supera el interés público general de que se difunda, y</w:t>
      </w:r>
    </w:p>
    <w:p w:rsidR="00BF3665" w:rsidRPr="00604782" w:rsidRDefault="009819AE" w:rsidP="005F0249">
      <w:pPr>
        <w:spacing w:after="0" w:line="240" w:lineRule="auto"/>
        <w:ind w:left="142" w:right="-93"/>
        <w:jc w:val="both"/>
        <w:rPr>
          <w:rFonts w:ascii="Arial" w:hAnsi="Arial" w:cs="Arial"/>
          <w:i/>
        </w:rPr>
      </w:pPr>
      <w:r w:rsidRPr="00604782">
        <w:rPr>
          <w:rFonts w:ascii="Arial" w:hAnsi="Arial" w:cs="Arial"/>
          <w:i/>
        </w:rPr>
        <w:t>III. La limitación se adecua al principio de proporcionalidad y representa el medio menos restrictivo disponible para evitar el perjuicio.</w:t>
      </w:r>
    </w:p>
    <w:p w:rsidR="003474AB" w:rsidRPr="00604782" w:rsidRDefault="003474AB" w:rsidP="003474AB">
      <w:pPr>
        <w:spacing w:after="0" w:line="240" w:lineRule="auto"/>
        <w:ind w:left="142" w:right="-93"/>
        <w:jc w:val="both"/>
        <w:rPr>
          <w:rFonts w:ascii="Arial" w:hAnsi="Arial" w:cs="Arial"/>
          <w:b/>
          <w:i/>
        </w:rPr>
      </w:pPr>
    </w:p>
    <w:p w:rsidR="00BF3665" w:rsidRPr="00604782" w:rsidRDefault="009819AE" w:rsidP="005F0249">
      <w:pPr>
        <w:spacing w:line="240" w:lineRule="auto"/>
        <w:ind w:left="142" w:right="-93"/>
        <w:jc w:val="both"/>
        <w:rPr>
          <w:rFonts w:ascii="Arial" w:hAnsi="Arial" w:cs="Arial"/>
          <w:i/>
        </w:rPr>
      </w:pPr>
      <w:r w:rsidRPr="00604782">
        <w:rPr>
          <w:rFonts w:ascii="Arial" w:hAnsi="Arial" w:cs="Arial"/>
          <w:b/>
          <w:i/>
        </w:rPr>
        <w:t>Trigésimo tercero</w:t>
      </w:r>
      <w:r w:rsidRPr="00604782">
        <w:rPr>
          <w:rFonts w:ascii="Arial" w:hAnsi="Arial" w:cs="Arial"/>
          <w:i/>
        </w:rPr>
        <w:t>. Para la aplicación de la prueba de daño a la que hace referencia el artículo 104 de la Ley General, los sujetos obligados atenderán lo siguiente: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 xml:space="preserve">Mediante una ponderación entre la medida restrictiva y el derecho de acceso a la información, deberán justificar y probar objetivamente mediante los elementos señalados en la fracción anterior, que la </w:t>
      </w:r>
      <w:r w:rsidRPr="00604782">
        <w:rPr>
          <w:rFonts w:ascii="Arial" w:hAnsi="Arial" w:cs="Arial"/>
          <w:i/>
          <w:sz w:val="22"/>
          <w:szCs w:val="22"/>
        </w:rPr>
        <w:lastRenderedPageBreak/>
        <w:t>publicidad de la información solicitada generaría un riesgo de perjuicio que supera al interés público de que la información se difunda;</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604782" w:rsidRDefault="009819AE" w:rsidP="005F0249">
      <w:pPr>
        <w:pStyle w:val="Prrafodelista"/>
        <w:numPr>
          <w:ilvl w:val="0"/>
          <w:numId w:val="3"/>
        </w:numPr>
        <w:ind w:left="142" w:right="-93" w:firstLine="0"/>
        <w:jc w:val="both"/>
        <w:rPr>
          <w:rFonts w:ascii="Arial" w:hAnsi="Arial" w:cs="Arial"/>
          <w:i/>
          <w:sz w:val="22"/>
          <w:szCs w:val="22"/>
        </w:rPr>
      </w:pPr>
      <w:r w:rsidRPr="00604782">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BD2602" w:rsidRDefault="00BD2602" w:rsidP="00FE05DD">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2C0021">
        <w:rPr>
          <w:rFonts w:ascii="Arial" w:eastAsia="Times New Roman" w:hAnsi="Arial" w:cs="Arial"/>
          <w:sz w:val="24"/>
          <w:szCs w:val="24"/>
          <w:lang w:val="es-ES"/>
        </w:rPr>
        <w:t>l</w:t>
      </w:r>
      <w:r w:rsidR="002C0021">
        <w:rPr>
          <w:rFonts w:ascii="Arial" w:hAnsi="Arial" w:cs="Arial"/>
          <w:sz w:val="24"/>
          <w:szCs w:val="24"/>
        </w:rPr>
        <w:t xml:space="preserve">a </w:t>
      </w:r>
      <w:r w:rsidR="00D52EEE">
        <w:rPr>
          <w:rFonts w:ascii="Arial" w:hAnsi="Arial" w:cs="Arial"/>
          <w:sz w:val="24"/>
          <w:szCs w:val="24"/>
        </w:rPr>
        <w:t xml:space="preserve">Directora General del Instituto Universitario de Ciencias Penales y Forenses Rita Santillán Guzmán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 xml:space="preserve">el impacto de la divulgación puede afectar la confianza pública </w:t>
      </w:r>
      <w:r w:rsidRPr="003F7702">
        <w:rPr>
          <w:rFonts w:ascii="Arial" w:hAnsi="Arial" w:cs="Arial"/>
          <w:sz w:val="24"/>
          <w:szCs w:val="24"/>
        </w:rPr>
        <w:lastRenderedPageBreak/>
        <w:t>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BD2602" w:rsidRDefault="00D52EEE" w:rsidP="003474AB">
      <w:pPr>
        <w:jc w:val="both"/>
        <w:rPr>
          <w:rFonts w:ascii="Arial" w:eastAsiaTheme="minorHAnsi" w:hAnsi="Arial" w:cs="Arial"/>
          <w:color w:val="000000"/>
          <w:sz w:val="23"/>
          <w:szCs w:val="23"/>
          <w:lang w:eastAsia="en-US"/>
        </w:rPr>
      </w:pPr>
      <w:r w:rsidRPr="00D52EEE">
        <w:rPr>
          <w:rFonts w:ascii="Arial" w:eastAsiaTheme="minorHAnsi" w:hAnsi="Arial" w:cs="Arial"/>
          <w:color w:val="000000"/>
          <w:sz w:val="23"/>
          <w:szCs w:val="23"/>
          <w:lang w:eastAsia="en-US"/>
        </w:rPr>
        <w:t>La Dirección General del Instituto Universitario de Ciencias Penales y Forenses procede a acordar la RESERVA PARCIAL de la información que se requiere para dar atención a la Solicitud de Acceso a la información No UT-SI-P-376-240469825000376-2025 únicamente en lo correspondiente al periodo del 13 de agosto de 2024 al 13 de agosto de 2025, del número total de Ministerios Públicos, policías investigadores, peritos y personal administrativo adscrito a áreas operativas de la Fiscalía General del Estado de San Luis Potosí, que recibieron charlas, talleres o capacitaciones en materia de investigación de delitos con perspectiva de diversidad sexual o charlas, talleres o capacitaciones de sensibilización sobre temas que involucren a personas LGBTIQ+.</w:t>
      </w: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Pr="00115CE3"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FE05DD" w:rsidRDefault="00FE05DD" w:rsidP="005F0249">
      <w:pPr>
        <w:spacing w:line="240" w:lineRule="auto"/>
        <w:jc w:val="both"/>
        <w:rPr>
          <w:rFonts w:ascii="Arial" w:eastAsia="Times New Roman"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427CA6">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427CA6">
        <w:rPr>
          <w:rFonts w:ascii="Arial" w:eastAsia="Times New Roman" w:hAnsi="Arial" w:cs="Arial"/>
          <w:b/>
          <w:sz w:val="24"/>
          <w:szCs w:val="24"/>
        </w:rPr>
        <w:t>septiembre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 xml:space="preserve">rigésimo cuarto de los LGCDIEVP. Señalando las razones por las cuales se </w:t>
      </w:r>
      <w:r w:rsidR="009819AE" w:rsidRPr="00115CE3">
        <w:rPr>
          <w:rFonts w:ascii="Arial" w:eastAsia="Times New Roman" w:hAnsi="Arial" w:cs="Arial"/>
          <w:sz w:val="24"/>
          <w:szCs w:val="24"/>
        </w:rPr>
        <w:lastRenderedPageBreak/>
        <w:t>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rPr>
      </w:pPr>
      <w:r>
        <w:rPr>
          <w:rFonts w:ascii="Arial" w:hAnsi="Arial" w:cs="Arial"/>
        </w:rPr>
        <w:t>N</w:t>
      </w:r>
      <w:r w:rsidR="001E22D9" w:rsidRPr="001E22D9">
        <w:rPr>
          <w:rFonts w:ascii="Arial" w:hAnsi="Arial" w:cs="Arial"/>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C63668">
        <w:rPr>
          <w:rFonts w:ascii="Arial" w:hAnsi="Arial" w:cs="Arial"/>
          <w:b/>
          <w:sz w:val="24"/>
          <w:szCs w:val="24"/>
        </w:rPr>
        <w:t>IUCPF/AR/02/2025</w:t>
      </w:r>
      <w:r w:rsidR="00C63668"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2C0021">
        <w:rPr>
          <w:rFonts w:ascii="Arial" w:hAnsi="Arial" w:cs="Arial"/>
          <w:sz w:val="24"/>
          <w:szCs w:val="24"/>
        </w:rPr>
        <w:t>la</w:t>
      </w:r>
      <w:r w:rsidR="00C63668">
        <w:rPr>
          <w:rFonts w:ascii="Arial" w:hAnsi="Arial" w:cs="Arial"/>
          <w:sz w:val="24"/>
          <w:szCs w:val="24"/>
        </w:rPr>
        <w:t xml:space="preserve"> Directora General del Instituto Universitario de Ciencias Penales y Forenses Rita Santillán Guzmán</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2C0021">
        <w:rPr>
          <w:rFonts w:ascii="Arial" w:hAnsi="Arial" w:cs="Arial"/>
          <w:sz w:val="24"/>
          <w:szCs w:val="24"/>
        </w:rPr>
        <w:t xml:space="preserve"> la</w:t>
      </w:r>
      <w:r w:rsidR="00C63668">
        <w:rPr>
          <w:rFonts w:ascii="Arial" w:hAnsi="Arial" w:cs="Arial"/>
          <w:sz w:val="24"/>
          <w:szCs w:val="24"/>
        </w:rPr>
        <w:t xml:space="preserve"> Directora General del Instituto Universitario de Ciencias Penales y Forenses Rita Santillán Guzmán</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 la Directora General del Instituto Universitario de Ciencias Penales y Forenses Rita Santillán Guzmán</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D2602" w:rsidRDefault="00BD2602" w:rsidP="005F0249">
      <w:pPr>
        <w:spacing w:line="240" w:lineRule="auto"/>
        <w:jc w:val="both"/>
        <w:rPr>
          <w:rFonts w:ascii="Arial" w:hAnsi="Arial" w:cs="Arial"/>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5F0249">
      <w:pPr>
        <w:spacing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C63668">
        <w:rPr>
          <w:rFonts w:ascii="Arial" w:hAnsi="Arial" w:cs="Arial"/>
          <w:b/>
          <w:sz w:val="24"/>
          <w:szCs w:val="24"/>
        </w:rPr>
        <w:t>IUCPF/AR/02/2025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2C0021">
        <w:rPr>
          <w:rFonts w:ascii="Arial" w:hAnsi="Arial" w:cs="Arial"/>
          <w:sz w:val="24"/>
          <w:szCs w:val="24"/>
        </w:rPr>
        <w:t>la</w:t>
      </w:r>
      <w:r w:rsidR="00C63668">
        <w:rPr>
          <w:rFonts w:ascii="Arial" w:hAnsi="Arial" w:cs="Arial"/>
          <w:sz w:val="24"/>
          <w:szCs w:val="24"/>
        </w:rPr>
        <w:t xml:space="preserve"> Directora General del Instituto Universitario de Ciencias Penales y Forenses Rita Santillán Guzmán</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E05DD" w:rsidRDefault="00476EF2" w:rsidP="00FE05DD">
      <w:pPr>
        <w:spacing w:line="240" w:lineRule="auto"/>
        <w:jc w:val="both"/>
        <w:rPr>
          <w:rFonts w:ascii="Arial" w:hAnsi="Arial" w:cs="Arial"/>
          <w:sz w:val="24"/>
          <w:szCs w:val="24"/>
        </w:rPr>
      </w:pPr>
      <w:r w:rsidRPr="00115CE3">
        <w:rPr>
          <w:rFonts w:ascii="Arial" w:hAnsi="Arial" w:cs="Arial"/>
          <w:b/>
          <w:sz w:val="24"/>
          <w:szCs w:val="24"/>
        </w:rPr>
        <w:t xml:space="preserve">SEGUNDO. </w:t>
      </w:r>
      <w:r w:rsidR="00FE05DD">
        <w:rPr>
          <w:rFonts w:ascii="Arial" w:hAnsi="Arial" w:cs="Arial"/>
          <w:sz w:val="24"/>
          <w:szCs w:val="24"/>
        </w:rPr>
        <w:t>La Directora General del Instituto Universitario de Ciencias Penales y Forenses Rita Santillán Guzmán</w:t>
      </w:r>
      <w:r w:rsidR="00FE05DD"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FE05DD" w:rsidRPr="00115CE3">
        <w:rPr>
          <w:rFonts w:ascii="Arial" w:hAnsi="Arial" w:cs="Arial"/>
          <w:i/>
          <w:sz w:val="24"/>
          <w:szCs w:val="24"/>
        </w:rPr>
        <w:t>tercero</w:t>
      </w:r>
      <w:r w:rsidR="00FE05DD" w:rsidRPr="00115CE3">
        <w:rPr>
          <w:rFonts w:ascii="Arial" w:hAnsi="Arial" w:cs="Arial"/>
          <w:sz w:val="24"/>
          <w:szCs w:val="24"/>
        </w:rPr>
        <w:t xml:space="preserve"> fracción III de la presente resolución.</w:t>
      </w:r>
    </w:p>
    <w:p w:rsidR="00FE05DD" w:rsidRDefault="00476EF2" w:rsidP="00FE05DD">
      <w:pPr>
        <w:spacing w:line="240" w:lineRule="auto"/>
        <w:jc w:val="both"/>
        <w:rPr>
          <w:rFonts w:ascii="Arial" w:hAnsi="Arial" w:cs="Arial"/>
          <w:sz w:val="24"/>
          <w:szCs w:val="24"/>
        </w:rPr>
      </w:pPr>
      <w:r w:rsidRPr="00115CE3">
        <w:rPr>
          <w:rFonts w:ascii="Arial" w:hAnsi="Arial" w:cs="Arial"/>
          <w:b/>
          <w:sz w:val="24"/>
          <w:szCs w:val="24"/>
        </w:rPr>
        <w:t xml:space="preserve">TERCERO. </w:t>
      </w:r>
      <w:r w:rsidR="00FE05DD" w:rsidRPr="00115CE3">
        <w:rPr>
          <w:rFonts w:ascii="Arial" w:hAnsi="Arial" w:cs="Arial"/>
          <w:sz w:val="24"/>
          <w:szCs w:val="24"/>
        </w:rPr>
        <w:t>Se instruye</w:t>
      </w:r>
      <w:r w:rsidR="00FE05DD">
        <w:rPr>
          <w:rFonts w:ascii="Arial" w:hAnsi="Arial" w:cs="Arial"/>
          <w:sz w:val="24"/>
          <w:szCs w:val="24"/>
        </w:rPr>
        <w:t xml:space="preserve"> a</w:t>
      </w:r>
      <w:r w:rsidR="00FE05DD" w:rsidRPr="00115CE3">
        <w:rPr>
          <w:rFonts w:ascii="Arial" w:hAnsi="Arial" w:cs="Arial"/>
          <w:sz w:val="24"/>
          <w:szCs w:val="24"/>
        </w:rPr>
        <w:t xml:space="preserve"> </w:t>
      </w:r>
      <w:r w:rsidR="00FE05DD">
        <w:rPr>
          <w:rFonts w:ascii="Arial" w:hAnsi="Arial" w:cs="Arial"/>
          <w:sz w:val="24"/>
          <w:szCs w:val="24"/>
        </w:rPr>
        <w:t>la Directora General del Instituto Universitario de Ciencias Penales y Forenses Rita Santillán Guzmán</w:t>
      </w:r>
      <w:r w:rsidR="00FE05DD" w:rsidRPr="00115CE3">
        <w:rPr>
          <w:rFonts w:ascii="Arial" w:hAnsi="Arial" w:cs="Arial"/>
          <w:sz w:val="24"/>
          <w:szCs w:val="24"/>
        </w:rPr>
        <w:t xml:space="preserve">, para que dé cumplimiento a los efectos de la presente resolución establecidos en el considerando </w:t>
      </w:r>
      <w:r w:rsidR="00FE05DD" w:rsidRPr="00115CE3">
        <w:rPr>
          <w:rFonts w:ascii="Arial" w:hAnsi="Arial" w:cs="Arial"/>
          <w:i/>
          <w:sz w:val="24"/>
          <w:szCs w:val="24"/>
        </w:rPr>
        <w:t>tercero</w:t>
      </w:r>
      <w:r w:rsidR="00FE05DD" w:rsidRPr="00115CE3">
        <w:rPr>
          <w:rFonts w:ascii="Arial" w:hAnsi="Arial" w:cs="Arial"/>
          <w:sz w:val="24"/>
          <w:szCs w:val="24"/>
        </w:rPr>
        <w:t xml:space="preserve"> fracción V.</w:t>
      </w:r>
    </w:p>
    <w:bookmarkEnd w:id="1"/>
    <w:p w:rsidR="00C63668" w:rsidRDefault="00C63668" w:rsidP="005F0249">
      <w:pPr>
        <w:spacing w:line="240" w:lineRule="auto"/>
        <w:jc w:val="both"/>
        <w:rPr>
          <w:rFonts w:ascii="Arial" w:hAnsi="Arial" w:cs="Arial"/>
          <w:sz w:val="24"/>
          <w:szCs w:val="24"/>
        </w:rPr>
      </w:pPr>
    </w:p>
    <w:p w:rsidR="0064745D" w:rsidRDefault="009819AE" w:rsidP="005F0249">
      <w:pPr>
        <w:spacing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5F0249">
        <w:rPr>
          <w:rFonts w:ascii="Arial" w:hAnsi="Arial" w:cs="Arial"/>
          <w:b/>
          <w:sz w:val="24"/>
          <w:szCs w:val="24"/>
        </w:rPr>
        <w:t>1</w:t>
      </w:r>
      <w:r w:rsidR="00921930">
        <w:rPr>
          <w:rFonts w:ascii="Arial" w:hAnsi="Arial" w:cs="Arial"/>
          <w:b/>
          <w:sz w:val="24"/>
          <w:szCs w:val="24"/>
        </w:rPr>
        <w:t>6</w:t>
      </w:r>
      <w:r w:rsidR="00C63668">
        <w:rPr>
          <w:rFonts w:ascii="Arial" w:hAnsi="Arial" w:cs="Arial"/>
          <w:b/>
          <w:sz w:val="24"/>
          <w:szCs w:val="24"/>
        </w:rPr>
        <w:t>4</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BF3665" w:rsidRPr="00115CE3" w:rsidRDefault="009819AE" w:rsidP="005F0249">
      <w:pPr>
        <w:spacing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752543" w:rsidRDefault="00752543" w:rsidP="00EF1D58">
      <w:pPr>
        <w:spacing w:after="0"/>
        <w:rPr>
          <w:rFonts w:ascii="Arial" w:hAnsi="Arial" w:cs="Arial"/>
          <w:sz w:val="24"/>
          <w:szCs w:val="24"/>
        </w:rPr>
      </w:pPr>
    </w:p>
    <w:p w:rsidR="004A6229" w:rsidRDefault="004A6229" w:rsidP="00EF1D58">
      <w:pPr>
        <w:spacing w:after="0"/>
        <w:jc w:val="both"/>
        <w:rPr>
          <w:rFonts w:ascii="Arial" w:hAnsi="Arial" w:cs="Arial"/>
          <w:sz w:val="24"/>
          <w:szCs w:val="24"/>
          <w:highlight w:val="yellow"/>
        </w:rPr>
      </w:pPr>
    </w:p>
    <w:p w:rsidR="00C63668" w:rsidRDefault="00C63668" w:rsidP="00EF1D58">
      <w:pPr>
        <w:spacing w:after="0"/>
        <w:jc w:val="both"/>
        <w:rPr>
          <w:rFonts w:ascii="Arial" w:hAnsi="Arial" w:cs="Arial"/>
          <w:sz w:val="24"/>
          <w:szCs w:val="24"/>
          <w:highlight w:val="yellow"/>
        </w:rPr>
      </w:pPr>
    </w:p>
    <w:p w:rsidR="00C63668" w:rsidRPr="00115CE3" w:rsidRDefault="00C63668"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C63668" w:rsidRDefault="00C63668" w:rsidP="00EF1D58">
      <w:pPr>
        <w:tabs>
          <w:tab w:val="left" w:pos="8998"/>
          <w:tab w:val="left" w:pos="9932"/>
        </w:tabs>
        <w:spacing w:before="20" w:after="0"/>
        <w:rPr>
          <w:rFonts w:ascii="Arial" w:eastAsia="Arial" w:hAnsi="Arial" w:cs="Arial"/>
          <w:b/>
          <w:sz w:val="24"/>
          <w:szCs w:val="24"/>
        </w:rPr>
      </w:pPr>
    </w:p>
    <w:p w:rsidR="00C63668" w:rsidRDefault="00C63668" w:rsidP="00EF1D58">
      <w:pPr>
        <w:tabs>
          <w:tab w:val="left" w:pos="8998"/>
          <w:tab w:val="left" w:pos="9932"/>
        </w:tabs>
        <w:spacing w:before="20" w:after="0"/>
        <w:rPr>
          <w:rFonts w:ascii="Arial" w:eastAsia="Arial" w:hAnsi="Arial" w:cs="Arial"/>
          <w:b/>
          <w:sz w:val="24"/>
          <w:szCs w:val="24"/>
        </w:rPr>
      </w:pPr>
    </w:p>
    <w:p w:rsidR="00BD2602" w:rsidRDefault="00BD2602" w:rsidP="00EF1D58">
      <w:pPr>
        <w:tabs>
          <w:tab w:val="left" w:pos="8998"/>
          <w:tab w:val="left" w:pos="9932"/>
        </w:tabs>
        <w:spacing w:before="20" w:after="0"/>
        <w:rPr>
          <w:rFonts w:ascii="Arial" w:eastAsia="Arial" w:hAnsi="Arial" w:cs="Arial"/>
          <w:b/>
          <w:sz w:val="24"/>
          <w:szCs w:val="24"/>
        </w:rPr>
      </w:pPr>
    </w:p>
    <w:p w:rsidR="00BD2602" w:rsidRDefault="00BD260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480799" w:rsidRPr="00115CE3" w:rsidRDefault="00480799" w:rsidP="00EF1D58">
      <w:pPr>
        <w:spacing w:after="0"/>
        <w:rPr>
          <w:rFonts w:ascii="Arial" w:hAnsi="Arial" w:cs="Arial"/>
          <w:b/>
          <w:sz w:val="24"/>
          <w:szCs w:val="24"/>
        </w:rPr>
      </w:pPr>
      <w:r w:rsidRPr="00115CE3">
        <w:rPr>
          <w:rFonts w:ascii="Arial" w:hAnsi="Arial" w:cs="Arial"/>
          <w:b/>
          <w:sz w:val="24"/>
          <w:szCs w:val="24"/>
        </w:rPr>
        <w:t xml:space="preserve">LICENCIADO JOSÉ PEDRO GÓMEZ ÁVILA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2A169C" w:rsidRDefault="002A169C" w:rsidP="00EF1D58">
      <w:pPr>
        <w:spacing w:after="0"/>
        <w:rPr>
          <w:rFonts w:ascii="Arial" w:hAnsi="Arial" w:cs="Arial"/>
          <w:b/>
          <w:sz w:val="24"/>
          <w:szCs w:val="24"/>
        </w:rPr>
      </w:pPr>
    </w:p>
    <w:p w:rsidR="00BD2602" w:rsidRDefault="00BD2602"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C63668" w:rsidRDefault="00C63668"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06D0" w:rsidRDefault="000206D0">
      <w:r>
        <w:separator/>
      </w:r>
    </w:p>
  </w:endnote>
  <w:endnote w:type="continuationSeparator" w:id="0">
    <w:p w:rsidR="000206D0" w:rsidRDefault="00020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B86" w:rsidRDefault="00907B8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B86" w:rsidRDefault="00907B8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06D0" w:rsidRDefault="000206D0">
      <w:r>
        <w:separator/>
      </w:r>
    </w:p>
  </w:footnote>
  <w:footnote w:type="continuationSeparator" w:id="0">
    <w:p w:rsidR="000206D0" w:rsidRDefault="000206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B86" w:rsidRDefault="00907B8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297547" o:spid="_x0000_s4098"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07B8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297548" o:spid="_x0000_s4099" type="#_x0000_t136" style="position:absolute;margin-left:0;margin-top:0;width:602.5pt;height:100.4pt;rotation:315;z-index:-251646976;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3474A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3360" behindDoc="0" locked="0" layoutInCell="1" allowOverlap="1">
              <wp:simplePos x="0" y="0"/>
              <wp:positionH relativeFrom="column">
                <wp:posOffset>-58762</wp:posOffset>
              </wp:positionH>
              <wp:positionV relativeFrom="paragraph">
                <wp:posOffset>49286</wp:posOffset>
              </wp:positionV>
              <wp:extent cx="6484620" cy="400050"/>
              <wp:effectExtent l="19050" t="19050" r="11430" b="19050"/>
              <wp:wrapNone/>
              <wp:docPr id="2" name="2 Cuadro de texto"/>
              <wp:cNvGraphicFramePr/>
              <a:graphic xmlns:a="http://schemas.openxmlformats.org/drawingml/2006/main">
                <a:graphicData uri="http://schemas.microsoft.com/office/word/2010/wordprocessingShape">
                  <wps:wsp>
                    <wps:cNvSpPr txBox="1"/>
                    <wps:spPr>
                      <a:xfrm>
                        <a:off x="0" y="0"/>
                        <a:ext cx="6484620" cy="400050"/>
                      </a:xfrm>
                      <a:prstGeom prst="rect">
                        <a:avLst/>
                      </a:prstGeom>
                      <a:solidFill>
                        <a:schemeClr val="tx1">
                          <a:lumMod val="75000"/>
                          <a:lumOff val="25000"/>
                        </a:schemeClr>
                      </a:solidFill>
                      <a:ln w="28575">
                        <a:solidFill>
                          <a:schemeClr val="accent5">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EEE">
                            <w:rPr>
                              <w:rFonts w:ascii="Arial" w:hAnsi="Arial" w:cs="Arial"/>
                              <w:b/>
                              <w:color w:val="FFFFFF" w:themeColor="background1"/>
                              <w:sz w:val="18"/>
                              <w:szCs w:val="18"/>
                              <w:lang w:val="es-ES"/>
                            </w:rPr>
                            <w:t>IUCPF/AR/02/2025</w:t>
                          </w:r>
                          <w:r w:rsidR="009819AE" w:rsidRPr="00D338A0">
                            <w:rPr>
                              <w:rFonts w:ascii="Arial" w:hAnsi="Arial" w:cs="Arial"/>
                              <w:color w:val="FFFFFF" w:themeColor="background1"/>
                              <w:sz w:val="18"/>
                              <w:szCs w:val="18"/>
                              <w:lang w:val="es-ES"/>
                            </w:rPr>
                            <w:t xml:space="preserve"> que emite </w:t>
                          </w:r>
                          <w:r w:rsidR="002C0021">
                            <w:rPr>
                              <w:rFonts w:ascii="Arial" w:hAnsi="Arial" w:cs="Arial"/>
                              <w:color w:val="FFFFFF" w:themeColor="background1"/>
                              <w:sz w:val="18"/>
                              <w:szCs w:val="18"/>
                              <w:lang w:val="es-ES"/>
                            </w:rPr>
                            <w:t xml:space="preserve">la </w:t>
                          </w:r>
                          <w:r w:rsidR="00D52EEE">
                            <w:rPr>
                              <w:rFonts w:ascii="Arial" w:hAnsi="Arial" w:cs="Arial"/>
                              <w:color w:val="FFFFFF" w:themeColor="background1"/>
                              <w:sz w:val="18"/>
                              <w:szCs w:val="18"/>
                              <w:lang w:val="es-ES"/>
                            </w:rPr>
                            <w:t>Directora General del Instituto Universitario de Ciencias Penales y Forenses</w:t>
                          </w:r>
                          <w:r w:rsidR="009819AE" w:rsidRPr="00D338A0">
                            <w:rPr>
                              <w:rFonts w:ascii="Arial" w:hAnsi="Arial" w:cs="Arial"/>
                              <w:color w:val="FFFFFF" w:themeColor="background1"/>
                              <w:sz w:val="18"/>
                              <w:szCs w:val="18"/>
                              <w:lang w:val="es-ES"/>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4.65pt;margin-top:3.9pt;width:510.6pt;height:31.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" fillcolor="#404040 [2429]" strokecolor="#2f5496 [2408]" strokeweight="2.25pt">
              <v:textbox>
                <w:txbxContent>
                  <w:p w:rsidR="00BF3665" w:rsidRPr="00D338A0" w:rsidRDefault="00335E4C">
                    <w:pPr>
                      <w:jc w:val="both"/>
                      <w:rPr>
                        <w:rFonts w:ascii="Arial" w:hAnsi="Arial" w:cs="Arial"/>
                        <w:color w:val="FFFFFF" w:themeColor="background1"/>
                        <w:sz w:val="18"/>
                        <w:szCs w:val="18"/>
                        <w:lang w:val="es-ES"/>
                      </w:rPr>
                    </w:pPr>
                    <w:r>
                      <w:rPr>
                        <w:rFonts w:ascii="Arial" w:hAnsi="Arial" w:cs="Arial"/>
                        <w:color w:val="FFFFFF" w:themeColor="background1"/>
                        <w:sz w:val="18"/>
                        <w:szCs w:val="18"/>
                        <w:lang w:val="es-ES"/>
                      </w:rPr>
                      <w:t>0</w:t>
                    </w:r>
                    <w:r w:rsidR="008764AA">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764AA">
                      <w:rPr>
                        <w:rFonts w:ascii="Arial" w:hAnsi="Arial" w:cs="Arial"/>
                        <w:color w:val="FFFFFF" w:themeColor="background1"/>
                        <w:sz w:val="18"/>
                        <w:szCs w:val="18"/>
                        <w:lang w:val="es-ES"/>
                      </w:rPr>
                      <w:t>septiembre</w:t>
                    </w:r>
                    <w:r>
                      <w:rPr>
                        <w:rFonts w:ascii="Arial" w:hAnsi="Arial" w:cs="Arial"/>
                        <w:color w:val="FFFFFF" w:themeColor="background1"/>
                        <w:sz w:val="18"/>
                        <w:szCs w:val="18"/>
                        <w:lang w:val="es-ES"/>
                      </w:rPr>
                      <w:t xml:space="preserve"> 2025. </w:t>
                    </w:r>
                    <w:r w:rsidR="008764AA">
                      <w:rPr>
                        <w:rFonts w:ascii="Arial" w:hAnsi="Arial" w:cs="Arial"/>
                        <w:color w:val="FFFFFF" w:themeColor="background1"/>
                        <w:sz w:val="18"/>
                        <w:szCs w:val="18"/>
                      </w:rPr>
                      <w:t>Novena</w:t>
                    </w:r>
                    <w:r w:rsidR="00BB46E7">
                      <w:rPr>
                        <w:rFonts w:ascii="Arial" w:hAnsi="Arial" w:cs="Arial"/>
                        <w:color w:val="FFFFFF" w:themeColor="background1"/>
                        <w:sz w:val="18"/>
                        <w:szCs w:val="18"/>
                      </w:rPr>
                      <w:t xml:space="preserve"> </w:t>
                    </w:r>
                    <w:r w:rsidR="00C246B2" w:rsidRPr="00D338A0">
                      <w:rPr>
                        <w:rFonts w:ascii="Arial" w:hAnsi="Arial" w:cs="Arial"/>
                        <w:color w:val="FFFFFF" w:themeColor="background1"/>
                        <w:sz w:val="18"/>
                        <w:szCs w:val="18"/>
                      </w:rPr>
                      <w:t xml:space="preserve">sesión </w:t>
                    </w:r>
                    <w:r w:rsidR="007F24DE" w:rsidRPr="00D338A0">
                      <w:rPr>
                        <w:rFonts w:ascii="Arial" w:hAnsi="Arial" w:cs="Arial"/>
                        <w:color w:val="FFFFFF" w:themeColor="background1"/>
                        <w:sz w:val="18"/>
                        <w:szCs w:val="18"/>
                      </w:rPr>
                      <w:t xml:space="preserve">ordinaria </w:t>
                    </w:r>
                    <w:r w:rsidR="00C246B2" w:rsidRPr="00D338A0">
                      <w:rPr>
                        <w:rFonts w:ascii="Arial" w:hAnsi="Arial" w:cs="Arial"/>
                        <w:color w:val="FFFFFF" w:themeColor="background1"/>
                        <w:sz w:val="18"/>
                        <w:szCs w:val="18"/>
                      </w:rPr>
                      <w:t>202</w:t>
                    </w:r>
                    <w:r w:rsidR="005E66F3">
                      <w:rPr>
                        <w:rFonts w:ascii="Arial" w:hAnsi="Arial" w:cs="Arial"/>
                        <w:color w:val="FFFFFF" w:themeColor="background1"/>
                        <w:sz w:val="18"/>
                        <w:szCs w:val="18"/>
                      </w:rPr>
                      <w:t>5</w:t>
                    </w:r>
                    <w:r w:rsidR="009819AE" w:rsidRPr="00D338A0">
                      <w:rPr>
                        <w:rFonts w:ascii="Arial" w:hAnsi="Arial" w:cs="Arial"/>
                        <w:color w:val="FFFFFF" w:themeColor="background1"/>
                        <w:sz w:val="18"/>
                        <w:szCs w:val="18"/>
                      </w:rPr>
                      <w:t xml:space="preserve"> del Comité de Transparencia. </w:t>
                    </w:r>
                    <w:r w:rsidR="009819AE" w:rsidRPr="00D338A0">
                      <w:rPr>
                        <w:rFonts w:ascii="Arial" w:hAnsi="Arial" w:cs="Arial"/>
                        <w:color w:val="FFFFFF" w:themeColor="background1"/>
                        <w:sz w:val="18"/>
                        <w:szCs w:val="18"/>
                        <w:lang w:val="es-ES"/>
                      </w:rPr>
                      <w:t xml:space="preserve">Confirmación del </w:t>
                    </w:r>
                    <w:r w:rsidR="00C246B2" w:rsidRPr="00D338A0">
                      <w:rPr>
                        <w:rFonts w:ascii="Arial" w:hAnsi="Arial" w:cs="Arial"/>
                        <w:color w:val="FFFFFF" w:themeColor="background1"/>
                        <w:sz w:val="18"/>
                        <w:szCs w:val="18"/>
                        <w:lang w:val="es-ES"/>
                      </w:rPr>
                      <w:t>a</w:t>
                    </w:r>
                    <w:r w:rsidR="009819AE" w:rsidRPr="00D338A0">
                      <w:rPr>
                        <w:rFonts w:ascii="Arial" w:hAnsi="Arial" w:cs="Arial"/>
                        <w:color w:val="FFFFFF" w:themeColor="background1"/>
                        <w:sz w:val="18"/>
                        <w:szCs w:val="18"/>
                        <w:lang w:val="es-ES"/>
                      </w:rPr>
                      <w:t xml:space="preserve">cuerdo de </w:t>
                    </w:r>
                    <w:r w:rsidR="00C246B2" w:rsidRPr="00D338A0">
                      <w:rPr>
                        <w:rFonts w:ascii="Arial" w:hAnsi="Arial" w:cs="Arial"/>
                        <w:color w:val="FFFFFF" w:themeColor="background1"/>
                        <w:sz w:val="18"/>
                        <w:szCs w:val="18"/>
                        <w:lang w:val="es-ES"/>
                      </w:rPr>
                      <w:t>r</w:t>
                    </w:r>
                    <w:r w:rsidR="009819AE" w:rsidRPr="00D338A0">
                      <w:rPr>
                        <w:rFonts w:ascii="Arial" w:hAnsi="Arial" w:cs="Arial"/>
                        <w:color w:val="FFFFFF" w:themeColor="background1"/>
                        <w:sz w:val="18"/>
                        <w:szCs w:val="18"/>
                        <w:lang w:val="es-ES"/>
                      </w:rPr>
                      <w:t xml:space="preserve">eserva </w:t>
                    </w:r>
                    <w:r w:rsidR="00A1409E">
                      <w:rPr>
                        <w:rFonts w:ascii="Arial" w:hAnsi="Arial" w:cs="Arial"/>
                        <w:b/>
                        <w:color w:val="FFFFFF" w:themeColor="background1"/>
                        <w:sz w:val="18"/>
                        <w:szCs w:val="18"/>
                        <w:lang w:val="es-ES"/>
                      </w:rPr>
                      <w:t>parcial</w:t>
                    </w:r>
                    <w:r w:rsidR="00590B9B" w:rsidRPr="00BA05C2">
                      <w:rPr>
                        <w:rFonts w:ascii="Arial" w:hAnsi="Arial" w:cs="Arial"/>
                        <w:b/>
                        <w:color w:val="FFFFFF" w:themeColor="background1"/>
                        <w:sz w:val="18"/>
                        <w:szCs w:val="18"/>
                        <w:lang w:val="es-ES"/>
                      </w:rPr>
                      <w:t xml:space="preserve"> </w:t>
                    </w:r>
                    <w:r w:rsidR="00D52EEE">
                      <w:rPr>
                        <w:rFonts w:ascii="Arial" w:hAnsi="Arial" w:cs="Arial"/>
                        <w:b/>
                        <w:color w:val="FFFFFF" w:themeColor="background1"/>
                        <w:sz w:val="18"/>
                        <w:szCs w:val="18"/>
                        <w:lang w:val="es-ES"/>
                      </w:rPr>
                      <w:t>IUCPF/AR/02/2025</w:t>
                    </w:r>
                    <w:r w:rsidR="009819AE" w:rsidRPr="00D338A0">
                      <w:rPr>
                        <w:rFonts w:ascii="Arial" w:hAnsi="Arial" w:cs="Arial"/>
                        <w:color w:val="FFFFFF" w:themeColor="background1"/>
                        <w:sz w:val="18"/>
                        <w:szCs w:val="18"/>
                        <w:lang w:val="es-ES"/>
                      </w:rPr>
                      <w:t xml:space="preserve"> que emite </w:t>
                    </w:r>
                    <w:r w:rsidR="002C0021">
                      <w:rPr>
                        <w:rFonts w:ascii="Arial" w:hAnsi="Arial" w:cs="Arial"/>
                        <w:color w:val="FFFFFF" w:themeColor="background1"/>
                        <w:sz w:val="18"/>
                        <w:szCs w:val="18"/>
                        <w:lang w:val="es-ES"/>
                      </w:rPr>
                      <w:t xml:space="preserve">la </w:t>
                    </w:r>
                    <w:r w:rsidR="00D52EEE">
                      <w:rPr>
                        <w:rFonts w:ascii="Arial" w:hAnsi="Arial" w:cs="Arial"/>
                        <w:color w:val="FFFFFF" w:themeColor="background1"/>
                        <w:sz w:val="18"/>
                        <w:szCs w:val="18"/>
                        <w:lang w:val="es-ES"/>
                      </w:rPr>
                      <w:t>Directora General del Instituto Universitario de Ciencias Penales y Forenses</w:t>
                    </w:r>
                    <w:r w:rsidR="009819AE" w:rsidRPr="00D338A0">
                      <w:rPr>
                        <w:rFonts w:ascii="Arial" w:hAnsi="Arial" w:cs="Arial"/>
                        <w:color w:val="FFFFFF" w:themeColor="background1"/>
                        <w:sz w:val="18"/>
                        <w:szCs w:val="18"/>
                        <w:lang w:val="es-ES"/>
                      </w:rPr>
                      <w:t xml:space="preserve">. </w:t>
                    </w:r>
                  </w:p>
                </w:txbxContent>
              </v:textbox>
            </v:shape>
          </w:pict>
        </mc:Fallback>
      </mc:AlternateContent>
    </w:r>
  </w:p>
  <w:p w:rsidR="00BF3665" w:rsidRDefault="00BF3665">
    <w:pPr>
      <w:pStyle w:val="Encabezado"/>
      <w:tabs>
        <w:tab w:val="clear" w:pos="4419"/>
        <w:tab w:val="clear" w:pos="8838"/>
        <w:tab w:val="left" w:pos="812"/>
      </w:tabs>
    </w:pPr>
  </w:p>
  <w:p w:rsidR="00BF3665" w:rsidRDefault="00BF3665">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B86" w:rsidRDefault="00907B8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51297546" o:spid="_x0000_s4097"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53538E2"/>
    <w:multiLevelType w:val="hybridMultilevel"/>
    <w:tmpl w:val="AA24D84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06D0"/>
    <w:rsid w:val="000215E3"/>
    <w:rsid w:val="000302D4"/>
    <w:rsid w:val="000316F8"/>
    <w:rsid w:val="000348C6"/>
    <w:rsid w:val="00035BE7"/>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152F"/>
    <w:rsid w:val="00091F6F"/>
    <w:rsid w:val="00092311"/>
    <w:rsid w:val="00097461"/>
    <w:rsid w:val="000A001A"/>
    <w:rsid w:val="000B4E59"/>
    <w:rsid w:val="000B4E6F"/>
    <w:rsid w:val="000B5998"/>
    <w:rsid w:val="000C04FF"/>
    <w:rsid w:val="000C09C1"/>
    <w:rsid w:val="000C3B69"/>
    <w:rsid w:val="000C4F3A"/>
    <w:rsid w:val="000C7192"/>
    <w:rsid w:val="000D2B3E"/>
    <w:rsid w:val="000D36B3"/>
    <w:rsid w:val="000D536E"/>
    <w:rsid w:val="000D61FB"/>
    <w:rsid w:val="000E151A"/>
    <w:rsid w:val="000E28C2"/>
    <w:rsid w:val="000E33F8"/>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E21D7"/>
    <w:rsid w:val="006E6D1D"/>
    <w:rsid w:val="006F077F"/>
    <w:rsid w:val="006F086E"/>
    <w:rsid w:val="006F6522"/>
    <w:rsid w:val="006F7D0F"/>
    <w:rsid w:val="007007EE"/>
    <w:rsid w:val="0070291D"/>
    <w:rsid w:val="0070596D"/>
    <w:rsid w:val="00710C84"/>
    <w:rsid w:val="00711658"/>
    <w:rsid w:val="007136AC"/>
    <w:rsid w:val="00714D40"/>
    <w:rsid w:val="00717045"/>
    <w:rsid w:val="00717CF8"/>
    <w:rsid w:val="00723AF7"/>
    <w:rsid w:val="00723C7B"/>
    <w:rsid w:val="007248BE"/>
    <w:rsid w:val="007336C3"/>
    <w:rsid w:val="007359E9"/>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71B"/>
    <w:rsid w:val="007D4996"/>
    <w:rsid w:val="007D6423"/>
    <w:rsid w:val="007D6D72"/>
    <w:rsid w:val="007D772B"/>
    <w:rsid w:val="007D7A0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07B86"/>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2764"/>
    <w:rsid w:val="00BB46E7"/>
    <w:rsid w:val="00BB6469"/>
    <w:rsid w:val="00BB6845"/>
    <w:rsid w:val="00BC0B10"/>
    <w:rsid w:val="00BC22A8"/>
    <w:rsid w:val="00BC37ED"/>
    <w:rsid w:val="00BD1CA5"/>
    <w:rsid w:val="00BD2550"/>
    <w:rsid w:val="00BD2602"/>
    <w:rsid w:val="00BD570D"/>
    <w:rsid w:val="00BE587C"/>
    <w:rsid w:val="00BE5C2C"/>
    <w:rsid w:val="00BE5F5D"/>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5574"/>
    <w:rsid w:val="00C760CF"/>
    <w:rsid w:val="00C76C0B"/>
    <w:rsid w:val="00C8519A"/>
    <w:rsid w:val="00C90D83"/>
    <w:rsid w:val="00C925F3"/>
    <w:rsid w:val="00C96F2F"/>
    <w:rsid w:val="00CA1236"/>
    <w:rsid w:val="00CA32D1"/>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F11DE"/>
    <w:rsid w:val="00CF5326"/>
    <w:rsid w:val="00CF5772"/>
    <w:rsid w:val="00D01046"/>
    <w:rsid w:val="00D024F4"/>
    <w:rsid w:val="00D0353D"/>
    <w:rsid w:val="00D06E6C"/>
    <w:rsid w:val="00D07876"/>
    <w:rsid w:val="00D123AA"/>
    <w:rsid w:val="00D14ED2"/>
    <w:rsid w:val="00D156E9"/>
    <w:rsid w:val="00D2520C"/>
    <w:rsid w:val="00D3222A"/>
    <w:rsid w:val="00D338A0"/>
    <w:rsid w:val="00D342D3"/>
    <w:rsid w:val="00D343CB"/>
    <w:rsid w:val="00D37E78"/>
    <w:rsid w:val="00D44519"/>
    <w:rsid w:val="00D44B8D"/>
    <w:rsid w:val="00D4742A"/>
    <w:rsid w:val="00D47683"/>
    <w:rsid w:val="00D511D2"/>
    <w:rsid w:val="00D516AB"/>
    <w:rsid w:val="00D52B99"/>
    <w:rsid w:val="00D52C0F"/>
    <w:rsid w:val="00D52EEE"/>
    <w:rsid w:val="00D534BA"/>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40511"/>
    <w:rsid w:val="00F42B2F"/>
    <w:rsid w:val="00F434DE"/>
    <w:rsid w:val="00F44815"/>
    <w:rsid w:val="00F45354"/>
    <w:rsid w:val="00F46007"/>
    <w:rsid w:val="00F4731A"/>
    <w:rsid w:val="00F47D67"/>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05DD"/>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character" w:customStyle="1" w:styleId="PrrafodelistaCar">
    <w:name w:val="Párrafo de lista Car"/>
    <w:link w:val="Prrafodelista"/>
    <w:uiPriority w:val="34"/>
    <w:locked/>
    <w:rsid w:val="00FE05DD"/>
    <w:rPr>
      <w:rFonts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D08DDF-652D-424A-9552-8842D8CDF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9</Pages>
  <Words>3600</Words>
  <Characters>19801</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6</cp:revision>
  <cp:lastPrinted>2025-07-07T16:07:00Z</cp:lastPrinted>
  <dcterms:created xsi:type="dcterms:W3CDTF">2025-08-30T00:08:00Z</dcterms:created>
  <dcterms:modified xsi:type="dcterms:W3CDTF">2025-09-18T17:04:00Z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