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E043D" w:rsidRDefault="007E043D" w:rsidP="005F0249">
      <w:pPr>
        <w:spacing w:line="240" w:lineRule="auto"/>
        <w:jc w:val="center"/>
        <w:rPr>
          <w:rFonts w:ascii="Arial" w:hAnsi="Arial" w:cs="Arial"/>
          <w:b/>
          <w:sz w:val="24"/>
          <w:szCs w:val="24"/>
        </w:rPr>
      </w:pP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5C464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El Vicefiscal José Pedro Gómez Ávila</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5C4647">
        <w:rPr>
          <w:rFonts w:ascii="Arial" w:hAnsi="Arial" w:cs="Arial"/>
          <w:b/>
          <w:sz w:val="24"/>
          <w:szCs w:val="24"/>
        </w:rPr>
        <w:t>30</w:t>
      </w:r>
      <w:r w:rsidR="00075625">
        <w:rPr>
          <w:rFonts w:ascii="Arial" w:hAnsi="Arial" w:cs="Arial"/>
          <w:b/>
          <w:sz w:val="24"/>
          <w:szCs w:val="24"/>
        </w:rPr>
        <w:t>60</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5C4647">
        <w:rPr>
          <w:rFonts w:ascii="Arial" w:hAnsi="Arial" w:cs="Arial"/>
          <w:b/>
          <w:sz w:val="24"/>
          <w:szCs w:val="24"/>
        </w:rPr>
        <w:t>2</w:t>
      </w:r>
      <w:r w:rsidR="00075625">
        <w:rPr>
          <w:rFonts w:ascii="Arial" w:hAnsi="Arial" w:cs="Arial"/>
          <w:b/>
          <w:sz w:val="24"/>
          <w:szCs w:val="24"/>
        </w:rPr>
        <w:t>1</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7E3176">
        <w:rPr>
          <w:rFonts w:ascii="Arial" w:hAnsi="Arial" w:cs="Arial"/>
          <w:b/>
          <w:sz w:val="24"/>
          <w:szCs w:val="24"/>
        </w:rPr>
        <w:t>89</w:t>
      </w:r>
      <w:r w:rsidR="0053156B" w:rsidRPr="00115CE3">
        <w:rPr>
          <w:rFonts w:ascii="Arial" w:hAnsi="Arial" w:cs="Arial"/>
          <w:sz w:val="24"/>
          <w:szCs w:val="24"/>
        </w:rPr>
        <w:t>-240469825000</w:t>
      </w:r>
      <w:r w:rsidR="005F0249">
        <w:rPr>
          <w:rFonts w:ascii="Arial" w:hAnsi="Arial" w:cs="Arial"/>
          <w:b/>
          <w:sz w:val="24"/>
          <w:szCs w:val="24"/>
        </w:rPr>
        <w:t>3</w:t>
      </w:r>
      <w:r w:rsidR="007E3176">
        <w:rPr>
          <w:rFonts w:ascii="Arial" w:hAnsi="Arial" w:cs="Arial"/>
          <w:b/>
          <w:sz w:val="24"/>
          <w:szCs w:val="24"/>
        </w:rPr>
        <w:t>89</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5C4647">
        <w:rPr>
          <w:rFonts w:ascii="Arial" w:hAnsi="Arial" w:cs="Arial"/>
          <w:b/>
          <w:sz w:val="24"/>
          <w:szCs w:val="24"/>
        </w:rPr>
        <w:t xml:space="preserve">cuya identidad no fue proporcionada, </w:t>
      </w:r>
      <w:r w:rsidR="005C4647">
        <w:rPr>
          <w:rFonts w:ascii="Arial" w:hAnsi="Arial" w:cs="Arial"/>
          <w:sz w:val="24"/>
          <w:szCs w:val="24"/>
        </w:rPr>
        <w:t>y que a la letra se transcribe:</w:t>
      </w:r>
    </w:p>
    <w:p w:rsidR="007E3176" w:rsidRPr="007E3176" w:rsidRDefault="007E3176" w:rsidP="007E3176">
      <w:pPr>
        <w:spacing w:line="240" w:lineRule="auto"/>
        <w:jc w:val="both"/>
        <w:rPr>
          <w:rFonts w:ascii="Arial" w:hAnsi="Arial" w:cs="Arial"/>
          <w:i/>
          <w:sz w:val="24"/>
          <w:szCs w:val="24"/>
        </w:rPr>
      </w:pPr>
      <w:r w:rsidRPr="007E3176">
        <w:rPr>
          <w:rFonts w:ascii="Arial" w:hAnsi="Arial" w:cs="Arial"/>
          <w:i/>
          <w:sz w:val="24"/>
          <w:szCs w:val="24"/>
        </w:rPr>
        <w:t xml:space="preserve">Necesito saber la estadística de carpetas de investigación se abrieron por asaltos a cuentahabientes de bancos de 2022, 2023, 2024 y lo que va de 2025 en todo el estado. </w:t>
      </w:r>
    </w:p>
    <w:p w:rsidR="007E3176" w:rsidRPr="007E3176" w:rsidRDefault="007E3176" w:rsidP="007E3176">
      <w:pPr>
        <w:spacing w:line="240" w:lineRule="auto"/>
        <w:jc w:val="both"/>
        <w:rPr>
          <w:rFonts w:ascii="Arial" w:hAnsi="Arial" w:cs="Arial"/>
          <w:i/>
          <w:sz w:val="24"/>
          <w:szCs w:val="24"/>
        </w:rPr>
      </w:pPr>
      <w:r w:rsidRPr="007E3176">
        <w:rPr>
          <w:rFonts w:ascii="Arial" w:hAnsi="Arial" w:cs="Arial"/>
          <w:i/>
          <w:sz w:val="24"/>
          <w:szCs w:val="24"/>
        </w:rPr>
        <w:t xml:space="preserve">En cuántos de esos asaltos la víctima fue herida o resultó asesinada. Si existe el dato de qué sucursales y bancos son los que más casos de este tipo registran. </w:t>
      </w:r>
    </w:p>
    <w:p w:rsidR="007E3176" w:rsidRPr="007E3176" w:rsidRDefault="007E3176" w:rsidP="007E3176">
      <w:pPr>
        <w:spacing w:line="240" w:lineRule="auto"/>
        <w:jc w:val="both"/>
        <w:rPr>
          <w:rFonts w:ascii="Arial" w:hAnsi="Arial" w:cs="Arial"/>
          <w:i/>
          <w:sz w:val="24"/>
          <w:szCs w:val="24"/>
        </w:rPr>
      </w:pPr>
      <w:r w:rsidRPr="007E3176">
        <w:rPr>
          <w:rFonts w:ascii="Arial" w:hAnsi="Arial" w:cs="Arial"/>
          <w:i/>
          <w:sz w:val="24"/>
          <w:szCs w:val="24"/>
        </w:rPr>
        <w:t xml:space="preserve">En cuántos casos hubo seguimiento de los delincuentes a la víctima hasta la puerta de su domicilio o negocio. </w:t>
      </w:r>
    </w:p>
    <w:p w:rsidR="007E3176" w:rsidRPr="007E3176" w:rsidRDefault="007E3176" w:rsidP="007E3176">
      <w:pPr>
        <w:spacing w:line="240" w:lineRule="auto"/>
        <w:jc w:val="both"/>
        <w:rPr>
          <w:rFonts w:ascii="Arial" w:hAnsi="Arial" w:cs="Arial"/>
          <w:i/>
          <w:sz w:val="24"/>
          <w:szCs w:val="24"/>
        </w:rPr>
      </w:pPr>
      <w:r w:rsidRPr="007E3176">
        <w:rPr>
          <w:rFonts w:ascii="Arial" w:hAnsi="Arial" w:cs="Arial"/>
          <w:i/>
          <w:sz w:val="24"/>
          <w:szCs w:val="24"/>
        </w:rPr>
        <w:t>Cuántas de las víctimas fueron hombres, mujeres o personas de g</w:t>
      </w:r>
      <w:r>
        <w:rPr>
          <w:rFonts w:ascii="Arial" w:hAnsi="Arial" w:cs="Arial"/>
          <w:i/>
          <w:sz w:val="24"/>
          <w:szCs w:val="24"/>
        </w:rPr>
        <w:t>r</w:t>
      </w:r>
      <w:r w:rsidRPr="007E3176">
        <w:rPr>
          <w:rFonts w:ascii="Arial" w:hAnsi="Arial" w:cs="Arial"/>
          <w:i/>
          <w:sz w:val="24"/>
          <w:szCs w:val="24"/>
        </w:rPr>
        <w:t xml:space="preserve">upos vulnerables como adultos mayores. </w:t>
      </w:r>
    </w:p>
    <w:p w:rsidR="007E3176" w:rsidRPr="007E3176" w:rsidRDefault="007E3176" w:rsidP="007E3176">
      <w:pPr>
        <w:spacing w:line="240" w:lineRule="auto"/>
        <w:jc w:val="both"/>
        <w:rPr>
          <w:rFonts w:ascii="Arial" w:hAnsi="Arial" w:cs="Arial"/>
          <w:i/>
          <w:sz w:val="24"/>
          <w:szCs w:val="24"/>
        </w:rPr>
      </w:pPr>
      <w:r w:rsidRPr="007E3176">
        <w:rPr>
          <w:rFonts w:ascii="Arial" w:hAnsi="Arial" w:cs="Arial"/>
          <w:i/>
          <w:sz w:val="24"/>
          <w:szCs w:val="24"/>
        </w:rPr>
        <w:t xml:space="preserve">En cuántos casos se logró frustrar el robo y recuperar el botín, y cuántas personas han sido detenidas por este tipo de delito en los años de referencia. </w:t>
      </w:r>
    </w:p>
    <w:p w:rsidR="007E3176" w:rsidRDefault="007E3176" w:rsidP="007E3176">
      <w:pPr>
        <w:spacing w:line="240" w:lineRule="auto"/>
        <w:jc w:val="both"/>
        <w:rPr>
          <w:rFonts w:ascii="Arial" w:hAnsi="Arial" w:cs="Arial"/>
          <w:i/>
          <w:sz w:val="24"/>
          <w:szCs w:val="24"/>
        </w:rPr>
      </w:pPr>
      <w:r w:rsidRPr="007E3176">
        <w:rPr>
          <w:rFonts w:ascii="Arial" w:hAnsi="Arial" w:cs="Arial"/>
          <w:i/>
          <w:sz w:val="24"/>
          <w:szCs w:val="24"/>
        </w:rPr>
        <w:t>En todos los casos, por favor desglosar, por año, sexo, y lugar (municipio)</w:t>
      </w:r>
    </w:p>
    <w:p w:rsidR="00BF3665" w:rsidRPr="00115CE3" w:rsidRDefault="009819AE" w:rsidP="007E3176">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El Vicefiscal José Pedro Gómez Ávila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w:t>
      </w:r>
      <w:r w:rsidR="005C4647">
        <w:rPr>
          <w:rFonts w:ascii="Arial" w:hAnsi="Arial" w:cs="Arial"/>
          <w:sz w:val="24"/>
          <w:szCs w:val="24"/>
        </w:rPr>
        <w:t xml:space="preserve">parte de </w:t>
      </w:r>
      <w:r w:rsidRPr="00115CE3">
        <w:rPr>
          <w:rFonts w:ascii="Arial" w:hAnsi="Arial" w:cs="Arial"/>
          <w:sz w:val="24"/>
          <w:szCs w:val="24"/>
        </w:rPr>
        <w:t xml:space="preserve">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El Vicefiscal José Pedro Gómez Ávila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5C4647">
        <w:rPr>
          <w:rFonts w:ascii="Arial" w:hAnsi="Arial" w:cs="Arial"/>
          <w:b/>
          <w:sz w:val="24"/>
          <w:szCs w:val="24"/>
        </w:rPr>
        <w:t>2</w:t>
      </w:r>
      <w:r w:rsidR="007E3176">
        <w:rPr>
          <w:rFonts w:ascii="Arial" w:hAnsi="Arial" w:cs="Arial"/>
          <w:b/>
          <w:sz w:val="24"/>
          <w:szCs w:val="24"/>
        </w:rPr>
        <w:t>1</w:t>
      </w:r>
      <w:r w:rsidR="00D5202E">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5C4647">
        <w:rPr>
          <w:rFonts w:ascii="Arial" w:hAnsi="Arial" w:cs="Arial"/>
          <w:b/>
          <w:sz w:val="24"/>
          <w:szCs w:val="24"/>
        </w:rPr>
        <w:t>2</w:t>
      </w:r>
      <w:r w:rsidR="007E3176">
        <w:rPr>
          <w:rFonts w:ascii="Arial" w:hAnsi="Arial" w:cs="Arial"/>
          <w:b/>
          <w:sz w:val="24"/>
          <w:szCs w:val="24"/>
        </w:rPr>
        <w:t>1</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5C4647">
        <w:rPr>
          <w:rFonts w:ascii="Arial" w:hAnsi="Arial" w:cs="Arial"/>
          <w:b/>
          <w:sz w:val="24"/>
          <w:szCs w:val="24"/>
        </w:rPr>
        <w:t>2</w:t>
      </w:r>
      <w:r w:rsidR="007E3176">
        <w:rPr>
          <w:rFonts w:ascii="Arial" w:hAnsi="Arial" w:cs="Arial"/>
          <w:b/>
          <w:sz w:val="24"/>
          <w:szCs w:val="24"/>
        </w:rPr>
        <w:t>1</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7E043D" w:rsidRDefault="007E043D"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7E3176" w:rsidRPr="007E3176" w:rsidRDefault="007336C3" w:rsidP="007E3176">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5C4647" w:rsidRPr="005C4647">
        <w:rPr>
          <w:rFonts w:ascii="Arial" w:hAnsi="Arial" w:cs="Arial"/>
          <w:sz w:val="24"/>
          <w:szCs w:val="24"/>
        </w:rPr>
        <w:t xml:space="preserve"> </w:t>
      </w:r>
      <w:r w:rsidR="007E3176" w:rsidRPr="007E3176">
        <w:rPr>
          <w:rFonts w:ascii="Arial" w:hAnsi="Arial" w:cs="Arial"/>
          <w:sz w:val="24"/>
          <w:szCs w:val="24"/>
        </w:rPr>
        <w:t xml:space="preserve">La difusión del nombre de la sucursal y/o institución bancaria que se encuentran contenidos en las carpetas de investigación en esta </w:t>
      </w:r>
      <w:r w:rsidR="007E3176">
        <w:rPr>
          <w:rFonts w:ascii="Arial" w:hAnsi="Arial" w:cs="Arial"/>
          <w:sz w:val="24"/>
          <w:szCs w:val="24"/>
        </w:rPr>
        <w:t>V</w:t>
      </w:r>
      <w:r w:rsidR="007E3176" w:rsidRPr="007E3176">
        <w:rPr>
          <w:rFonts w:ascii="Arial" w:hAnsi="Arial" w:cs="Arial"/>
          <w:sz w:val="24"/>
          <w:szCs w:val="24"/>
        </w:rPr>
        <w:t xml:space="preserve">icefiscalía, por asaltos a cuentahabientes, registradas en los años 2022, 2023, 2024, al 20 de agosto de 2025, se encuentra considerada como sujeto procesal en investigaciones o acciones que en cierto modo pudieran comprometer las investigaciones, los derechos o reputación de los sujetos procesales, así como el debido proceso, causando un daño de imposible reparación.  Así también,  los datos que hacen identificables a las partes involucradas vertidos en las carpetas de investigación, información que establece como reservada el Código Nacional de Procedimientos Penales en su artículo 218 y los artículos 56, 93, 93 bis, 97 fracciones I y II, de la Ley del Sistema de Seguridad Pública Del Estado de San Luis Potosí, los hacen ubicables para las partes imputadas, incrementando la posibilidad cuando pertenecen a grupos delincuenciales, quienes podrían localizarlos a fin de amedrentar, agredir o sobornar a los </w:t>
      </w:r>
      <w:r w:rsidR="007E3176" w:rsidRPr="007E3176">
        <w:rPr>
          <w:rFonts w:ascii="Arial" w:hAnsi="Arial" w:cs="Arial"/>
          <w:sz w:val="24"/>
          <w:szCs w:val="24"/>
        </w:rPr>
        <w:lastRenderedPageBreak/>
        <w:t xml:space="preserve">servidores públicos para que la resolución de sus indagatorias les beneficie, buscando obstaculizar de este modo la correcta persecución de los delitos. </w:t>
      </w:r>
    </w:p>
    <w:p w:rsidR="00BD2602" w:rsidRPr="005C4647" w:rsidRDefault="007E3176" w:rsidP="007E3176">
      <w:pPr>
        <w:autoSpaceDE w:val="0"/>
        <w:autoSpaceDN w:val="0"/>
        <w:adjustRightInd w:val="0"/>
        <w:spacing w:line="240" w:lineRule="auto"/>
        <w:jc w:val="both"/>
        <w:rPr>
          <w:rFonts w:ascii="Arial" w:hAnsi="Arial" w:cs="Arial"/>
          <w:sz w:val="24"/>
          <w:szCs w:val="24"/>
        </w:rPr>
      </w:pPr>
      <w:r w:rsidRPr="007E3176">
        <w:rPr>
          <w:rFonts w:ascii="Arial" w:hAnsi="Arial" w:cs="Arial"/>
          <w:sz w:val="24"/>
          <w:szCs w:val="24"/>
        </w:rPr>
        <w:t>La divulgación de la información que se busca reservar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ón</w:t>
      </w:r>
      <w:r w:rsidR="007E3176">
        <w:rPr>
          <w:rFonts w:ascii="Arial" w:hAnsi="Arial" w:cs="Arial"/>
          <w:sz w:val="24"/>
          <w:szCs w:val="24"/>
        </w:rPr>
        <w:t xml:space="preserve"> VI, </w:t>
      </w:r>
      <w:r w:rsidR="00D53B1B">
        <w:rPr>
          <w:rFonts w:ascii="Arial" w:hAnsi="Arial" w:cs="Arial"/>
          <w:sz w:val="24"/>
          <w:szCs w:val="24"/>
        </w:rPr>
        <w:t xml:space="preserve"> </w:t>
      </w:r>
      <w:r w:rsidR="007E3176">
        <w:rPr>
          <w:rFonts w:ascii="Arial" w:hAnsi="Arial" w:cs="Arial"/>
          <w:sz w:val="24"/>
          <w:szCs w:val="24"/>
        </w:rPr>
        <w:t>X</w:t>
      </w:r>
      <w:r w:rsidR="00F97B38" w:rsidRPr="00E26106">
        <w:rPr>
          <w:rFonts w:ascii="Arial" w:hAnsi="Arial" w:cs="Arial"/>
          <w:sz w:val="24"/>
          <w:szCs w:val="24"/>
        </w:rPr>
        <w:t>I</w:t>
      </w:r>
      <w:r w:rsidR="007E3176">
        <w:rPr>
          <w:rFonts w:ascii="Arial" w:hAnsi="Arial" w:cs="Arial"/>
          <w:sz w:val="24"/>
          <w:szCs w:val="24"/>
        </w:rPr>
        <w:t xml:space="preserve">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5C4647">
        <w:rPr>
          <w:rFonts w:ascii="Arial" w:hAnsi="Arial" w:cs="Arial"/>
          <w:sz w:val="24"/>
          <w:szCs w:val="24"/>
        </w:rPr>
        <w:t xml:space="preserve">Vigésimo sexto, </w:t>
      </w:r>
      <w:r w:rsidR="00551990" w:rsidRPr="00115CE3">
        <w:rPr>
          <w:rFonts w:ascii="Arial" w:hAnsi="Arial" w:cs="Arial"/>
          <w:sz w:val="24"/>
          <w:szCs w:val="24"/>
        </w:rPr>
        <w:t xml:space="preserve">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El Vicefiscal José Pedro Gómez Ávila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D53B1B">
        <w:rPr>
          <w:rFonts w:ascii="Arial" w:hAnsi="Arial" w:cs="Arial"/>
          <w:i/>
          <w:sz w:val="24"/>
          <w:szCs w:val="24"/>
          <w:lang w:val="es-ES"/>
        </w:rPr>
        <w:t>e</w:t>
      </w:r>
      <w:r w:rsidR="00D5202E" w:rsidRPr="00D53B1B">
        <w:rPr>
          <w:rFonts w:ascii="Arial" w:hAnsi="Arial" w:cs="Arial"/>
          <w:i/>
          <w:sz w:val="24"/>
          <w:szCs w:val="24"/>
        </w:rPr>
        <w:t>l Vicefiscal José Pedro Gómez Ávila</w:t>
      </w:r>
      <w:r w:rsidR="00D5202E">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B75891" w:rsidRDefault="00B75891" w:rsidP="00B75891">
      <w:pPr>
        <w:ind w:right="49"/>
        <w:jc w:val="both"/>
        <w:rPr>
          <w:rFonts w:ascii="Arial" w:hAnsi="Arial" w:cs="Arial"/>
          <w:color w:val="000000" w:themeColor="text1"/>
          <w:sz w:val="24"/>
          <w:szCs w:val="24"/>
          <w:lang w:val="es-ES_tradnl" w:eastAsia="es-ES"/>
        </w:rPr>
      </w:pPr>
      <w:r>
        <w:rPr>
          <w:rFonts w:ascii="Arial" w:hAnsi="Arial" w:cs="Arial"/>
          <w:color w:val="000000" w:themeColor="text1"/>
          <w:sz w:val="24"/>
          <w:szCs w:val="24"/>
          <w:lang w:val="es-ES_tradnl" w:eastAsia="es-ES"/>
        </w:rPr>
        <w:t>I</w:t>
      </w:r>
      <w:r w:rsidRPr="00B75891">
        <w:rPr>
          <w:rFonts w:ascii="Arial" w:hAnsi="Arial" w:cs="Arial"/>
          <w:color w:val="000000" w:themeColor="text1"/>
          <w:sz w:val="24"/>
          <w:szCs w:val="24"/>
          <w:lang w:val="es-ES_tradnl" w:eastAsia="es-ES"/>
        </w:rPr>
        <w:t xml:space="preserve">nformación </w:t>
      </w:r>
      <w:r>
        <w:rPr>
          <w:rFonts w:ascii="Arial" w:hAnsi="Arial" w:cs="Arial"/>
          <w:color w:val="000000" w:themeColor="text1"/>
          <w:sz w:val="24"/>
          <w:szCs w:val="24"/>
          <w:lang w:val="es-ES_tradnl" w:eastAsia="es-ES"/>
        </w:rPr>
        <w:t xml:space="preserve">que deriva de la solicitud número </w:t>
      </w:r>
      <w:r w:rsidRPr="00B75891">
        <w:rPr>
          <w:rFonts w:ascii="Arial" w:hAnsi="Arial" w:cs="Arial"/>
          <w:color w:val="000000" w:themeColor="text1"/>
          <w:sz w:val="24"/>
          <w:szCs w:val="24"/>
          <w:lang w:val="es-ES_tradnl" w:eastAsia="es-ES"/>
        </w:rPr>
        <w:t>con número de folio UT-SI-P-3</w:t>
      </w:r>
      <w:r w:rsidR="007E3176">
        <w:rPr>
          <w:rFonts w:ascii="Arial" w:hAnsi="Arial" w:cs="Arial"/>
          <w:color w:val="000000" w:themeColor="text1"/>
          <w:sz w:val="24"/>
          <w:szCs w:val="24"/>
          <w:lang w:val="es-ES_tradnl" w:eastAsia="es-ES"/>
        </w:rPr>
        <w:t>89</w:t>
      </w:r>
      <w:r w:rsidRPr="00B75891">
        <w:rPr>
          <w:rFonts w:ascii="Arial" w:hAnsi="Arial" w:cs="Arial"/>
          <w:color w:val="000000" w:themeColor="text1"/>
          <w:sz w:val="24"/>
          <w:szCs w:val="24"/>
          <w:lang w:val="es-ES_tradnl" w:eastAsia="es-ES"/>
        </w:rPr>
        <w:t>-24046982500003</w:t>
      </w:r>
      <w:r w:rsidR="007E3176">
        <w:rPr>
          <w:rFonts w:ascii="Arial" w:hAnsi="Arial" w:cs="Arial"/>
          <w:color w:val="000000" w:themeColor="text1"/>
          <w:sz w:val="24"/>
          <w:szCs w:val="24"/>
          <w:lang w:val="es-ES_tradnl" w:eastAsia="es-ES"/>
        </w:rPr>
        <w:t>89</w:t>
      </w:r>
      <w:r w:rsidRPr="00B75891">
        <w:rPr>
          <w:rFonts w:ascii="Arial" w:hAnsi="Arial" w:cs="Arial"/>
          <w:color w:val="000000" w:themeColor="text1"/>
          <w:sz w:val="24"/>
          <w:szCs w:val="24"/>
          <w:lang w:val="es-ES_tradnl" w:eastAsia="es-ES"/>
        </w:rPr>
        <w:t xml:space="preserve">-2025, </w:t>
      </w:r>
      <w:r>
        <w:rPr>
          <w:rFonts w:ascii="Arial" w:hAnsi="Arial" w:cs="Arial"/>
          <w:color w:val="000000" w:themeColor="text1"/>
          <w:sz w:val="24"/>
          <w:szCs w:val="24"/>
          <w:lang w:val="es-ES_tradnl" w:eastAsia="es-ES"/>
        </w:rPr>
        <w:t>únicamente lo relativo a</w:t>
      </w:r>
      <w:r w:rsidRPr="00B75891">
        <w:rPr>
          <w:rFonts w:ascii="Arial" w:hAnsi="Arial" w:cs="Arial"/>
          <w:color w:val="000000" w:themeColor="text1"/>
          <w:sz w:val="24"/>
          <w:szCs w:val="24"/>
          <w:lang w:val="es-ES_tradnl" w:eastAsia="es-ES"/>
        </w:rPr>
        <w:t>:</w:t>
      </w:r>
    </w:p>
    <w:p w:rsidR="007E3176" w:rsidRPr="00D53B1B" w:rsidRDefault="007E3176" w:rsidP="00B75891">
      <w:pPr>
        <w:ind w:right="49"/>
        <w:jc w:val="both"/>
        <w:rPr>
          <w:rFonts w:ascii="Arial" w:hAnsi="Arial" w:cs="Arial"/>
          <w:bCs/>
          <w:color w:val="000000" w:themeColor="text1"/>
          <w:sz w:val="24"/>
          <w:szCs w:val="24"/>
        </w:rPr>
      </w:pPr>
      <w:r w:rsidRPr="007E3176">
        <w:rPr>
          <w:rFonts w:ascii="Arial" w:hAnsi="Arial" w:cs="Arial"/>
          <w:bCs/>
          <w:color w:val="000000" w:themeColor="text1"/>
          <w:sz w:val="24"/>
          <w:szCs w:val="24"/>
        </w:rPr>
        <w:lastRenderedPageBreak/>
        <w:t>“el nombre de la sucursal y/o institución bancaria que se encuentran contenidos en las carpetas de investigación en esta Vicefiscalía, por asaltos a cuentahabientes, registradas en los años 2022, 2023, 2024, al 20 de agosto de 2025”</w:t>
      </w:r>
    </w:p>
    <w:p w:rsidR="00BF3665" w:rsidRPr="005C62A1" w:rsidRDefault="00B75891" w:rsidP="00B75891">
      <w:pPr>
        <w:ind w:right="49" w:firstLine="708"/>
        <w:jc w:val="both"/>
        <w:rPr>
          <w:rFonts w:ascii="Arial" w:hAnsi="Arial" w:cs="Arial"/>
        </w:rPr>
      </w:pPr>
      <w:r w:rsidRPr="00B75891">
        <w:rPr>
          <w:rFonts w:ascii="Arial" w:hAnsi="Arial" w:cs="Arial"/>
          <w:b/>
          <w:color w:val="000000" w:themeColor="text1"/>
          <w:sz w:val="24"/>
          <w:szCs w:val="24"/>
          <w:lang w:val="es-ES_tradnl" w:eastAsia="es-ES"/>
        </w:rPr>
        <w:t>III.</w:t>
      </w:r>
      <w:r>
        <w:rPr>
          <w:rFonts w:ascii="Arial" w:hAnsi="Arial" w:cs="Arial"/>
          <w:color w:val="000000" w:themeColor="text1"/>
          <w:sz w:val="24"/>
          <w:szCs w:val="24"/>
          <w:lang w:val="es-ES_tradnl" w:eastAsia="es-ES"/>
        </w:rPr>
        <w:t xml:space="preserve"> </w:t>
      </w:r>
      <w:r w:rsidR="009819AE" w:rsidRPr="003474AB">
        <w:rPr>
          <w:rFonts w:ascii="Arial" w:hAnsi="Arial" w:cs="Arial"/>
          <w:b/>
        </w:rPr>
        <w:t>El período por el que mantendrá su clasificación y fecha de expedición;</w:t>
      </w: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75891" w:rsidRDefault="00B75891" w:rsidP="005F0249">
      <w:pPr>
        <w:spacing w:line="240" w:lineRule="auto"/>
        <w:jc w:val="both"/>
        <w:rPr>
          <w:rFonts w:ascii="Arial" w:eastAsia="Times New Roman"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B75891" w:rsidRDefault="001E22D9" w:rsidP="00B75891">
      <w:pPr>
        <w:pStyle w:val="Prrafodelista"/>
        <w:numPr>
          <w:ilvl w:val="0"/>
          <w:numId w:val="21"/>
        </w:numPr>
        <w:jc w:val="both"/>
        <w:rPr>
          <w:rFonts w:ascii="Arial" w:hAnsi="Arial" w:cs="Arial"/>
          <w:b/>
        </w:rPr>
      </w:pPr>
      <w:r w:rsidRPr="00B75891">
        <w:rPr>
          <w:rFonts w:ascii="Arial" w:hAnsi="Arial" w:cs="Arial"/>
          <w:b/>
        </w:rPr>
        <w:t>El nombre del titular o área encargada de realizar la revisión pública del documento, en su caso.</w:t>
      </w:r>
    </w:p>
    <w:p w:rsidR="00F12410" w:rsidRDefault="00F12410" w:rsidP="00F12410">
      <w:pPr>
        <w:spacing w:after="0" w:line="240" w:lineRule="auto"/>
        <w:jc w:val="both"/>
        <w:rPr>
          <w:rFonts w:ascii="Arial" w:hAnsi="Arial" w:cs="Arial"/>
        </w:rPr>
      </w:pPr>
    </w:p>
    <w:p w:rsidR="001E22D9" w:rsidRDefault="00A15922" w:rsidP="00F12410">
      <w:pPr>
        <w:spacing w:after="0"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7E043D" w:rsidRDefault="007E043D" w:rsidP="005F0249">
      <w:pPr>
        <w:spacing w:line="240" w:lineRule="auto"/>
        <w:jc w:val="both"/>
        <w:rPr>
          <w:rFonts w:ascii="Arial" w:hAnsi="Arial" w:cs="Arial"/>
        </w:rPr>
      </w:pPr>
    </w:p>
    <w:p w:rsidR="00BF3665" w:rsidRPr="00B75891" w:rsidRDefault="009819AE" w:rsidP="00B75891">
      <w:pPr>
        <w:pStyle w:val="Prrafodelista"/>
        <w:numPr>
          <w:ilvl w:val="0"/>
          <w:numId w:val="21"/>
        </w:numPr>
        <w:jc w:val="both"/>
        <w:rPr>
          <w:rFonts w:ascii="Arial" w:hAnsi="Arial" w:cs="Arial"/>
          <w:b/>
        </w:rPr>
      </w:pPr>
      <w:r w:rsidRPr="00B75891">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B75891">
        <w:rPr>
          <w:rFonts w:ascii="Arial" w:hAnsi="Arial" w:cs="Arial"/>
          <w:b/>
          <w:sz w:val="24"/>
          <w:szCs w:val="24"/>
        </w:rPr>
        <w:t>2</w:t>
      </w:r>
      <w:r w:rsidR="007E3176">
        <w:rPr>
          <w:rFonts w:ascii="Arial" w:hAnsi="Arial" w:cs="Arial"/>
          <w:b/>
          <w:sz w:val="24"/>
          <w:szCs w:val="24"/>
        </w:rPr>
        <w:t>1</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el Vicefiscal José Pedro Gómez Ávila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l Vicefiscal José Pedro Gómez Ávila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l Vicefiscal José Pedro Gómez Ávila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E043D" w:rsidRDefault="007E043D"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B75891">
        <w:rPr>
          <w:rFonts w:ascii="Arial" w:hAnsi="Arial" w:cs="Arial"/>
          <w:b/>
          <w:sz w:val="24"/>
          <w:szCs w:val="24"/>
        </w:rPr>
        <w:t>2</w:t>
      </w:r>
      <w:r w:rsidR="007E3176">
        <w:rPr>
          <w:rFonts w:ascii="Arial" w:hAnsi="Arial" w:cs="Arial"/>
          <w:b/>
          <w:sz w:val="24"/>
          <w:szCs w:val="24"/>
        </w:rPr>
        <w:t>1</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el Vicefiscal José Pedro Gómez Ávila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75891" w:rsidRDefault="00B75891" w:rsidP="00B75891">
      <w:pPr>
        <w:spacing w:after="0"/>
        <w:jc w:val="both"/>
        <w:rPr>
          <w:rFonts w:ascii="Arial" w:hAnsi="Arial" w:cs="Arial"/>
          <w:b/>
          <w:sz w:val="24"/>
          <w:szCs w:val="24"/>
        </w:rPr>
      </w:pPr>
    </w:p>
    <w:p w:rsidR="00B75891" w:rsidRDefault="00476EF2" w:rsidP="00B75891">
      <w:pPr>
        <w:spacing w:after="0"/>
        <w:jc w:val="both"/>
        <w:rPr>
          <w:rFonts w:ascii="Arial" w:hAnsi="Arial" w:cs="Arial"/>
          <w:sz w:val="24"/>
          <w:szCs w:val="24"/>
        </w:rPr>
      </w:pPr>
      <w:r w:rsidRPr="00115CE3">
        <w:rPr>
          <w:rFonts w:ascii="Arial" w:hAnsi="Arial" w:cs="Arial"/>
          <w:b/>
          <w:sz w:val="24"/>
          <w:szCs w:val="24"/>
        </w:rPr>
        <w:t xml:space="preserve">SEGUNDO. </w:t>
      </w:r>
      <w:r w:rsidR="00B75891">
        <w:rPr>
          <w:rFonts w:ascii="Arial" w:hAnsi="Arial" w:cs="Arial"/>
          <w:sz w:val="24"/>
          <w:szCs w:val="24"/>
        </w:rPr>
        <w:t>El Vicefiscal José Pedro Gómez Ávila</w:t>
      </w:r>
      <w:r w:rsidR="00B75891"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B75891" w:rsidRPr="00115CE3">
        <w:rPr>
          <w:rFonts w:ascii="Arial" w:hAnsi="Arial" w:cs="Arial"/>
          <w:i/>
          <w:sz w:val="24"/>
          <w:szCs w:val="24"/>
        </w:rPr>
        <w:t>tercero</w:t>
      </w:r>
      <w:r w:rsidR="00B75891" w:rsidRPr="00115CE3">
        <w:rPr>
          <w:rFonts w:ascii="Arial" w:hAnsi="Arial" w:cs="Arial"/>
          <w:sz w:val="24"/>
          <w:szCs w:val="24"/>
        </w:rPr>
        <w:t xml:space="preserve"> fracción III de la presente resolución.</w:t>
      </w:r>
    </w:p>
    <w:p w:rsidR="007E043D" w:rsidRDefault="007E043D" w:rsidP="007E043D">
      <w:pPr>
        <w:spacing w:after="0"/>
        <w:jc w:val="both"/>
        <w:rPr>
          <w:rFonts w:ascii="Arial" w:hAnsi="Arial" w:cs="Arial"/>
          <w:b/>
          <w:sz w:val="24"/>
          <w:szCs w:val="24"/>
        </w:rPr>
      </w:pPr>
    </w:p>
    <w:p w:rsidR="00B75891" w:rsidRDefault="00476EF2" w:rsidP="00B75891">
      <w:pPr>
        <w:spacing w:after="0"/>
        <w:jc w:val="both"/>
        <w:rPr>
          <w:rFonts w:ascii="Arial" w:hAnsi="Arial" w:cs="Arial"/>
          <w:sz w:val="24"/>
          <w:szCs w:val="24"/>
        </w:rPr>
      </w:pPr>
      <w:r w:rsidRPr="00115CE3">
        <w:rPr>
          <w:rFonts w:ascii="Arial" w:hAnsi="Arial" w:cs="Arial"/>
          <w:b/>
          <w:sz w:val="24"/>
          <w:szCs w:val="24"/>
        </w:rPr>
        <w:t xml:space="preserve">TERCERO. </w:t>
      </w:r>
      <w:bookmarkEnd w:id="1"/>
      <w:r w:rsidR="00B75891" w:rsidRPr="00115CE3">
        <w:rPr>
          <w:rFonts w:ascii="Arial" w:hAnsi="Arial" w:cs="Arial"/>
          <w:sz w:val="24"/>
          <w:szCs w:val="24"/>
        </w:rPr>
        <w:t>Se instruye</w:t>
      </w:r>
      <w:r w:rsidR="00B75891">
        <w:rPr>
          <w:rFonts w:ascii="Arial" w:hAnsi="Arial" w:cs="Arial"/>
          <w:sz w:val="24"/>
          <w:szCs w:val="24"/>
        </w:rPr>
        <w:t xml:space="preserve"> al</w:t>
      </w:r>
      <w:r w:rsidR="00B75891" w:rsidRPr="00115CE3">
        <w:rPr>
          <w:rFonts w:ascii="Arial" w:hAnsi="Arial" w:cs="Arial"/>
          <w:sz w:val="24"/>
          <w:szCs w:val="24"/>
        </w:rPr>
        <w:t xml:space="preserve"> </w:t>
      </w:r>
      <w:r w:rsidR="00B75891">
        <w:rPr>
          <w:rFonts w:ascii="Arial" w:hAnsi="Arial" w:cs="Arial"/>
          <w:sz w:val="24"/>
          <w:szCs w:val="24"/>
        </w:rPr>
        <w:t>Vicefiscal José Pedro Gómez Ávila</w:t>
      </w:r>
      <w:r w:rsidR="00B75891" w:rsidRPr="00115CE3">
        <w:rPr>
          <w:rFonts w:ascii="Arial" w:hAnsi="Arial" w:cs="Arial"/>
          <w:sz w:val="24"/>
          <w:szCs w:val="24"/>
        </w:rPr>
        <w:t xml:space="preserve"> para que dé cumplimiento a los efectos de la presente resolución establecidos en el considerando </w:t>
      </w:r>
      <w:r w:rsidR="00B75891" w:rsidRPr="00115CE3">
        <w:rPr>
          <w:rFonts w:ascii="Arial" w:hAnsi="Arial" w:cs="Arial"/>
          <w:i/>
          <w:sz w:val="24"/>
          <w:szCs w:val="24"/>
        </w:rPr>
        <w:t>tercero</w:t>
      </w:r>
      <w:r w:rsidR="00B75891" w:rsidRPr="00115CE3">
        <w:rPr>
          <w:rFonts w:ascii="Arial" w:hAnsi="Arial" w:cs="Arial"/>
          <w:sz w:val="24"/>
          <w:szCs w:val="24"/>
        </w:rPr>
        <w:t xml:space="preserve"> fracción V.</w:t>
      </w:r>
    </w:p>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891">
        <w:rPr>
          <w:rFonts w:ascii="Arial" w:hAnsi="Arial" w:cs="Arial"/>
          <w:b/>
          <w:sz w:val="24"/>
          <w:szCs w:val="24"/>
        </w:rPr>
        <w:t>7</w:t>
      </w:r>
      <w:r w:rsidR="007E3176">
        <w:rPr>
          <w:rFonts w:ascii="Arial" w:hAnsi="Arial" w:cs="Arial"/>
          <w:b/>
          <w:sz w:val="24"/>
          <w:szCs w:val="24"/>
        </w:rPr>
        <w:t>3</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C63668" w:rsidRDefault="00C63668"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7E043D" w:rsidRPr="00115CE3"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C63668" w:rsidRDefault="00C63668"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636A" w:rsidRDefault="00E1636A">
      <w:r>
        <w:separator/>
      </w:r>
    </w:p>
  </w:endnote>
  <w:endnote w:type="continuationSeparator" w:id="0">
    <w:p w:rsidR="00E1636A" w:rsidRDefault="00E16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66E0" w:rsidRDefault="006A66E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66E0" w:rsidRDefault="006A66E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636A" w:rsidRDefault="00E1636A">
      <w:r>
        <w:separator/>
      </w:r>
    </w:p>
  </w:footnote>
  <w:footnote w:type="continuationSeparator" w:id="0">
    <w:p w:rsidR="00E1636A" w:rsidRDefault="00E163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66E0" w:rsidRDefault="006A66E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59279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6A66E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59279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w:t>
                          </w:r>
                          <w:r w:rsidR="005C4647">
                            <w:rPr>
                              <w:rFonts w:ascii="Arial" w:hAnsi="Arial" w:cs="Arial"/>
                              <w:b/>
                              <w:color w:val="FFFFFF" w:themeColor="background1"/>
                              <w:sz w:val="18"/>
                              <w:szCs w:val="18"/>
                              <w:lang w:val="es-ES"/>
                            </w:rPr>
                            <w:t>2</w:t>
                          </w:r>
                          <w:r w:rsidR="00075625">
                            <w:rPr>
                              <w:rFonts w:ascii="Arial" w:hAnsi="Arial" w:cs="Arial"/>
                              <w:b/>
                              <w:color w:val="FFFFFF" w:themeColor="background1"/>
                              <w:sz w:val="18"/>
                              <w:szCs w:val="18"/>
                              <w:lang w:val="es-ES"/>
                            </w:rPr>
                            <w:t>1</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w:t>
                    </w:r>
                    <w:r w:rsidR="005C4647">
                      <w:rPr>
                        <w:rFonts w:ascii="Arial" w:hAnsi="Arial" w:cs="Arial"/>
                        <w:b/>
                        <w:color w:val="FFFFFF" w:themeColor="background1"/>
                        <w:sz w:val="18"/>
                        <w:szCs w:val="18"/>
                        <w:lang w:val="es-ES"/>
                      </w:rPr>
                      <w:t>2</w:t>
                    </w:r>
                    <w:r w:rsidR="00075625">
                      <w:rPr>
                        <w:rFonts w:ascii="Arial" w:hAnsi="Arial" w:cs="Arial"/>
                        <w:b/>
                        <w:color w:val="FFFFFF" w:themeColor="background1"/>
                        <w:sz w:val="18"/>
                        <w:szCs w:val="18"/>
                        <w:lang w:val="es-ES"/>
                      </w:rPr>
                      <w:t>1</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66E0" w:rsidRDefault="006A66E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59279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86C3D"/>
    <w:multiLevelType w:val="hybridMultilevel"/>
    <w:tmpl w:val="32CE63B0"/>
    <w:lvl w:ilvl="0" w:tplc="4E82614C">
      <w:start w:val="4"/>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0BB43F6"/>
    <w:multiLevelType w:val="hybridMultilevel"/>
    <w:tmpl w:val="FCBC558A"/>
    <w:lvl w:ilvl="0" w:tplc="FD4606FC">
      <w:start w:val="4"/>
      <w:numFmt w:val="upperRoman"/>
      <w:lvlText w:val="%1."/>
      <w:lvlJc w:val="left"/>
      <w:pPr>
        <w:ind w:left="1080" w:hanging="720"/>
      </w:pPr>
      <w:rPr>
        <w:rFonts w:eastAsia="Times New Roman" w:hint="default"/>
        <w:b/>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9"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1"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18"/>
  </w:num>
  <w:num w:numId="4">
    <w:abstractNumId w:val="14"/>
  </w:num>
  <w:num w:numId="5">
    <w:abstractNumId w:val="16"/>
  </w:num>
  <w:num w:numId="6">
    <w:abstractNumId w:val="5"/>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
  </w:num>
  <w:num w:numId="12">
    <w:abstractNumId w:val="8"/>
  </w:num>
  <w:num w:numId="13">
    <w:abstractNumId w:val="2"/>
  </w:num>
  <w:num w:numId="14">
    <w:abstractNumId w:val="12"/>
  </w:num>
  <w:num w:numId="15">
    <w:abstractNumId w:val="13"/>
  </w:num>
  <w:num w:numId="16">
    <w:abstractNumId w:val="3"/>
  </w:num>
  <w:num w:numId="17">
    <w:abstractNumId w:val="17"/>
  </w:num>
  <w:num w:numId="18">
    <w:abstractNumId w:val="19"/>
  </w:num>
  <w:num w:numId="19">
    <w:abstractNumId w:val="11"/>
  </w:num>
  <w:num w:numId="20">
    <w:abstractNumId w:val="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5625"/>
    <w:rsid w:val="000774A6"/>
    <w:rsid w:val="000857A0"/>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57C7"/>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647"/>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A66E0"/>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17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891"/>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2C62"/>
    <w:rsid w:val="00E0610B"/>
    <w:rsid w:val="00E11EFC"/>
    <w:rsid w:val="00E1239C"/>
    <w:rsid w:val="00E1624C"/>
    <w:rsid w:val="00E1636A"/>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2410"/>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2D3821-6221-42AB-99CB-35C673DFA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2602</Words>
  <Characters>14313</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2025-07-07T16:07:00Z</cp:lastPrinted>
  <dcterms:created xsi:type="dcterms:W3CDTF">2025-09-03T16:15:00Z</dcterms:created>
  <dcterms:modified xsi:type="dcterms:W3CDTF">2025-09-18T17:42:00Z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