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E4A86E" w14:textId="33DB144F" w:rsidR="00064693" w:rsidRPr="00064693" w:rsidRDefault="00064693" w:rsidP="00064693">
      <w:pPr>
        <w:spacing w:after="0" w:line="360" w:lineRule="auto"/>
        <w:ind w:firstLine="284"/>
        <w:jc w:val="both"/>
        <w:rPr>
          <w:rFonts w:ascii="Arial" w:eastAsia="Times New Roman" w:hAnsi="Arial" w:cs="Arial"/>
          <w:b/>
          <w:bCs/>
          <w:color w:val="2F5496" w:themeColor="accent1" w:themeShade="BF"/>
          <w:sz w:val="23"/>
          <w:szCs w:val="23"/>
          <w:lang w:val="es-MX" w:eastAsia="es-ES"/>
        </w:rPr>
      </w:pPr>
      <w:r w:rsidRPr="00064693">
        <w:rPr>
          <w:rFonts w:ascii="Arial" w:eastAsia="Times New Roman" w:hAnsi="Arial" w:cs="Arial"/>
          <w:bCs/>
          <w:color w:val="2F5496" w:themeColor="accent1" w:themeShade="BF"/>
          <w:sz w:val="23"/>
          <w:szCs w:val="23"/>
          <w:lang w:val="es-MX" w:eastAsia="es-ES"/>
        </w:rPr>
        <w:t xml:space="preserve">En </w:t>
      </w:r>
      <w:r w:rsidR="00AB3847">
        <w:rPr>
          <w:rFonts w:ascii="Arial" w:eastAsia="Times New Roman" w:hAnsi="Arial" w:cs="Arial"/>
          <w:bCs/>
          <w:color w:val="2F5496" w:themeColor="accent1" w:themeShade="BF"/>
          <w:sz w:val="23"/>
          <w:szCs w:val="23"/>
          <w:lang w:val="es-MX" w:eastAsia="es-ES"/>
        </w:rPr>
        <w:t>diez</w:t>
      </w:r>
      <w:r w:rsidR="00025C1C">
        <w:rPr>
          <w:rFonts w:ascii="Arial" w:eastAsia="Times New Roman" w:hAnsi="Arial" w:cs="Arial"/>
          <w:bCs/>
          <w:color w:val="2F5496" w:themeColor="accent1" w:themeShade="BF"/>
          <w:sz w:val="23"/>
          <w:szCs w:val="23"/>
          <w:lang w:val="es-MX" w:eastAsia="es-ES"/>
        </w:rPr>
        <w:t xml:space="preserve"> de diciembre</w:t>
      </w:r>
      <w:r w:rsidRPr="00064693">
        <w:rPr>
          <w:rFonts w:ascii="Arial" w:eastAsia="Times New Roman" w:hAnsi="Arial" w:cs="Arial"/>
          <w:bCs/>
          <w:color w:val="2F5496" w:themeColor="accent1" w:themeShade="BF"/>
          <w:sz w:val="23"/>
          <w:szCs w:val="23"/>
          <w:lang w:val="es-MX" w:eastAsia="es-ES"/>
        </w:rPr>
        <w:t xml:space="preserve"> de dos mil veinticinco, la suscrita Licenciada Marcela Acosta Ibáñez, Secretaria Proyectista de Ponencia Uno, adscrita a la Comisión Estatal de Garantía de Acceso a la Información Pública, da cuenta al Comisionado Ponente José Gerardo Navarro </w:t>
      </w:r>
      <w:proofErr w:type="spellStart"/>
      <w:r w:rsidRPr="00064693">
        <w:rPr>
          <w:rFonts w:ascii="Arial" w:eastAsia="Times New Roman" w:hAnsi="Arial" w:cs="Arial"/>
          <w:bCs/>
          <w:color w:val="2F5496" w:themeColor="accent1" w:themeShade="BF"/>
          <w:sz w:val="23"/>
          <w:szCs w:val="23"/>
          <w:lang w:val="es-MX" w:eastAsia="es-ES"/>
        </w:rPr>
        <w:t>Alviso</w:t>
      </w:r>
      <w:proofErr w:type="spellEnd"/>
      <w:r w:rsidRPr="00064693">
        <w:rPr>
          <w:rFonts w:ascii="Arial" w:eastAsia="Times New Roman" w:hAnsi="Arial" w:cs="Arial"/>
          <w:bCs/>
          <w:color w:val="2F5496" w:themeColor="accent1" w:themeShade="BF"/>
          <w:sz w:val="23"/>
          <w:szCs w:val="23"/>
          <w:lang w:val="es-MX" w:eastAsia="es-ES"/>
        </w:rPr>
        <w:t xml:space="preserve"> con </w:t>
      </w:r>
      <w:r w:rsidR="000558F0">
        <w:rPr>
          <w:rFonts w:ascii="Arial" w:eastAsia="Times New Roman" w:hAnsi="Arial" w:cs="Arial"/>
          <w:bCs/>
          <w:color w:val="2F5496" w:themeColor="accent1" w:themeShade="BF"/>
          <w:sz w:val="23"/>
          <w:szCs w:val="23"/>
          <w:lang w:val="es-MX" w:eastAsia="es-ES"/>
        </w:rPr>
        <w:t>r</w:t>
      </w:r>
      <w:r w:rsidR="00045306">
        <w:rPr>
          <w:rFonts w:ascii="Arial" w:eastAsia="Times New Roman" w:hAnsi="Arial" w:cs="Arial"/>
          <w:bCs/>
          <w:color w:val="2F5496" w:themeColor="accent1" w:themeShade="BF"/>
          <w:sz w:val="23"/>
          <w:szCs w:val="23"/>
          <w:lang w:val="es-MX" w:eastAsia="es-ES"/>
        </w:rPr>
        <w:t>ecurso de revisión RR-910</w:t>
      </w:r>
      <w:r w:rsidR="000558F0">
        <w:rPr>
          <w:rFonts w:ascii="Arial" w:eastAsia="Times New Roman" w:hAnsi="Arial" w:cs="Arial"/>
          <w:bCs/>
          <w:color w:val="2F5496" w:themeColor="accent1" w:themeShade="BF"/>
          <w:sz w:val="23"/>
          <w:szCs w:val="23"/>
          <w:lang w:val="es-MX" w:eastAsia="es-ES"/>
        </w:rPr>
        <w:t>/2025-1</w:t>
      </w:r>
      <w:r w:rsidRPr="00064693">
        <w:rPr>
          <w:rFonts w:ascii="Arial" w:eastAsia="Times New Roman" w:hAnsi="Arial" w:cs="Arial"/>
          <w:bCs/>
          <w:color w:val="2F5496" w:themeColor="accent1" w:themeShade="BF"/>
          <w:sz w:val="23"/>
          <w:szCs w:val="23"/>
          <w:lang w:eastAsia="es-ES"/>
        </w:rPr>
        <w:t xml:space="preserve">, </w:t>
      </w:r>
      <w:r w:rsidRPr="00064693">
        <w:rPr>
          <w:rFonts w:ascii="Arial" w:eastAsia="Times New Roman" w:hAnsi="Arial" w:cs="Arial"/>
          <w:bCs/>
          <w:color w:val="2F5496" w:themeColor="accent1" w:themeShade="BF"/>
          <w:sz w:val="23"/>
          <w:szCs w:val="23"/>
          <w:lang w:val="es-MX" w:eastAsia="es-ES"/>
        </w:rPr>
        <w:t>lo que se asienta para constancia legal.</w:t>
      </w:r>
      <w:r w:rsidRPr="00064693">
        <w:rPr>
          <w:rFonts w:ascii="Arial" w:eastAsia="Times New Roman" w:hAnsi="Arial" w:cs="Arial"/>
          <w:b/>
          <w:bCs/>
          <w:color w:val="2F5496" w:themeColor="accent1" w:themeShade="BF"/>
          <w:sz w:val="23"/>
          <w:szCs w:val="23"/>
          <w:lang w:val="es-MX" w:eastAsia="es-ES"/>
        </w:rPr>
        <w:t xml:space="preserve"> </w:t>
      </w:r>
      <w:r w:rsidRPr="00064693">
        <w:rPr>
          <w:rFonts w:ascii="Arial" w:eastAsia="Times New Roman" w:hAnsi="Arial" w:cs="Arial"/>
          <w:b/>
          <w:bCs/>
          <w:color w:val="2F5496" w:themeColor="accent1" w:themeShade="BF"/>
          <w:sz w:val="23"/>
          <w:szCs w:val="23"/>
          <w:u w:val="single"/>
          <w:lang w:val="es-MX" w:eastAsia="es-ES"/>
        </w:rPr>
        <w:t>CONSTE.</w:t>
      </w:r>
    </w:p>
    <w:p w14:paraId="5D5308B7" w14:textId="64F373D4" w:rsidR="00064693" w:rsidRDefault="00064693" w:rsidP="00E06B76">
      <w:pPr>
        <w:tabs>
          <w:tab w:val="left" w:pos="6840"/>
        </w:tabs>
        <w:spacing w:line="360" w:lineRule="auto"/>
        <w:jc w:val="both"/>
        <w:outlineLvl w:val="5"/>
        <w:rPr>
          <w:rFonts w:ascii="AvantGarde Bk BT" w:eastAsia="Calibri" w:hAnsi="AvantGarde Bk BT" w:cs="Arial"/>
          <w:sz w:val="24"/>
          <w:lang w:val="es-MX"/>
        </w:rPr>
      </w:pPr>
    </w:p>
    <w:p w14:paraId="1B8237D2" w14:textId="46DD3C12" w:rsidR="0036486B" w:rsidRDefault="00CA777A" w:rsidP="0036486B">
      <w:pPr>
        <w:tabs>
          <w:tab w:val="left" w:pos="6840"/>
        </w:tabs>
        <w:spacing w:line="360" w:lineRule="auto"/>
        <w:ind w:firstLine="680"/>
        <w:jc w:val="both"/>
        <w:outlineLvl w:val="5"/>
        <w:rPr>
          <w:rFonts w:ascii="Arial" w:eastAsia="Calibri" w:hAnsi="Arial" w:cs="Arial"/>
          <w:color w:val="2F5496" w:themeColor="accent1" w:themeShade="BF"/>
          <w:sz w:val="23"/>
          <w:szCs w:val="23"/>
          <w:lang w:val="es-MX"/>
        </w:rPr>
      </w:pPr>
      <w:r w:rsidRPr="00064693">
        <w:rPr>
          <w:rFonts w:ascii="Arial" w:eastAsia="Calibri" w:hAnsi="Arial" w:cs="Arial"/>
          <w:color w:val="2F5496" w:themeColor="accent1" w:themeShade="BF"/>
          <w:sz w:val="23"/>
          <w:szCs w:val="23"/>
          <w:lang w:val="es-MX"/>
        </w:rPr>
        <w:t xml:space="preserve">San Luis Potosí, </w:t>
      </w:r>
      <w:r w:rsidR="00157814" w:rsidRPr="00064693">
        <w:rPr>
          <w:rFonts w:ascii="Arial" w:eastAsia="Calibri" w:hAnsi="Arial" w:cs="Arial"/>
          <w:color w:val="2F5496" w:themeColor="accent1" w:themeShade="BF"/>
          <w:sz w:val="23"/>
          <w:szCs w:val="23"/>
          <w:lang w:val="es-MX"/>
        </w:rPr>
        <w:t xml:space="preserve">San Luis Potosí, a </w:t>
      </w:r>
      <w:r w:rsidR="00AB3847">
        <w:rPr>
          <w:rFonts w:ascii="Arial" w:eastAsia="Calibri" w:hAnsi="Arial" w:cs="Arial"/>
          <w:color w:val="2F5496" w:themeColor="accent1" w:themeShade="BF"/>
          <w:sz w:val="23"/>
          <w:szCs w:val="23"/>
          <w:lang w:val="es-MX"/>
        </w:rPr>
        <w:t>diez</w:t>
      </w:r>
      <w:r w:rsidR="00025C1C">
        <w:rPr>
          <w:rFonts w:ascii="Arial" w:eastAsia="Calibri" w:hAnsi="Arial" w:cs="Arial"/>
          <w:color w:val="2F5496" w:themeColor="accent1" w:themeShade="BF"/>
          <w:sz w:val="23"/>
          <w:szCs w:val="23"/>
          <w:lang w:val="es-MX"/>
        </w:rPr>
        <w:t xml:space="preserve"> de diciembre</w:t>
      </w:r>
      <w:r w:rsidR="00A96ECC" w:rsidRPr="00064693">
        <w:rPr>
          <w:rFonts w:ascii="Arial" w:eastAsia="Calibri" w:hAnsi="Arial" w:cs="Arial"/>
          <w:color w:val="2F5496" w:themeColor="accent1" w:themeShade="BF"/>
          <w:sz w:val="23"/>
          <w:szCs w:val="23"/>
          <w:lang w:val="es-MX"/>
        </w:rPr>
        <w:t xml:space="preserve"> </w:t>
      </w:r>
      <w:r w:rsidR="009D4F38" w:rsidRPr="00064693">
        <w:rPr>
          <w:rFonts w:ascii="Arial" w:eastAsia="Calibri" w:hAnsi="Arial" w:cs="Arial"/>
          <w:color w:val="2F5496" w:themeColor="accent1" w:themeShade="BF"/>
          <w:sz w:val="23"/>
          <w:szCs w:val="23"/>
          <w:lang w:val="es-MX"/>
        </w:rPr>
        <w:t>de dos mil veinti</w:t>
      </w:r>
      <w:r w:rsidR="002F262E" w:rsidRPr="00064693">
        <w:rPr>
          <w:rFonts w:ascii="Arial" w:eastAsia="Calibri" w:hAnsi="Arial" w:cs="Arial"/>
          <w:color w:val="2F5496" w:themeColor="accent1" w:themeShade="BF"/>
          <w:sz w:val="23"/>
          <w:szCs w:val="23"/>
          <w:lang w:val="es-MX"/>
        </w:rPr>
        <w:t>cinco</w:t>
      </w:r>
      <w:r w:rsidRPr="00064693">
        <w:rPr>
          <w:rFonts w:ascii="Arial" w:eastAsia="Calibri" w:hAnsi="Arial" w:cs="Arial"/>
          <w:color w:val="2F5496" w:themeColor="accent1" w:themeShade="BF"/>
          <w:sz w:val="23"/>
          <w:szCs w:val="23"/>
          <w:lang w:val="es-MX"/>
        </w:rPr>
        <w:t>.</w:t>
      </w:r>
    </w:p>
    <w:p w14:paraId="6C95C541" w14:textId="4500F193" w:rsidR="0036486B" w:rsidRDefault="0036486B" w:rsidP="0036486B">
      <w:pPr>
        <w:tabs>
          <w:tab w:val="left" w:pos="6840"/>
        </w:tabs>
        <w:spacing w:line="360" w:lineRule="auto"/>
        <w:ind w:firstLine="680"/>
        <w:jc w:val="both"/>
        <w:outlineLvl w:val="5"/>
        <w:rPr>
          <w:rFonts w:ascii="Arial" w:eastAsia="Times New Roman" w:hAnsi="Arial" w:cs="Arial"/>
          <w:bCs/>
          <w:color w:val="2F5496" w:themeColor="accent1" w:themeShade="BF"/>
          <w:sz w:val="23"/>
          <w:szCs w:val="23"/>
          <w:lang w:eastAsia="es-ES"/>
        </w:rPr>
      </w:pPr>
      <w:r w:rsidRPr="0036486B">
        <w:rPr>
          <w:rFonts w:ascii="Arial" w:eastAsia="Calibri" w:hAnsi="Arial" w:cs="Arial"/>
          <w:b/>
          <w:color w:val="2F5496" w:themeColor="accent1" w:themeShade="BF"/>
          <w:sz w:val="23"/>
          <w:szCs w:val="23"/>
        </w:rPr>
        <w:t>VISTOS.</w:t>
      </w:r>
      <w:r w:rsidRPr="0036486B">
        <w:rPr>
          <w:rFonts w:ascii="Arial" w:eastAsia="Calibri" w:hAnsi="Arial" w:cs="Arial"/>
          <w:color w:val="2F5496" w:themeColor="accent1" w:themeShade="BF"/>
          <w:sz w:val="23"/>
          <w:szCs w:val="23"/>
        </w:rPr>
        <w:t xml:space="preserve"> </w:t>
      </w:r>
      <w:r w:rsidRPr="0036486B">
        <w:rPr>
          <w:rFonts w:ascii="Arial" w:eastAsia="Calibri" w:hAnsi="Arial" w:cs="Arial"/>
          <w:b/>
          <w:color w:val="2F5496" w:themeColor="accent1" w:themeShade="BF"/>
          <w:sz w:val="23"/>
          <w:szCs w:val="23"/>
        </w:rPr>
        <w:t>I.</w:t>
      </w:r>
      <w:r>
        <w:rPr>
          <w:rFonts w:ascii="Arial" w:eastAsia="Calibri" w:hAnsi="Arial" w:cs="Arial"/>
          <w:color w:val="2F5496" w:themeColor="accent1" w:themeShade="BF"/>
          <w:sz w:val="23"/>
          <w:szCs w:val="23"/>
          <w:lang w:val="es-MX"/>
        </w:rPr>
        <w:t xml:space="preserve"> </w:t>
      </w:r>
      <w:r w:rsidR="000558F0">
        <w:rPr>
          <w:rFonts w:ascii="Arial" w:eastAsia="Calibri" w:hAnsi="Arial" w:cs="Arial"/>
          <w:color w:val="2F5496" w:themeColor="accent1" w:themeShade="BF"/>
          <w:sz w:val="23"/>
          <w:szCs w:val="23"/>
          <w:lang w:val="es-MX"/>
        </w:rPr>
        <w:t>E</w:t>
      </w:r>
      <w:r w:rsidR="000558F0" w:rsidRPr="00064693">
        <w:rPr>
          <w:rFonts w:ascii="Arial" w:hAnsi="Arial" w:cs="Arial"/>
          <w:color w:val="2F5496" w:themeColor="accent1" w:themeShade="BF"/>
          <w:sz w:val="23"/>
          <w:szCs w:val="23"/>
        </w:rPr>
        <w:t xml:space="preserve">l </w:t>
      </w:r>
      <w:r w:rsidR="000558F0">
        <w:rPr>
          <w:rFonts w:ascii="Arial" w:hAnsi="Arial" w:cs="Arial"/>
          <w:color w:val="2F5496" w:themeColor="accent1" w:themeShade="BF"/>
          <w:sz w:val="23"/>
          <w:szCs w:val="23"/>
        </w:rPr>
        <w:t>estado que guardan los autos del recurso de revisión en que se actúa</w:t>
      </w:r>
      <w:r>
        <w:rPr>
          <w:rFonts w:ascii="Arial" w:eastAsia="Times New Roman" w:hAnsi="Arial" w:cs="Arial"/>
          <w:bCs/>
          <w:color w:val="2F5496" w:themeColor="accent1" w:themeShade="BF"/>
          <w:sz w:val="23"/>
          <w:szCs w:val="23"/>
          <w:lang w:eastAsia="es-ES"/>
        </w:rPr>
        <w:t xml:space="preserve">; se procede a dictar el siguiente acuerdo: </w:t>
      </w:r>
    </w:p>
    <w:p w14:paraId="65FCEB6F" w14:textId="70CAF76F" w:rsidR="000558F0" w:rsidRPr="0036486B" w:rsidRDefault="0017466D" w:rsidP="000558F0">
      <w:pPr>
        <w:tabs>
          <w:tab w:val="left" w:pos="6840"/>
        </w:tabs>
        <w:spacing w:after="0" w:line="360" w:lineRule="auto"/>
        <w:ind w:firstLine="680"/>
        <w:jc w:val="both"/>
        <w:outlineLvl w:val="5"/>
        <w:rPr>
          <w:rFonts w:ascii="Arial" w:eastAsia="Calibri" w:hAnsi="Arial" w:cs="Arial"/>
          <w:color w:val="2F5496" w:themeColor="accent1" w:themeShade="BF"/>
          <w:sz w:val="23"/>
          <w:szCs w:val="23"/>
          <w:lang w:val="es-MX"/>
        </w:rPr>
      </w:pPr>
      <w:r w:rsidRPr="0017466D">
        <w:rPr>
          <w:rFonts w:ascii="Arial" w:eastAsia="Times New Roman" w:hAnsi="Arial" w:cs="Arial"/>
          <w:b/>
          <w:bCs/>
          <w:color w:val="2F5496" w:themeColor="accent1" w:themeShade="BF"/>
          <w:sz w:val="23"/>
          <w:szCs w:val="23"/>
          <w:lang w:eastAsia="es-ES"/>
        </w:rPr>
        <w:t>PRIMERO.</w:t>
      </w:r>
      <w:r w:rsidR="0036486B">
        <w:rPr>
          <w:rFonts w:ascii="Arial" w:eastAsia="Times New Roman" w:hAnsi="Arial" w:cs="Arial"/>
          <w:bCs/>
          <w:color w:val="2F5496" w:themeColor="accent1" w:themeShade="BF"/>
          <w:sz w:val="23"/>
          <w:szCs w:val="23"/>
          <w:lang w:eastAsia="es-ES"/>
        </w:rPr>
        <w:t xml:space="preserve">  </w:t>
      </w:r>
      <w:r w:rsidR="000558F0">
        <w:rPr>
          <w:rFonts w:ascii="Arial" w:hAnsi="Arial" w:cs="Arial"/>
          <w:color w:val="2F5496" w:themeColor="accent1" w:themeShade="BF"/>
          <w:sz w:val="23"/>
          <w:szCs w:val="23"/>
        </w:rPr>
        <w:t>D</w:t>
      </w:r>
      <w:r w:rsidR="000558F0" w:rsidRPr="00064693">
        <w:rPr>
          <w:rFonts w:ascii="Arial" w:hAnsi="Arial" w:cs="Arial"/>
          <w:color w:val="2F5496" w:themeColor="accent1" w:themeShade="BF"/>
          <w:sz w:val="23"/>
          <w:szCs w:val="23"/>
        </w:rPr>
        <w:t>e una revisión a las constancias que integran el expediente</w:t>
      </w:r>
      <w:r w:rsidR="000558F0">
        <w:rPr>
          <w:rFonts w:ascii="Arial" w:hAnsi="Arial" w:cs="Arial"/>
          <w:color w:val="2F5496" w:themeColor="accent1" w:themeShade="BF"/>
          <w:sz w:val="23"/>
          <w:szCs w:val="23"/>
        </w:rPr>
        <w:t xml:space="preserve"> en que se actúa</w:t>
      </w:r>
      <w:r w:rsidR="000558F0" w:rsidRPr="00064693">
        <w:rPr>
          <w:rFonts w:ascii="Arial" w:hAnsi="Arial" w:cs="Arial"/>
          <w:color w:val="2F5496" w:themeColor="accent1" w:themeShade="BF"/>
          <w:sz w:val="23"/>
          <w:szCs w:val="23"/>
        </w:rPr>
        <w:t xml:space="preserve">, con fundamento en los artículos 8, 10, 27, primer párrafo; 184 y 185 de la Ley de Transparencia y Acceso a la Información Pública del Estado, esta Comisión procede a analizar el presente sumario a efecto de determinar el cumplimiento o incumplimiento a la resolución dictada </w:t>
      </w:r>
      <w:r w:rsidR="000558F0">
        <w:rPr>
          <w:rFonts w:ascii="Arial" w:hAnsi="Arial" w:cs="Arial"/>
          <w:color w:val="2F5496" w:themeColor="accent1" w:themeShade="BF"/>
          <w:sz w:val="23"/>
          <w:szCs w:val="23"/>
        </w:rPr>
        <w:t xml:space="preserve">el </w:t>
      </w:r>
      <w:r w:rsidR="000558F0">
        <w:rPr>
          <w:rFonts w:ascii="Arial" w:eastAsia="Times New Roman" w:hAnsi="Arial" w:cs="Arial"/>
          <w:bCs/>
          <w:color w:val="2F5496" w:themeColor="accent1" w:themeShade="BF"/>
          <w:sz w:val="23"/>
          <w:szCs w:val="23"/>
          <w:lang w:eastAsia="es-ES"/>
        </w:rPr>
        <w:t>cinco de noviembre de dos mil veinticinco</w:t>
      </w:r>
      <w:r w:rsidR="000558F0" w:rsidRPr="00064693">
        <w:rPr>
          <w:rFonts w:ascii="Arial" w:hAnsi="Arial" w:cs="Arial"/>
          <w:color w:val="2F5496" w:themeColor="accent1" w:themeShade="BF"/>
          <w:sz w:val="23"/>
          <w:szCs w:val="23"/>
        </w:rPr>
        <w:t xml:space="preserve"> dentro del recurso de revisión </w:t>
      </w:r>
      <w:r w:rsidR="000558F0" w:rsidRPr="00064693">
        <w:rPr>
          <w:rFonts w:ascii="Arial" w:hAnsi="Arial" w:cs="Arial"/>
          <w:b/>
          <w:color w:val="2F5496" w:themeColor="accent1" w:themeShade="BF"/>
          <w:sz w:val="23"/>
          <w:szCs w:val="23"/>
        </w:rPr>
        <w:t>RR-</w:t>
      </w:r>
      <w:r w:rsidR="000558F0">
        <w:rPr>
          <w:rFonts w:ascii="Arial" w:hAnsi="Arial" w:cs="Arial"/>
          <w:b/>
          <w:color w:val="2F5496" w:themeColor="accent1" w:themeShade="BF"/>
          <w:sz w:val="23"/>
          <w:szCs w:val="23"/>
        </w:rPr>
        <w:t>942</w:t>
      </w:r>
      <w:r w:rsidR="000558F0" w:rsidRPr="00064693">
        <w:rPr>
          <w:rFonts w:ascii="Arial" w:hAnsi="Arial" w:cs="Arial"/>
          <w:b/>
          <w:color w:val="2F5496" w:themeColor="accent1" w:themeShade="BF"/>
          <w:sz w:val="23"/>
          <w:szCs w:val="23"/>
        </w:rPr>
        <w:t>/20</w:t>
      </w:r>
      <w:r w:rsidR="000558F0">
        <w:rPr>
          <w:rFonts w:ascii="Arial" w:hAnsi="Arial" w:cs="Arial"/>
          <w:b/>
          <w:color w:val="2F5496" w:themeColor="accent1" w:themeShade="BF"/>
          <w:sz w:val="23"/>
          <w:szCs w:val="23"/>
        </w:rPr>
        <w:t>25</w:t>
      </w:r>
      <w:r w:rsidR="000558F0" w:rsidRPr="00064693">
        <w:rPr>
          <w:rFonts w:ascii="Arial" w:hAnsi="Arial" w:cs="Arial"/>
          <w:b/>
          <w:color w:val="2F5496" w:themeColor="accent1" w:themeShade="BF"/>
          <w:sz w:val="23"/>
          <w:szCs w:val="23"/>
        </w:rPr>
        <w:t>-1</w:t>
      </w:r>
      <w:r w:rsidR="000558F0" w:rsidRPr="00064693">
        <w:rPr>
          <w:rFonts w:ascii="Arial" w:hAnsi="Arial" w:cs="Arial"/>
          <w:color w:val="2F5496" w:themeColor="accent1" w:themeShade="BF"/>
          <w:sz w:val="23"/>
          <w:szCs w:val="23"/>
        </w:rPr>
        <w:t xml:space="preserve">, </w:t>
      </w:r>
      <w:r w:rsidR="000558F0">
        <w:rPr>
          <w:rFonts w:ascii="Arial" w:hAnsi="Arial" w:cs="Arial"/>
          <w:color w:val="2F5496" w:themeColor="accent1" w:themeShade="BF"/>
          <w:sz w:val="23"/>
          <w:szCs w:val="23"/>
        </w:rPr>
        <w:t>respect</w:t>
      </w:r>
      <w:r w:rsidR="00045306">
        <w:rPr>
          <w:rFonts w:ascii="Arial" w:hAnsi="Arial" w:cs="Arial"/>
          <w:color w:val="2F5496" w:themeColor="accent1" w:themeShade="BF"/>
          <w:sz w:val="23"/>
          <w:szCs w:val="23"/>
        </w:rPr>
        <w:t>o de la respuesta emitida por el</w:t>
      </w:r>
      <w:r w:rsidR="000558F0">
        <w:rPr>
          <w:rFonts w:ascii="Arial" w:hAnsi="Arial" w:cs="Arial"/>
          <w:color w:val="2F5496" w:themeColor="accent1" w:themeShade="BF"/>
          <w:sz w:val="23"/>
          <w:szCs w:val="23"/>
        </w:rPr>
        <w:t xml:space="preserve"> </w:t>
      </w:r>
      <w:r w:rsidR="00045306">
        <w:rPr>
          <w:rFonts w:ascii="Arial" w:hAnsi="Arial" w:cs="Arial"/>
          <w:b/>
          <w:color w:val="2F5496" w:themeColor="accent1" w:themeShade="BF"/>
          <w:sz w:val="23"/>
          <w:szCs w:val="23"/>
        </w:rPr>
        <w:t>Instituto Estatal de Ciegos</w:t>
      </w:r>
      <w:r w:rsidR="000558F0">
        <w:rPr>
          <w:rFonts w:ascii="Arial" w:hAnsi="Arial" w:cs="Arial"/>
          <w:color w:val="2F5496" w:themeColor="accent1" w:themeShade="BF"/>
          <w:sz w:val="23"/>
          <w:szCs w:val="23"/>
        </w:rPr>
        <w:t>, por lo que</w:t>
      </w:r>
      <w:r w:rsidR="000558F0" w:rsidRPr="00064693">
        <w:rPr>
          <w:rFonts w:ascii="Arial" w:hAnsi="Arial" w:cs="Arial"/>
          <w:color w:val="2F5496" w:themeColor="accent1" w:themeShade="BF"/>
          <w:sz w:val="23"/>
          <w:szCs w:val="23"/>
        </w:rPr>
        <w:t xml:space="preserve"> resulta necesario insertar los efectos dictados en la resolución:</w:t>
      </w:r>
    </w:p>
    <w:p w14:paraId="23412013" w14:textId="7F7C62DF" w:rsidR="0081195A" w:rsidRPr="0081195A" w:rsidRDefault="000558F0" w:rsidP="0081195A">
      <w:pPr>
        <w:pStyle w:val="corte4fondo"/>
        <w:tabs>
          <w:tab w:val="left" w:pos="567"/>
        </w:tabs>
        <w:spacing w:line="240" w:lineRule="auto"/>
        <w:ind w:left="680" w:right="680" w:firstLine="0"/>
        <w:rPr>
          <w:rFonts w:cs="Arial"/>
          <w:b/>
          <w:i/>
          <w:color w:val="2F5496" w:themeColor="accent1" w:themeShade="BF"/>
          <w:sz w:val="20"/>
          <w:szCs w:val="23"/>
        </w:rPr>
      </w:pPr>
      <w:r w:rsidRPr="00064693">
        <w:rPr>
          <w:rFonts w:cs="Arial"/>
          <w:color w:val="2F5496" w:themeColor="accent1" w:themeShade="BF"/>
          <w:sz w:val="23"/>
          <w:szCs w:val="23"/>
        </w:rPr>
        <w:t>“</w:t>
      </w:r>
      <w:r w:rsidR="0081195A" w:rsidRPr="0081195A">
        <w:rPr>
          <w:rFonts w:cs="Arial"/>
          <w:b/>
          <w:i/>
          <w:color w:val="2F5496" w:themeColor="accent1" w:themeShade="BF"/>
          <w:sz w:val="20"/>
          <w:szCs w:val="23"/>
        </w:rPr>
        <w:t>5.1. Sentido y efectos de esta resolución.</w:t>
      </w:r>
    </w:p>
    <w:p w14:paraId="652B0A4A" w14:textId="35B3B4FC" w:rsidR="0081195A" w:rsidRPr="0081195A" w:rsidRDefault="0081195A" w:rsidP="0081195A">
      <w:pPr>
        <w:pStyle w:val="corte4fondo"/>
        <w:tabs>
          <w:tab w:val="left" w:pos="567"/>
        </w:tabs>
        <w:spacing w:line="240" w:lineRule="auto"/>
        <w:ind w:left="680" w:right="680" w:firstLine="0"/>
        <w:rPr>
          <w:rFonts w:cs="Arial"/>
          <w:i/>
          <w:color w:val="2F5496" w:themeColor="accent1" w:themeShade="BF"/>
          <w:sz w:val="20"/>
          <w:szCs w:val="23"/>
        </w:rPr>
      </w:pPr>
      <w:r w:rsidRPr="0081195A">
        <w:rPr>
          <w:rFonts w:cs="Arial"/>
          <w:i/>
          <w:color w:val="2F5496" w:themeColor="accent1" w:themeShade="BF"/>
          <w:sz w:val="20"/>
          <w:szCs w:val="23"/>
        </w:rPr>
        <w:t xml:space="preserve">Por las consideraciones expuestas, el Pleno de esta Comisión Estatal de Garantía de Acceso a la Información Pública de conformidad </w:t>
      </w:r>
      <w:r>
        <w:rPr>
          <w:rFonts w:cs="Arial"/>
          <w:i/>
          <w:color w:val="2F5496" w:themeColor="accent1" w:themeShade="BF"/>
          <w:sz w:val="20"/>
          <w:szCs w:val="23"/>
        </w:rPr>
        <w:t>con el artículo 175, fracción III</w:t>
      </w:r>
      <w:r w:rsidRPr="0081195A">
        <w:rPr>
          <w:rFonts w:cs="Arial"/>
          <w:i/>
          <w:color w:val="2F5496" w:themeColor="accent1" w:themeShade="BF"/>
          <w:sz w:val="20"/>
          <w:szCs w:val="23"/>
        </w:rPr>
        <w:t xml:space="preserve"> de la Ley de Transparencia y Acceso a la Información Pública del Estado</w:t>
      </w:r>
      <w:r w:rsidRPr="0081195A">
        <w:rPr>
          <w:rFonts w:cs="Arial"/>
          <w:b/>
          <w:i/>
          <w:color w:val="2F5496" w:themeColor="accent1" w:themeShade="BF"/>
          <w:sz w:val="20"/>
          <w:szCs w:val="23"/>
        </w:rPr>
        <w:t xml:space="preserve"> MODIFICA </w:t>
      </w:r>
      <w:r w:rsidRPr="0081195A">
        <w:rPr>
          <w:rFonts w:cs="Arial"/>
          <w:i/>
          <w:color w:val="2F5496" w:themeColor="accent1" w:themeShade="BF"/>
          <w:sz w:val="20"/>
          <w:szCs w:val="23"/>
        </w:rPr>
        <w:t xml:space="preserve">la respuesta proporcionada por el sujeto </w:t>
      </w:r>
      <w:r w:rsidRPr="0081195A">
        <w:rPr>
          <w:rFonts w:cs="Arial"/>
          <w:i/>
          <w:color w:val="2F5496" w:themeColor="accent1" w:themeShade="BF"/>
          <w:sz w:val="20"/>
          <w:szCs w:val="23"/>
        </w:rPr>
        <w:t>obligado y lo conmina para que:</w:t>
      </w:r>
    </w:p>
    <w:p w14:paraId="3F36B650" w14:textId="77777777" w:rsidR="0081195A" w:rsidRPr="0081195A" w:rsidRDefault="0081195A" w:rsidP="0081195A">
      <w:pPr>
        <w:pStyle w:val="corte4fondo"/>
        <w:numPr>
          <w:ilvl w:val="0"/>
          <w:numId w:val="30"/>
        </w:numPr>
        <w:tabs>
          <w:tab w:val="left" w:pos="567"/>
        </w:tabs>
        <w:spacing w:line="240" w:lineRule="auto"/>
        <w:ind w:left="680" w:right="680" w:firstLine="0"/>
        <w:rPr>
          <w:rFonts w:cs="Arial"/>
          <w:i/>
          <w:color w:val="2F5496" w:themeColor="accent1" w:themeShade="BF"/>
          <w:sz w:val="20"/>
          <w:szCs w:val="23"/>
        </w:rPr>
      </w:pPr>
      <w:r w:rsidRPr="0081195A">
        <w:rPr>
          <w:rFonts w:ascii="Tahoma" w:hAnsi="Tahoma" w:cs="Tahoma"/>
          <w:b/>
          <w:i/>
          <w:color w:val="2F5496" w:themeColor="accent1" w:themeShade="BF"/>
          <w:sz w:val="20"/>
          <w:szCs w:val="23"/>
        </w:rPr>
        <w:t>﻿﻿</w:t>
      </w:r>
      <w:r w:rsidRPr="0081195A">
        <w:rPr>
          <w:rFonts w:cs="Arial"/>
          <w:i/>
          <w:color w:val="2F5496" w:themeColor="accent1" w:themeShade="BF"/>
          <w:sz w:val="20"/>
          <w:szCs w:val="23"/>
        </w:rPr>
        <w:t>Entregue el nombramiento de la Encargada de Despacho del Instituto Estatal de Ciegos.</w:t>
      </w:r>
    </w:p>
    <w:p w14:paraId="1D4D7FB4" w14:textId="36D2B9DC" w:rsidR="000558F0" w:rsidRPr="000558F0" w:rsidRDefault="0081195A" w:rsidP="0081195A">
      <w:pPr>
        <w:pStyle w:val="corte4fondo"/>
        <w:numPr>
          <w:ilvl w:val="0"/>
          <w:numId w:val="30"/>
        </w:numPr>
        <w:tabs>
          <w:tab w:val="left" w:pos="567"/>
        </w:tabs>
        <w:spacing w:after="240" w:line="240" w:lineRule="auto"/>
        <w:ind w:left="680" w:right="680" w:firstLine="0"/>
        <w:rPr>
          <w:rFonts w:cs="Arial"/>
          <w:i/>
          <w:color w:val="2F5496" w:themeColor="accent1" w:themeShade="BF"/>
          <w:sz w:val="23"/>
          <w:szCs w:val="23"/>
        </w:rPr>
      </w:pPr>
      <w:r w:rsidRPr="0081195A">
        <w:rPr>
          <w:rFonts w:ascii="Tahoma" w:hAnsi="Tahoma" w:cs="Tahoma"/>
          <w:i/>
          <w:color w:val="2F5496" w:themeColor="accent1" w:themeShade="BF"/>
          <w:sz w:val="20"/>
          <w:szCs w:val="23"/>
        </w:rPr>
        <w:t>﻿﻿</w:t>
      </w:r>
      <w:r w:rsidRPr="0081195A">
        <w:rPr>
          <w:rFonts w:cs="Arial"/>
          <w:i/>
          <w:color w:val="2F5496" w:themeColor="accent1" w:themeShade="BF"/>
          <w:sz w:val="20"/>
          <w:szCs w:val="23"/>
        </w:rPr>
        <w:t xml:space="preserve">En caso de que aún no se encuentre generado, emita una nueva respuesta en la cual, de manera fundada y motivada, señale las causas que dan lugar </w:t>
      </w:r>
      <w:r w:rsidRPr="0081195A">
        <w:rPr>
          <w:rFonts w:cs="Arial"/>
          <w:i/>
          <w:color w:val="2F5496" w:themeColor="accent1" w:themeShade="BF"/>
          <w:sz w:val="20"/>
          <w:szCs w:val="23"/>
        </w:rPr>
        <w:t>a la inexistencia del documento</w:t>
      </w:r>
      <w:r w:rsidR="000558F0" w:rsidRPr="000558F0">
        <w:rPr>
          <w:rFonts w:cs="Arial"/>
          <w:i/>
          <w:color w:val="2F5496" w:themeColor="accent1" w:themeShade="BF"/>
          <w:sz w:val="22"/>
          <w:szCs w:val="23"/>
        </w:rPr>
        <w:t>.</w:t>
      </w:r>
      <w:r w:rsidR="000558F0" w:rsidRPr="000558F0">
        <w:rPr>
          <w:rFonts w:cs="Arial"/>
          <w:color w:val="2F5496" w:themeColor="accent1" w:themeShade="BF"/>
          <w:sz w:val="23"/>
          <w:szCs w:val="23"/>
        </w:rPr>
        <w:t>”</w:t>
      </w:r>
    </w:p>
    <w:p w14:paraId="16EE189D" w14:textId="16E2A5E0" w:rsidR="000558F0" w:rsidRDefault="000558F0" w:rsidP="000558F0">
      <w:pPr>
        <w:pStyle w:val="corte4fondo"/>
        <w:tabs>
          <w:tab w:val="left" w:pos="567"/>
        </w:tabs>
        <w:rPr>
          <w:rFonts w:cs="Arial"/>
          <w:color w:val="2F5496" w:themeColor="accent1" w:themeShade="BF"/>
          <w:sz w:val="23"/>
          <w:szCs w:val="23"/>
        </w:rPr>
      </w:pPr>
      <w:r w:rsidRPr="00064693">
        <w:rPr>
          <w:rFonts w:cs="Arial"/>
          <w:color w:val="2F5496" w:themeColor="accent1" w:themeShade="BF"/>
          <w:sz w:val="23"/>
          <w:szCs w:val="23"/>
        </w:rPr>
        <w:t>Derivado de lo anterior, el sujeto obligado</w:t>
      </w:r>
      <w:r w:rsidR="009D3DBA">
        <w:rPr>
          <w:rFonts w:cs="Arial"/>
          <w:color w:val="2F5496" w:themeColor="accent1" w:themeShade="BF"/>
          <w:sz w:val="23"/>
          <w:szCs w:val="23"/>
        </w:rPr>
        <w:t xml:space="preserve">, por conducto del </w:t>
      </w:r>
      <w:r w:rsidR="009D3DBA" w:rsidRPr="009D3DBA">
        <w:rPr>
          <w:rFonts w:cs="Arial"/>
          <w:color w:val="2F5496" w:themeColor="accent1" w:themeShade="BF"/>
          <w:sz w:val="23"/>
          <w:szCs w:val="23"/>
        </w:rPr>
        <w:t>Director de Construcción y Conservación</w:t>
      </w:r>
      <w:r w:rsidR="009D3DBA">
        <w:rPr>
          <w:rFonts w:cs="Arial"/>
          <w:color w:val="2F5496" w:themeColor="accent1" w:themeShade="BF"/>
          <w:sz w:val="23"/>
          <w:szCs w:val="23"/>
        </w:rPr>
        <w:t>,</w:t>
      </w:r>
      <w:r w:rsidRPr="009D3DBA">
        <w:rPr>
          <w:rFonts w:cs="Arial"/>
          <w:color w:val="2F5496" w:themeColor="accent1" w:themeShade="BF"/>
          <w:sz w:val="23"/>
          <w:szCs w:val="23"/>
        </w:rPr>
        <w:t xml:space="preserve"> </w:t>
      </w:r>
      <w:r w:rsidRPr="00064693">
        <w:rPr>
          <w:rFonts w:cs="Arial"/>
          <w:color w:val="2F5496" w:themeColor="accent1" w:themeShade="BF"/>
          <w:sz w:val="23"/>
          <w:szCs w:val="23"/>
        </w:rPr>
        <w:t>emitió una nueva respuesta en los siguientes términos:</w:t>
      </w:r>
    </w:p>
    <w:p w14:paraId="4732FBA7" w14:textId="77777777" w:rsidR="000558F0" w:rsidRPr="007F1813" w:rsidRDefault="000558F0" w:rsidP="000558F0">
      <w:pPr>
        <w:pStyle w:val="corte4fondo"/>
        <w:tabs>
          <w:tab w:val="left" w:pos="567"/>
        </w:tabs>
        <w:spacing w:line="240" w:lineRule="auto"/>
        <w:ind w:left="680" w:right="680" w:firstLine="0"/>
        <w:rPr>
          <w:rFonts w:cs="Arial"/>
          <w:i/>
          <w:color w:val="2F5496" w:themeColor="accent1" w:themeShade="BF"/>
          <w:sz w:val="20"/>
          <w:szCs w:val="20"/>
          <w:lang w:val="es-MX"/>
        </w:rPr>
      </w:pPr>
      <w:r w:rsidRPr="00570FA4">
        <w:rPr>
          <w:rFonts w:cs="Arial"/>
          <w:i/>
          <w:color w:val="2F5496" w:themeColor="accent1" w:themeShade="BF"/>
          <w:sz w:val="23"/>
          <w:szCs w:val="23"/>
        </w:rPr>
        <w:t>“</w:t>
      </w:r>
      <w:r w:rsidRPr="007F1813">
        <w:rPr>
          <w:rFonts w:cs="Arial"/>
          <w:i/>
          <w:color w:val="2F5496" w:themeColor="accent1" w:themeShade="BF"/>
          <w:sz w:val="20"/>
          <w:szCs w:val="20"/>
          <w:lang w:val="es-MX"/>
        </w:rPr>
        <w:t>[…]</w:t>
      </w:r>
    </w:p>
    <w:p w14:paraId="49548F40" w14:textId="0A61E655"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En estricto cumplimiento de la Resolución emitida dentro del Recurso de Revisión 910/2025-1, y en atención a la solicitud de información registrada con número de folio 241485425000010, interpuesta a través de la Plataforma Nacional de Transparencia, y por medio del presente se emite la nueva respuesta a su requerimiento.</w:t>
      </w:r>
    </w:p>
    <w:p w14:paraId="780322E3" w14:textId="4CA59929"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"De conformidad a la ley de Transparencia solicitamos El nombre completo de la persona titular del Instituto, Su currículo vitae en versión pública, Su nombramiento como res</w:t>
      </w:r>
      <w:r>
        <w:rPr>
          <w:rFonts w:cs="Arial"/>
          <w:i/>
          <w:color w:val="2F5496" w:themeColor="accent1" w:themeShade="BF"/>
          <w:sz w:val="20"/>
          <w:szCs w:val="20"/>
          <w:lang w:val="es-MX"/>
        </w:rPr>
        <w:t>ponsable, titular o directora".</w:t>
      </w:r>
    </w:p>
    <w:p w14:paraId="5E73D717" w14:textId="152F77E7"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A fin de dar respuesta a su solicitud ya expuesta,</w:t>
      </w:r>
      <w:r>
        <w:rPr>
          <w:rFonts w:cs="Arial"/>
          <w:i/>
          <w:color w:val="2F5496" w:themeColor="accent1" w:themeShade="BF"/>
          <w:sz w:val="20"/>
          <w:szCs w:val="20"/>
          <w:lang w:val="es-MX"/>
        </w:rPr>
        <w:t xml:space="preserve"> se le hace de su conocimiento:</w:t>
      </w:r>
    </w:p>
    <w:p w14:paraId="75FBF80B" w14:textId="7147E709"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 xml:space="preserve">Al respecto, se reitera que el nombre completo de la encargada de despacho en representación del titular de este instituto es Perla </w:t>
      </w:r>
      <w:proofErr w:type="spellStart"/>
      <w:r w:rsidRPr="00C94B10">
        <w:rPr>
          <w:rFonts w:cs="Arial"/>
          <w:i/>
          <w:color w:val="2F5496" w:themeColor="accent1" w:themeShade="BF"/>
          <w:sz w:val="20"/>
          <w:szCs w:val="20"/>
          <w:lang w:val="es-MX"/>
        </w:rPr>
        <w:t>Ashely</w:t>
      </w:r>
      <w:proofErr w:type="spellEnd"/>
      <w:r w:rsidRPr="00C94B10">
        <w:rPr>
          <w:rFonts w:cs="Arial"/>
          <w:i/>
          <w:color w:val="2F5496" w:themeColor="accent1" w:themeShade="BF"/>
          <w:sz w:val="20"/>
          <w:szCs w:val="20"/>
          <w:lang w:val="es-MX"/>
        </w:rPr>
        <w:t xml:space="preserve"> Campos Martínez. Asimismo, el currículum vitae en versión pública fue debidamente adjuntado en la respuesta inicial. Por lo tanto, los puntos uno y dos de su solicitud han sido atendido</w:t>
      </w:r>
      <w:r>
        <w:rPr>
          <w:rFonts w:cs="Arial"/>
          <w:i/>
          <w:color w:val="2F5496" w:themeColor="accent1" w:themeShade="BF"/>
          <w:sz w:val="20"/>
          <w:szCs w:val="20"/>
          <w:lang w:val="es-MX"/>
        </w:rPr>
        <w:t>s en su totalidad.</w:t>
      </w:r>
    </w:p>
    <w:p w14:paraId="4D7F9645" w14:textId="2BB114D3"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 xml:space="preserve">En lo que respecta a la copia del nombramiento, se realizó una búsqueda exhaustiva en los archivos físicos y electrónicos de esta Unidad de Transparencia, determinando </w:t>
      </w:r>
      <w:r w:rsidRPr="00C94B10">
        <w:rPr>
          <w:rFonts w:cs="Arial"/>
          <w:i/>
          <w:color w:val="2F5496" w:themeColor="accent1" w:themeShade="BF"/>
          <w:sz w:val="20"/>
          <w:szCs w:val="20"/>
          <w:lang w:val="es-MX"/>
        </w:rPr>
        <w:lastRenderedPageBreak/>
        <w:t>que documento solicitado aún no ha sido emitido y, por lo tanto, aún no se encuentra cargado en</w:t>
      </w:r>
      <w:r>
        <w:rPr>
          <w:rFonts w:cs="Arial"/>
          <w:i/>
          <w:color w:val="2F5496" w:themeColor="accent1" w:themeShade="BF"/>
          <w:sz w:val="20"/>
          <w:szCs w:val="20"/>
          <w:lang w:val="es-MX"/>
        </w:rPr>
        <w:t xml:space="preserve"> los registros institucionales.</w:t>
      </w:r>
    </w:p>
    <w:p w14:paraId="5A6457E8" w14:textId="0A5DDDB2"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Lo anterior obedece a que la emisión y generación del nombramiento oficial no es competencia de la Unidad de transparencia ni de ninguna de las áreas o personal ad</w:t>
      </w:r>
      <w:r>
        <w:rPr>
          <w:rFonts w:cs="Arial"/>
          <w:i/>
          <w:color w:val="2F5496" w:themeColor="accent1" w:themeShade="BF"/>
          <w:sz w:val="20"/>
          <w:szCs w:val="20"/>
          <w:lang w:val="es-MX"/>
        </w:rPr>
        <w:t>ministrativo de este Instituto.</w:t>
      </w:r>
    </w:p>
    <w:p w14:paraId="04C67590" w14:textId="2A27337F"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En resultado de lo anterior la emisión y generación oficial del nombramiento no es, ni ha sido, una facultad o competencia inherente a las responsabilidades de la Unidad de Transparencia, de igual forma, ninguna de las áreas o el personal administrativo de este Instituto tiene la atribución legal para crear o emitir dicho documento. La generación y formalización definitiva del nombramiento oficial obedece a un proceso complejo que requiere la deliberación y aprobación de un Órgano Colegiado superior, cuyas resoluciones son l</w:t>
      </w:r>
      <w:r>
        <w:rPr>
          <w:rFonts w:cs="Arial"/>
          <w:i/>
          <w:color w:val="2F5496" w:themeColor="accent1" w:themeShade="BF"/>
          <w:sz w:val="20"/>
          <w:szCs w:val="20"/>
          <w:lang w:val="es-MX"/>
        </w:rPr>
        <w:t>a única fuente para su emisión.</w:t>
      </w:r>
    </w:p>
    <w:p w14:paraId="1EAEC449" w14:textId="2DD9FDCE"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En consecuencia, la Unidad de Transparencia no puede entregar un documento que legal y materialmente aún no forma parte de los archivos institucionales por no haber concluido su proceso de emisión por la autoridad competente. Es un documento inexistente hasta la fecha de la presente búsqueda ya que aún no ha completado su proceso de e</w:t>
      </w:r>
      <w:r>
        <w:rPr>
          <w:rFonts w:cs="Arial"/>
          <w:i/>
          <w:color w:val="2F5496" w:themeColor="accent1" w:themeShade="BF"/>
          <w:sz w:val="20"/>
          <w:szCs w:val="20"/>
          <w:lang w:val="es-MX"/>
        </w:rPr>
        <w:t>misión por el Órgano Colegiado.</w:t>
      </w:r>
    </w:p>
    <w:p w14:paraId="5339D184" w14:textId="07CB90E6"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Por consiguiente, se declara la inexistencia temporal de la información con fundamento en el Criterio 14/17, emitido por el Instituto Nacional de Transparencia, Acceso a la Información y Protección de Datos Personales (INAI), que establece que "implica que la información requerida aún no se encuentra en nuestros archivos, no obstante que contamos</w:t>
      </w:r>
      <w:r>
        <w:rPr>
          <w:rFonts w:cs="Arial"/>
          <w:i/>
          <w:color w:val="2F5496" w:themeColor="accent1" w:themeShade="BF"/>
          <w:sz w:val="20"/>
          <w:szCs w:val="20"/>
          <w:lang w:val="es-MX"/>
        </w:rPr>
        <w:t xml:space="preserve"> con facultades para poseerla".</w:t>
      </w:r>
    </w:p>
    <w:p w14:paraId="6C27A6FE" w14:textId="1F7BD8EA" w:rsidR="00C94B10" w:rsidRPr="00C94B10" w:rsidRDefault="00C94B10" w:rsidP="00C94B10">
      <w:pPr>
        <w:pStyle w:val="corte4fondo"/>
        <w:tabs>
          <w:tab w:val="left" w:pos="567"/>
        </w:tabs>
        <w:spacing w:line="240" w:lineRule="auto"/>
        <w:ind w:left="680" w:right="680" w:firstLine="0"/>
        <w:rPr>
          <w:rFonts w:cs="Arial"/>
          <w:i/>
          <w:color w:val="2F5496" w:themeColor="accent1" w:themeShade="BF"/>
          <w:sz w:val="20"/>
          <w:szCs w:val="20"/>
          <w:lang w:val="es-MX"/>
        </w:rPr>
      </w:pPr>
      <w:r w:rsidRPr="00C94B10">
        <w:rPr>
          <w:rFonts w:cs="Arial"/>
          <w:i/>
          <w:color w:val="2F5496" w:themeColor="accent1" w:themeShade="BF"/>
          <w:sz w:val="20"/>
          <w:szCs w:val="20"/>
          <w:lang w:val="es-MX"/>
        </w:rPr>
        <w:t xml:space="preserve">Acorde con lo mandatado en el punto resolutivo 5.3 del Recurso de Revisión número 910/2025-1, la información requerida ha sido notificada y remitida formalmente a la dirección de correo electrónico </w:t>
      </w:r>
      <w:r>
        <w:rPr>
          <w:rFonts w:cs="Arial"/>
          <w:i/>
          <w:color w:val="2F5496" w:themeColor="accent1" w:themeShade="BF"/>
          <w:sz w:val="20"/>
          <w:szCs w:val="20"/>
          <w:lang w:val="es-MX"/>
        </w:rPr>
        <w:t>[…]</w:t>
      </w:r>
      <w:r w:rsidRPr="00C94B10">
        <w:rPr>
          <w:rFonts w:cs="Arial"/>
          <w:i/>
          <w:color w:val="2F5496" w:themeColor="accent1" w:themeShade="BF"/>
          <w:sz w:val="20"/>
          <w:szCs w:val="20"/>
          <w:lang w:val="es-MX"/>
        </w:rPr>
        <w:t>, proporcionada por la parte interesada en estricto cumplimiento.</w:t>
      </w:r>
    </w:p>
    <w:p w14:paraId="68A66648" w14:textId="13328AF3" w:rsidR="0029428B" w:rsidRPr="00C94B10" w:rsidRDefault="000558F0" w:rsidP="00C94B10">
      <w:pPr>
        <w:pStyle w:val="corte4fondo"/>
        <w:tabs>
          <w:tab w:val="left" w:pos="567"/>
        </w:tabs>
        <w:spacing w:after="240" w:line="240" w:lineRule="auto"/>
        <w:ind w:left="680" w:right="680" w:firstLine="0"/>
        <w:rPr>
          <w:rFonts w:cs="Arial"/>
          <w:i/>
          <w:color w:val="2F5496" w:themeColor="accent1" w:themeShade="BF"/>
          <w:sz w:val="23"/>
          <w:szCs w:val="23"/>
          <w:lang w:val="es-MX"/>
        </w:rPr>
      </w:pPr>
      <w:r w:rsidRPr="007F1813">
        <w:rPr>
          <w:rFonts w:cs="Arial"/>
          <w:i/>
          <w:color w:val="2F5496" w:themeColor="accent1" w:themeShade="BF"/>
          <w:sz w:val="20"/>
          <w:szCs w:val="20"/>
          <w:lang w:val="es-MX"/>
        </w:rPr>
        <w:t>[…].</w:t>
      </w:r>
      <w:r w:rsidRPr="007F1813">
        <w:rPr>
          <w:rFonts w:cs="Arial"/>
          <w:i/>
          <w:color w:val="2F5496" w:themeColor="accent1" w:themeShade="BF"/>
          <w:sz w:val="20"/>
          <w:szCs w:val="20"/>
        </w:rPr>
        <w:t>”</w:t>
      </w:r>
    </w:p>
    <w:p w14:paraId="6BECE7C5" w14:textId="0ADFC298" w:rsidR="000558F0" w:rsidRDefault="000558F0" w:rsidP="000558F0">
      <w:pPr>
        <w:pStyle w:val="corte4fondo"/>
        <w:tabs>
          <w:tab w:val="left" w:pos="567"/>
        </w:tabs>
        <w:spacing w:after="240"/>
        <w:ind w:firstLine="680"/>
        <w:rPr>
          <w:rFonts w:cs="Arial"/>
          <w:color w:val="2F5496" w:themeColor="accent1" w:themeShade="BF"/>
          <w:sz w:val="23"/>
          <w:szCs w:val="23"/>
        </w:rPr>
      </w:pPr>
      <w:r w:rsidRPr="00064693">
        <w:rPr>
          <w:rFonts w:cs="Arial"/>
          <w:color w:val="2F5496" w:themeColor="accent1" w:themeShade="BF"/>
          <w:sz w:val="23"/>
          <w:szCs w:val="23"/>
        </w:rPr>
        <w:t xml:space="preserve">Ahora, conforme a las constancias que integran los autos, se desprende que la respuesta emitida en cumplimiento a la resolución dictada el </w:t>
      </w:r>
      <w:r w:rsidR="009D3DBA">
        <w:rPr>
          <w:rFonts w:cs="Arial"/>
          <w:bCs/>
          <w:color w:val="2F5496" w:themeColor="accent1" w:themeShade="BF"/>
          <w:sz w:val="23"/>
          <w:szCs w:val="23"/>
          <w:lang w:eastAsia="es-ES"/>
        </w:rPr>
        <w:t>cinco de noviembre</w:t>
      </w:r>
      <w:r>
        <w:rPr>
          <w:rFonts w:cs="Arial"/>
          <w:bCs/>
          <w:color w:val="2F5496" w:themeColor="accent1" w:themeShade="BF"/>
          <w:sz w:val="23"/>
          <w:szCs w:val="23"/>
          <w:lang w:eastAsia="es-ES"/>
        </w:rPr>
        <w:t xml:space="preserve"> de dos mil veinticinco </w:t>
      </w:r>
      <w:r w:rsidRPr="00064693">
        <w:rPr>
          <w:rFonts w:cs="Arial"/>
          <w:color w:val="2F5496" w:themeColor="accent1" w:themeShade="BF"/>
          <w:sz w:val="23"/>
          <w:szCs w:val="23"/>
        </w:rPr>
        <w:t xml:space="preserve">fue notificada al ahora recurrente el </w:t>
      </w:r>
      <w:r w:rsidR="00C94B10">
        <w:rPr>
          <w:rFonts w:cs="Arial"/>
          <w:color w:val="2F5496" w:themeColor="accent1" w:themeShade="BF"/>
          <w:sz w:val="23"/>
          <w:szCs w:val="23"/>
        </w:rPr>
        <w:t>veinticuatro</w:t>
      </w:r>
      <w:r>
        <w:rPr>
          <w:rFonts w:cs="Arial"/>
          <w:color w:val="2F5496" w:themeColor="accent1" w:themeShade="BF"/>
          <w:sz w:val="23"/>
          <w:szCs w:val="23"/>
        </w:rPr>
        <w:t xml:space="preserve"> de noviembre de dos mil veinticinco</w:t>
      </w:r>
      <w:r w:rsidRPr="00064693">
        <w:rPr>
          <w:rFonts w:cs="Arial"/>
          <w:color w:val="2F5496" w:themeColor="accent1" w:themeShade="BF"/>
          <w:sz w:val="23"/>
          <w:szCs w:val="23"/>
        </w:rPr>
        <w:t xml:space="preserve"> a través de </w:t>
      </w:r>
      <w:r>
        <w:rPr>
          <w:rFonts w:cs="Arial"/>
          <w:color w:val="2F5496" w:themeColor="accent1" w:themeShade="BF"/>
          <w:sz w:val="23"/>
          <w:szCs w:val="23"/>
        </w:rPr>
        <w:t>la dirección de correo electrónico señalada por la persona recurrente para efecto de oír y recibir notificaciones</w:t>
      </w:r>
      <w:r w:rsidRPr="00064693">
        <w:rPr>
          <w:rFonts w:cs="Arial"/>
          <w:color w:val="2F5496" w:themeColor="accent1" w:themeShade="BF"/>
          <w:sz w:val="23"/>
          <w:szCs w:val="23"/>
        </w:rPr>
        <w:t xml:space="preserve">. (Visible a foja </w:t>
      </w:r>
      <w:r w:rsidR="00C94B10">
        <w:rPr>
          <w:rFonts w:cs="Arial"/>
          <w:color w:val="2F5496" w:themeColor="accent1" w:themeShade="BF"/>
          <w:sz w:val="23"/>
          <w:szCs w:val="23"/>
        </w:rPr>
        <w:t>47</w:t>
      </w:r>
      <w:r w:rsidRPr="00064693">
        <w:rPr>
          <w:rFonts w:cs="Arial"/>
          <w:color w:val="2F5496" w:themeColor="accent1" w:themeShade="BF"/>
          <w:sz w:val="23"/>
          <w:szCs w:val="23"/>
        </w:rPr>
        <w:t xml:space="preserve"> de autos).</w:t>
      </w:r>
    </w:p>
    <w:p w14:paraId="2820FE61" w14:textId="5E85D1D7" w:rsidR="007F1813" w:rsidRDefault="007F1813"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 xml:space="preserve">No </w:t>
      </w:r>
      <w:proofErr w:type="gramStart"/>
      <w:r>
        <w:rPr>
          <w:rFonts w:cs="Arial"/>
          <w:color w:val="2F5496" w:themeColor="accent1" w:themeShade="BF"/>
          <w:sz w:val="23"/>
          <w:szCs w:val="23"/>
        </w:rPr>
        <w:t>obstante</w:t>
      </w:r>
      <w:proofErr w:type="gramEnd"/>
      <w:r>
        <w:rPr>
          <w:rFonts w:cs="Arial"/>
          <w:color w:val="2F5496" w:themeColor="accent1" w:themeShade="BF"/>
          <w:sz w:val="23"/>
          <w:szCs w:val="23"/>
        </w:rPr>
        <w:t xml:space="preserve"> lo anterior, las constancias que integran los autos permiten demostrar que </w:t>
      </w:r>
      <w:r w:rsidRPr="0061316A">
        <w:rPr>
          <w:rFonts w:cs="Arial"/>
          <w:b/>
          <w:color w:val="2F5496" w:themeColor="accent1" w:themeShade="BF"/>
          <w:sz w:val="23"/>
          <w:szCs w:val="23"/>
          <w:u w:val="single"/>
        </w:rPr>
        <w:t>la nueva respuesta no puede tenerse como válida para efecto de cumplir con la resolución dictada dentro de los autos del recurso de revisión en que se actúa,</w:t>
      </w:r>
      <w:r>
        <w:rPr>
          <w:rFonts w:cs="Arial"/>
          <w:color w:val="2F5496" w:themeColor="accent1" w:themeShade="BF"/>
          <w:sz w:val="23"/>
          <w:szCs w:val="23"/>
        </w:rPr>
        <w:t xml:space="preserve"> esto de acuerdo con las consideraciones siguientes.</w:t>
      </w:r>
    </w:p>
    <w:p w14:paraId="4ED00C5B" w14:textId="6CCFAD3F" w:rsidR="007F1813" w:rsidRDefault="007F1813"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 xml:space="preserve">En primer término, el sujeto obligado </w:t>
      </w:r>
      <w:r w:rsidR="00C94B10">
        <w:rPr>
          <w:rFonts w:cs="Arial"/>
          <w:color w:val="2F5496" w:themeColor="accent1" w:themeShade="BF"/>
          <w:sz w:val="23"/>
          <w:szCs w:val="23"/>
        </w:rPr>
        <w:t>señaló que realizó la búsqueda exhaustiva de la información relacionada con el nombramiento de la persona titular de la Unidad de Transparencia del Instituto Estatal de Ciegos; sin embargo, dicha búsqueda no arrojó expresión documental alguna, pues el órgano colegiado superior encargado de generar el aludido documento no lo ha hecho, de ahí que no obre en los archivos físicos y bases de datos del Instituto.</w:t>
      </w:r>
    </w:p>
    <w:p w14:paraId="7636418B" w14:textId="7F54FE20" w:rsidR="00C94B10" w:rsidRDefault="00C94B10"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Al respecto, resulta oportuno hacer la precisión de que</w:t>
      </w:r>
      <w:r w:rsidR="006948C6">
        <w:rPr>
          <w:rFonts w:cs="Arial"/>
          <w:color w:val="2F5496" w:themeColor="accent1" w:themeShade="BF"/>
          <w:sz w:val="23"/>
          <w:szCs w:val="23"/>
        </w:rPr>
        <w:t>, de acuerdo con la Ley de Transparencia y Acceso a la Información Pública del Estado,</w:t>
      </w:r>
      <w:r>
        <w:rPr>
          <w:rFonts w:cs="Arial"/>
          <w:color w:val="2F5496" w:themeColor="accent1" w:themeShade="BF"/>
          <w:sz w:val="23"/>
          <w:szCs w:val="23"/>
        </w:rPr>
        <w:t xml:space="preserve"> </w:t>
      </w:r>
      <w:r w:rsidR="00575AFB" w:rsidRPr="006948C6">
        <w:rPr>
          <w:rFonts w:cs="Arial"/>
          <w:color w:val="2F5496" w:themeColor="accent1" w:themeShade="BF"/>
          <w:sz w:val="23"/>
          <w:szCs w:val="23"/>
          <w:u w:val="single"/>
        </w:rPr>
        <w:t>el ejercicio del derecho de acceso a la información permite a los gobernados solicitar</w:t>
      </w:r>
      <w:r w:rsidR="00575AFB" w:rsidRPr="00575AFB">
        <w:rPr>
          <w:rFonts w:cs="Arial"/>
          <w:color w:val="2F5496" w:themeColor="accent1" w:themeShade="BF"/>
          <w:sz w:val="23"/>
          <w:szCs w:val="23"/>
        </w:rPr>
        <w:t xml:space="preserve">, investigar, difundir, </w:t>
      </w:r>
      <w:r w:rsidR="00575AFB">
        <w:rPr>
          <w:rFonts w:cs="Arial"/>
          <w:color w:val="2F5496" w:themeColor="accent1" w:themeShade="BF"/>
          <w:sz w:val="23"/>
          <w:szCs w:val="23"/>
        </w:rPr>
        <w:lastRenderedPageBreak/>
        <w:t xml:space="preserve">buscar y recibir </w:t>
      </w:r>
      <w:r w:rsidR="00575AFB" w:rsidRPr="006948C6">
        <w:rPr>
          <w:rFonts w:cs="Arial"/>
          <w:color w:val="2F5496" w:themeColor="accent1" w:themeShade="BF"/>
          <w:sz w:val="23"/>
          <w:szCs w:val="23"/>
          <w:u w:val="single"/>
        </w:rPr>
        <w:t>información</w:t>
      </w:r>
      <w:r w:rsidR="00575AFB">
        <w:rPr>
          <w:rFonts w:cs="Arial"/>
          <w:color w:val="2F5496" w:themeColor="accent1" w:themeShade="BF"/>
          <w:sz w:val="23"/>
          <w:szCs w:val="23"/>
        </w:rPr>
        <w:t xml:space="preserve"> generada, </w:t>
      </w:r>
      <w:r w:rsidR="00575AFB" w:rsidRPr="006948C6">
        <w:rPr>
          <w:rFonts w:cs="Arial"/>
          <w:color w:val="2F5496" w:themeColor="accent1" w:themeShade="BF"/>
          <w:sz w:val="23"/>
          <w:szCs w:val="23"/>
          <w:u w:val="single"/>
        </w:rPr>
        <w:t>archivada y/o resguardada por los sujetos obligados en el ejercicio de sus funciones</w:t>
      </w:r>
      <w:r w:rsidR="00575AFB">
        <w:rPr>
          <w:rFonts w:cs="Arial"/>
          <w:color w:val="2F5496" w:themeColor="accent1" w:themeShade="BF"/>
          <w:sz w:val="23"/>
          <w:szCs w:val="23"/>
        </w:rPr>
        <w:t>.</w:t>
      </w:r>
      <w:r w:rsidR="00575AFB">
        <w:rPr>
          <w:rStyle w:val="Refdenotaalpie"/>
          <w:rFonts w:cs="Arial"/>
          <w:color w:val="2F5496" w:themeColor="accent1" w:themeShade="BF"/>
          <w:sz w:val="23"/>
          <w:szCs w:val="23"/>
        </w:rPr>
        <w:footnoteReference w:id="1"/>
      </w:r>
    </w:p>
    <w:p w14:paraId="18B8CFF2" w14:textId="67BF9049" w:rsidR="006948C6" w:rsidRDefault="006948C6"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De este modo, es evidente que cualquier persona puede solicitar información a cualquier entidad que ejerza recursos públicos, independientemente si ésta la generó o no, siempre y cuando se encuentre dentro de sus facultades la de contar con dicha información.</w:t>
      </w:r>
    </w:p>
    <w:p w14:paraId="3B0F28E5" w14:textId="5BDB5831" w:rsidR="006948C6" w:rsidRDefault="006948C6"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Ahora, puede darse el supuesto de que, por alguna circunstancia, la información requerida no se encuentre en los archivos físicos y/o bases de datos del sujeto obligado, pese a que cuenta con atribuciones ya sea para generarla, archivarla y/o resguardarla.</w:t>
      </w:r>
    </w:p>
    <w:p w14:paraId="08D345D1" w14:textId="3EF8A19D" w:rsidR="006948C6" w:rsidRDefault="006948C6" w:rsidP="007D0A0C">
      <w:pPr>
        <w:pStyle w:val="corte4fondo"/>
        <w:tabs>
          <w:tab w:val="left" w:pos="567"/>
        </w:tabs>
        <w:ind w:firstLine="680"/>
        <w:rPr>
          <w:rFonts w:cs="Arial"/>
          <w:color w:val="2F5496" w:themeColor="accent1" w:themeShade="BF"/>
          <w:sz w:val="23"/>
          <w:szCs w:val="23"/>
        </w:rPr>
      </w:pPr>
      <w:r>
        <w:rPr>
          <w:rFonts w:cs="Arial"/>
          <w:color w:val="2F5496" w:themeColor="accent1" w:themeShade="BF"/>
          <w:sz w:val="23"/>
          <w:szCs w:val="23"/>
        </w:rPr>
        <w:t xml:space="preserve">Respecto de ese tópico, la Ley de la materia prescribe </w:t>
      </w:r>
      <w:r w:rsidR="007D0A0C">
        <w:rPr>
          <w:rFonts w:cs="Arial"/>
          <w:color w:val="2F5496" w:themeColor="accent1" w:themeShade="BF"/>
          <w:sz w:val="23"/>
          <w:szCs w:val="23"/>
        </w:rPr>
        <w:t>que el sujeto obligado</w:t>
      </w:r>
      <w:r w:rsidR="0061316A">
        <w:rPr>
          <w:rFonts w:cs="Arial"/>
          <w:color w:val="2F5496" w:themeColor="accent1" w:themeShade="BF"/>
          <w:sz w:val="23"/>
          <w:szCs w:val="23"/>
        </w:rPr>
        <w:t>, por conducto de su Comité de Transparencia,</w:t>
      </w:r>
      <w:r w:rsidR="007D0A0C">
        <w:rPr>
          <w:rFonts w:cs="Arial"/>
          <w:color w:val="2F5496" w:themeColor="accent1" w:themeShade="BF"/>
          <w:sz w:val="23"/>
          <w:szCs w:val="23"/>
        </w:rPr>
        <w:t xml:space="preserve"> deberá:</w:t>
      </w:r>
    </w:p>
    <w:p w14:paraId="5F93613D" w14:textId="77777777" w:rsidR="007D0A0C" w:rsidRPr="007D0A0C" w:rsidRDefault="007D0A0C" w:rsidP="0061316A">
      <w:pPr>
        <w:pStyle w:val="corte4fondo"/>
        <w:tabs>
          <w:tab w:val="left" w:pos="567"/>
        </w:tabs>
        <w:ind w:left="680" w:firstLine="0"/>
        <w:rPr>
          <w:rFonts w:cs="Arial"/>
          <w:color w:val="2F5496" w:themeColor="accent1" w:themeShade="BF"/>
          <w:sz w:val="23"/>
          <w:szCs w:val="23"/>
          <w:lang w:val="es-MX"/>
        </w:rPr>
      </w:pPr>
      <w:r w:rsidRPr="007D0A0C">
        <w:rPr>
          <w:rFonts w:cs="Arial"/>
          <w:color w:val="2F5496" w:themeColor="accent1" w:themeShade="BF"/>
          <w:sz w:val="23"/>
          <w:szCs w:val="23"/>
          <w:lang w:val="es-MX"/>
        </w:rPr>
        <w:t xml:space="preserve">a) Analizar el caso y tomar las medidas necesarias para localizar la información. </w:t>
      </w:r>
    </w:p>
    <w:p w14:paraId="34064F28" w14:textId="77777777" w:rsidR="007D0A0C" w:rsidRPr="007D0A0C" w:rsidRDefault="007D0A0C" w:rsidP="0061316A">
      <w:pPr>
        <w:pStyle w:val="corte4fondo"/>
        <w:tabs>
          <w:tab w:val="left" w:pos="567"/>
        </w:tabs>
        <w:ind w:left="680" w:firstLine="0"/>
        <w:rPr>
          <w:rFonts w:cs="Arial"/>
          <w:color w:val="2F5496" w:themeColor="accent1" w:themeShade="BF"/>
          <w:sz w:val="23"/>
          <w:szCs w:val="23"/>
          <w:lang w:val="es-MX"/>
        </w:rPr>
      </w:pPr>
      <w:r w:rsidRPr="007D0A0C">
        <w:rPr>
          <w:rFonts w:cs="Arial"/>
          <w:color w:val="2F5496" w:themeColor="accent1" w:themeShade="BF"/>
          <w:sz w:val="23"/>
          <w:szCs w:val="23"/>
          <w:lang w:val="es-MX"/>
        </w:rPr>
        <w:t>b) Expedir una resolución que confirme la inexisten</w:t>
      </w:r>
      <w:r w:rsidRPr="007D0A0C">
        <w:rPr>
          <w:rFonts w:cs="Arial"/>
          <w:color w:val="2F5496" w:themeColor="accent1" w:themeShade="BF"/>
          <w:sz w:val="23"/>
          <w:szCs w:val="23"/>
          <w:lang w:val="es-MX"/>
        </w:rPr>
        <w:softHyphen/>
        <w:t xml:space="preserve">cia del documento requerido. </w:t>
      </w:r>
    </w:p>
    <w:p w14:paraId="71177DE1" w14:textId="77777777" w:rsidR="007D0A0C" w:rsidRPr="007D0A0C" w:rsidRDefault="007D0A0C" w:rsidP="0061316A">
      <w:pPr>
        <w:pStyle w:val="corte4fondo"/>
        <w:tabs>
          <w:tab w:val="left" w:pos="567"/>
        </w:tabs>
        <w:ind w:left="680" w:firstLine="0"/>
        <w:rPr>
          <w:rFonts w:cs="Arial"/>
          <w:color w:val="2F5496" w:themeColor="accent1" w:themeShade="BF"/>
          <w:sz w:val="23"/>
          <w:szCs w:val="23"/>
          <w:lang w:val="es-MX"/>
        </w:rPr>
      </w:pPr>
      <w:r w:rsidRPr="007D0A0C">
        <w:rPr>
          <w:rFonts w:cs="Arial"/>
          <w:color w:val="2F5496" w:themeColor="accent1" w:themeShade="BF"/>
          <w:sz w:val="23"/>
          <w:szCs w:val="23"/>
          <w:lang w:val="es-MX"/>
        </w:rPr>
        <w:t>c) Ordenará que se genere o se reponga la información en caso de que ésta debiera haber existido por ser parte de las funciones, facultades o competencias del sujeto obligado o que en caso de que sea fehacientemente imposible generarla, exponga de forma fundada y motivada, las razones por las cuales no ejerció dichas faculta</w:t>
      </w:r>
      <w:r w:rsidRPr="007D0A0C">
        <w:rPr>
          <w:rFonts w:cs="Arial"/>
          <w:color w:val="2F5496" w:themeColor="accent1" w:themeShade="BF"/>
          <w:sz w:val="23"/>
          <w:szCs w:val="23"/>
          <w:lang w:val="es-MX"/>
        </w:rPr>
        <w:softHyphen/>
        <w:t>des, competencias o funciones.</w:t>
      </w:r>
    </w:p>
    <w:p w14:paraId="2D452477" w14:textId="7D431EBC" w:rsidR="007D0A0C" w:rsidRPr="007D0A0C" w:rsidRDefault="007D0A0C" w:rsidP="0061316A">
      <w:pPr>
        <w:pStyle w:val="corte4fondo"/>
        <w:ind w:left="680" w:firstLine="0"/>
        <w:rPr>
          <w:rFonts w:cs="Arial"/>
          <w:color w:val="2F5496" w:themeColor="accent1" w:themeShade="BF"/>
          <w:sz w:val="23"/>
          <w:szCs w:val="23"/>
          <w:lang w:val="es-MX"/>
        </w:rPr>
      </w:pPr>
      <w:r w:rsidRPr="007D0A0C">
        <w:rPr>
          <w:rFonts w:cs="Arial"/>
          <w:color w:val="2F5496" w:themeColor="accent1" w:themeShade="BF"/>
          <w:sz w:val="23"/>
          <w:szCs w:val="23"/>
          <w:lang w:val="es-MX"/>
        </w:rPr>
        <w:t>d) Notificará al órgano interno de control, para que, en caso de ser necesario, inicie el procedimiento de responsabilidad administrativa que corresponda.</w:t>
      </w:r>
      <w:r w:rsidR="0061316A">
        <w:rPr>
          <w:rStyle w:val="Refdenotaalpie"/>
          <w:rFonts w:cs="Arial"/>
          <w:color w:val="2F5496" w:themeColor="accent1" w:themeShade="BF"/>
          <w:sz w:val="23"/>
          <w:szCs w:val="23"/>
          <w:lang w:val="es-MX"/>
        </w:rPr>
        <w:footnoteReference w:id="2"/>
      </w:r>
    </w:p>
    <w:p w14:paraId="01A55BDA" w14:textId="2C9A8833" w:rsidR="007D0A0C" w:rsidRDefault="0061316A"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Asimismo, la Ley de Transparencia Local prescribe que l</w:t>
      </w:r>
      <w:r w:rsidRPr="0061316A">
        <w:rPr>
          <w:rFonts w:cs="Arial"/>
          <w:color w:val="2F5496" w:themeColor="accent1" w:themeShade="BF"/>
          <w:sz w:val="23"/>
          <w:szCs w:val="23"/>
        </w:rPr>
        <w:t xml:space="preserve">a resolución </w:t>
      </w:r>
      <w:r>
        <w:rPr>
          <w:rFonts w:cs="Arial"/>
          <w:color w:val="2F5496" w:themeColor="accent1" w:themeShade="BF"/>
          <w:sz w:val="23"/>
          <w:szCs w:val="23"/>
        </w:rPr>
        <w:t>expedida por</w:t>
      </w:r>
      <w:r w:rsidRPr="0061316A">
        <w:rPr>
          <w:rFonts w:cs="Arial"/>
          <w:color w:val="2F5496" w:themeColor="accent1" w:themeShade="BF"/>
          <w:sz w:val="23"/>
          <w:szCs w:val="23"/>
        </w:rPr>
        <w:t xml:space="preserve"> Comité de Transparencia que confirme la inexistencia de la información </w:t>
      </w:r>
      <w:r>
        <w:rPr>
          <w:rFonts w:cs="Arial"/>
          <w:color w:val="2F5496" w:themeColor="accent1" w:themeShade="BF"/>
          <w:sz w:val="23"/>
          <w:szCs w:val="23"/>
        </w:rPr>
        <w:t xml:space="preserve">deberá de </w:t>
      </w:r>
      <w:r>
        <w:rPr>
          <w:rFonts w:cs="Arial"/>
          <w:color w:val="2F5496" w:themeColor="accent1" w:themeShade="BF"/>
          <w:sz w:val="23"/>
          <w:szCs w:val="23"/>
        </w:rPr>
        <w:lastRenderedPageBreak/>
        <w:t xml:space="preserve">contar con </w:t>
      </w:r>
      <w:r w:rsidRPr="0061316A">
        <w:rPr>
          <w:rFonts w:cs="Arial"/>
          <w:color w:val="2F5496" w:themeColor="accent1" w:themeShade="BF"/>
          <w:sz w:val="23"/>
          <w:szCs w:val="23"/>
        </w:rPr>
        <w:t>los elementos mínimos que permitan a</w:t>
      </w:r>
      <w:r>
        <w:rPr>
          <w:rFonts w:cs="Arial"/>
          <w:color w:val="2F5496" w:themeColor="accent1" w:themeShade="BF"/>
          <w:sz w:val="23"/>
          <w:szCs w:val="23"/>
        </w:rPr>
        <w:t xml:space="preserve"> </w:t>
      </w:r>
      <w:r w:rsidRPr="0061316A">
        <w:rPr>
          <w:rFonts w:cs="Arial"/>
          <w:color w:val="2F5496" w:themeColor="accent1" w:themeShade="BF"/>
          <w:sz w:val="23"/>
          <w:szCs w:val="23"/>
        </w:rPr>
        <w:t>l</w:t>
      </w:r>
      <w:r>
        <w:rPr>
          <w:rFonts w:cs="Arial"/>
          <w:color w:val="2F5496" w:themeColor="accent1" w:themeShade="BF"/>
          <w:sz w:val="23"/>
          <w:szCs w:val="23"/>
        </w:rPr>
        <w:t>a persona</w:t>
      </w:r>
      <w:r w:rsidRPr="0061316A">
        <w:rPr>
          <w:rFonts w:cs="Arial"/>
          <w:color w:val="2F5496" w:themeColor="accent1" w:themeShade="BF"/>
          <w:sz w:val="23"/>
          <w:szCs w:val="23"/>
        </w:rPr>
        <w:t xml:space="preserve"> solicitante tener la certeza de que se utilizó un criterio de búsqueda </w:t>
      </w:r>
      <w:r>
        <w:rPr>
          <w:rFonts w:cs="Arial"/>
          <w:color w:val="2F5496" w:themeColor="accent1" w:themeShade="BF"/>
          <w:sz w:val="23"/>
          <w:szCs w:val="23"/>
        </w:rPr>
        <w:t xml:space="preserve">exhaustivo y </w:t>
      </w:r>
      <w:r w:rsidRPr="0061316A">
        <w:rPr>
          <w:rFonts w:cs="Arial"/>
          <w:color w:val="2F5496" w:themeColor="accent1" w:themeShade="BF"/>
          <w:sz w:val="23"/>
          <w:szCs w:val="23"/>
        </w:rPr>
        <w:t>señalar las circunstancias de tiempo, modo y luga</w:t>
      </w:r>
      <w:r>
        <w:rPr>
          <w:rFonts w:cs="Arial"/>
          <w:color w:val="2F5496" w:themeColor="accent1" w:themeShade="BF"/>
          <w:sz w:val="23"/>
          <w:szCs w:val="23"/>
        </w:rPr>
        <w:t xml:space="preserve">r que generaron la inexistencia, además de </w:t>
      </w:r>
      <w:r w:rsidRPr="0061316A">
        <w:rPr>
          <w:rFonts w:cs="Arial"/>
          <w:color w:val="2F5496" w:themeColor="accent1" w:themeShade="BF"/>
          <w:sz w:val="23"/>
          <w:szCs w:val="23"/>
        </w:rPr>
        <w:t>señalará al servidor público responsable</w:t>
      </w:r>
      <w:r>
        <w:rPr>
          <w:rFonts w:cs="Arial"/>
          <w:color w:val="2F5496" w:themeColor="accent1" w:themeShade="BF"/>
          <w:sz w:val="23"/>
          <w:szCs w:val="23"/>
        </w:rPr>
        <w:t>.</w:t>
      </w:r>
      <w:r>
        <w:rPr>
          <w:rStyle w:val="Refdenotaalpie"/>
          <w:rFonts w:cs="Arial"/>
          <w:color w:val="2F5496" w:themeColor="accent1" w:themeShade="BF"/>
          <w:sz w:val="23"/>
          <w:szCs w:val="23"/>
        </w:rPr>
        <w:footnoteReference w:id="3"/>
      </w:r>
    </w:p>
    <w:p w14:paraId="1A6CE3B2" w14:textId="7DD10891" w:rsidR="0061316A" w:rsidRDefault="003B2B21"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De acuerdo con</w:t>
      </w:r>
      <w:r w:rsidR="0061316A">
        <w:rPr>
          <w:rFonts w:cs="Arial"/>
          <w:color w:val="2F5496" w:themeColor="accent1" w:themeShade="BF"/>
          <w:sz w:val="23"/>
          <w:szCs w:val="23"/>
        </w:rPr>
        <w:t xml:space="preserve"> la normativa que antecede, resulta evidente que la respuesta emitida por el sujeto obligado no puede tenerse como válida para efecto de dar cumplimiento a la resolución dictada dentro del recurso de revisión en que se actúa, pues </w:t>
      </w:r>
      <w:r>
        <w:rPr>
          <w:rFonts w:cs="Arial"/>
          <w:color w:val="2F5496" w:themeColor="accent1" w:themeShade="BF"/>
          <w:sz w:val="23"/>
          <w:szCs w:val="23"/>
        </w:rPr>
        <w:t>no obstante que la autoridad responsable de la respuesta manifestó que realizó la búsqueda exhaustiva del nombramiento de la Titular de la Unidad de Transparencia, no se apegó al procedimiento previsto en la Ley de la materia para efecto de declarar formalmente la inexistencia de la información.</w:t>
      </w:r>
    </w:p>
    <w:p w14:paraId="0F0046EF" w14:textId="3B44E957" w:rsidR="003B2B21" w:rsidRDefault="003B2B21"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Sobre esta directriz, es dable precisar que el Comité de Transparencia del sujeto obligado cuenta con competencia exclusiva para poder declarar formalmente la inexistencia de la información, esto en términos del artículo 52 fracción II de la Ley de Transparencia y Acceso a la Información Pública del Estado.</w:t>
      </w:r>
      <w:r>
        <w:rPr>
          <w:rStyle w:val="Refdenotaalpie"/>
          <w:rFonts w:cs="Arial"/>
          <w:color w:val="2F5496" w:themeColor="accent1" w:themeShade="BF"/>
          <w:sz w:val="23"/>
          <w:szCs w:val="23"/>
        </w:rPr>
        <w:footnoteReference w:id="4"/>
      </w:r>
    </w:p>
    <w:p w14:paraId="5DB88C44" w14:textId="1D56A579" w:rsidR="003B2B21" w:rsidRDefault="003B2B21"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 xml:space="preserve">De este modo, lo correcto debió ser que una vez agotado el procedimiento ordinario de búsqueda de la información, sin que se localizara el </w:t>
      </w:r>
      <w:r w:rsidR="00F83FE1">
        <w:rPr>
          <w:rFonts w:cs="Arial"/>
          <w:color w:val="2F5496" w:themeColor="accent1" w:themeShade="BF"/>
          <w:sz w:val="23"/>
          <w:szCs w:val="23"/>
        </w:rPr>
        <w:t>documento requerido, el Titular de la Unidad de Transparencia hiciera de conocimiento del Comité de Transparencia dicha circunstancia, esto para efecto de que el aludido órgano colegiado procediera en términos del artículo 160 de la Ley de Transparencia local.</w:t>
      </w:r>
    </w:p>
    <w:p w14:paraId="6212F57B" w14:textId="781DB20D" w:rsidR="005825A1" w:rsidRDefault="005825A1" w:rsidP="005825A1">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Sobre la base de las consideraciones previamente anotadas</w:t>
      </w:r>
      <w:r w:rsidRPr="003F39EB">
        <w:rPr>
          <w:rFonts w:cs="Arial"/>
          <w:b/>
          <w:color w:val="2F5496" w:themeColor="accent1" w:themeShade="BF"/>
          <w:sz w:val="23"/>
          <w:szCs w:val="23"/>
        </w:rPr>
        <w:t>, se puede colegir válidamente que</w:t>
      </w:r>
      <w:r>
        <w:rPr>
          <w:rFonts w:cs="Arial"/>
          <w:color w:val="2F5496" w:themeColor="accent1" w:themeShade="BF"/>
          <w:sz w:val="23"/>
          <w:szCs w:val="23"/>
        </w:rPr>
        <w:t xml:space="preserve"> </w:t>
      </w:r>
      <w:r w:rsidRPr="005825A1">
        <w:rPr>
          <w:rFonts w:cs="Arial"/>
          <w:b/>
          <w:color w:val="2F5496" w:themeColor="accent1" w:themeShade="BF"/>
          <w:sz w:val="23"/>
          <w:szCs w:val="23"/>
        </w:rPr>
        <w:t xml:space="preserve">nueva respuesta emitida por el sujeto obligado no es </w:t>
      </w:r>
      <w:r w:rsidR="003B2B21">
        <w:rPr>
          <w:rFonts w:cs="Arial"/>
          <w:b/>
          <w:color w:val="2F5496" w:themeColor="accent1" w:themeShade="BF"/>
          <w:sz w:val="23"/>
          <w:szCs w:val="23"/>
        </w:rPr>
        <w:t>apta</w:t>
      </w:r>
      <w:r w:rsidRPr="005825A1">
        <w:rPr>
          <w:rFonts w:cs="Arial"/>
          <w:b/>
          <w:color w:val="2F5496" w:themeColor="accent1" w:themeShade="BF"/>
          <w:sz w:val="23"/>
          <w:szCs w:val="23"/>
        </w:rPr>
        <w:t xml:space="preserve"> para cumplir con los </w:t>
      </w:r>
      <w:r w:rsidR="003B2B21">
        <w:rPr>
          <w:rFonts w:cs="Arial"/>
          <w:b/>
          <w:color w:val="2F5496" w:themeColor="accent1" w:themeShade="BF"/>
          <w:sz w:val="23"/>
          <w:szCs w:val="23"/>
        </w:rPr>
        <w:t xml:space="preserve">extremos de </w:t>
      </w:r>
      <w:r w:rsidRPr="005825A1">
        <w:rPr>
          <w:rFonts w:cs="Arial"/>
          <w:b/>
          <w:color w:val="2F5496" w:themeColor="accent1" w:themeShade="BF"/>
          <w:sz w:val="23"/>
          <w:szCs w:val="23"/>
        </w:rPr>
        <w:t>la resolución</w:t>
      </w:r>
      <w:r>
        <w:rPr>
          <w:rFonts w:cs="Arial"/>
          <w:color w:val="2F5496" w:themeColor="accent1" w:themeShade="BF"/>
          <w:sz w:val="23"/>
          <w:szCs w:val="23"/>
        </w:rPr>
        <w:t xml:space="preserve"> dictada dentro del recurso de revisión en que se actúa.</w:t>
      </w:r>
    </w:p>
    <w:p w14:paraId="63EF512F" w14:textId="1CBBDFCA" w:rsidR="005825A1" w:rsidRPr="00064693" w:rsidRDefault="005825A1" w:rsidP="005825A1">
      <w:pPr>
        <w:pStyle w:val="corte4fondo"/>
        <w:tabs>
          <w:tab w:val="left" w:pos="567"/>
        </w:tabs>
        <w:spacing w:after="240"/>
        <w:ind w:firstLine="680"/>
        <w:rPr>
          <w:rFonts w:cs="Arial"/>
          <w:color w:val="2F5496" w:themeColor="accent1" w:themeShade="BF"/>
          <w:sz w:val="23"/>
          <w:szCs w:val="23"/>
          <w:lang w:val="es-MX"/>
        </w:rPr>
      </w:pPr>
      <w:r w:rsidRPr="00064693">
        <w:rPr>
          <w:rFonts w:cs="Arial"/>
          <w:color w:val="2F5496" w:themeColor="accent1" w:themeShade="BF"/>
          <w:sz w:val="23"/>
          <w:szCs w:val="23"/>
          <w:lang w:val="es-MX"/>
        </w:rPr>
        <w:t xml:space="preserve">En este orden ideas y por los razonamientos antes expuestos, </w:t>
      </w:r>
      <w:r w:rsidRPr="00064693">
        <w:rPr>
          <w:rFonts w:cs="Arial"/>
          <w:b/>
          <w:color w:val="2F5496" w:themeColor="accent1" w:themeShade="BF"/>
          <w:sz w:val="23"/>
          <w:szCs w:val="23"/>
          <w:u w:val="single"/>
          <w:lang w:val="es-MX"/>
        </w:rPr>
        <w:t>se tiene por incumplida la resolución del Re</w:t>
      </w:r>
      <w:r w:rsidR="00F83FE1">
        <w:rPr>
          <w:rFonts w:cs="Arial"/>
          <w:b/>
          <w:color w:val="2F5496" w:themeColor="accent1" w:themeShade="BF"/>
          <w:sz w:val="23"/>
          <w:szCs w:val="23"/>
          <w:u w:val="single"/>
          <w:lang w:val="es-MX"/>
        </w:rPr>
        <w:t>curso de Revisión RR-910</w:t>
      </w:r>
      <w:r>
        <w:rPr>
          <w:rFonts w:cs="Arial"/>
          <w:b/>
          <w:color w:val="2F5496" w:themeColor="accent1" w:themeShade="BF"/>
          <w:sz w:val="23"/>
          <w:szCs w:val="23"/>
          <w:u w:val="single"/>
          <w:lang w:val="es-MX"/>
        </w:rPr>
        <w:t>/2025-1</w:t>
      </w:r>
      <w:r w:rsidRPr="00064693">
        <w:rPr>
          <w:rFonts w:cs="Arial"/>
          <w:color w:val="2F5496" w:themeColor="accent1" w:themeShade="BF"/>
          <w:sz w:val="23"/>
          <w:szCs w:val="23"/>
          <w:lang w:val="es-MX"/>
        </w:rPr>
        <w:t>.</w:t>
      </w:r>
    </w:p>
    <w:p w14:paraId="6F0A6B50" w14:textId="77777777" w:rsidR="005825A1" w:rsidRPr="00064693" w:rsidRDefault="005825A1" w:rsidP="00F83FE1">
      <w:pPr>
        <w:pStyle w:val="corte4fondo"/>
        <w:tabs>
          <w:tab w:val="left" w:pos="567"/>
        </w:tabs>
        <w:ind w:firstLine="680"/>
        <w:rPr>
          <w:rFonts w:cs="Arial"/>
          <w:color w:val="2F5496" w:themeColor="accent1" w:themeShade="BF"/>
          <w:sz w:val="23"/>
          <w:szCs w:val="23"/>
          <w:lang w:val="es-MX"/>
        </w:rPr>
      </w:pPr>
      <w:r w:rsidRPr="00064693">
        <w:rPr>
          <w:rFonts w:cs="Arial"/>
          <w:color w:val="2F5496" w:themeColor="accent1" w:themeShade="BF"/>
          <w:sz w:val="23"/>
          <w:szCs w:val="23"/>
          <w:lang w:val="es-MX"/>
        </w:rPr>
        <w:t xml:space="preserve">Consecuentemente, </w:t>
      </w:r>
      <w:r w:rsidRPr="00064693">
        <w:rPr>
          <w:rFonts w:cs="Arial"/>
          <w:b/>
          <w:color w:val="2F5496" w:themeColor="accent1" w:themeShade="BF"/>
          <w:sz w:val="23"/>
          <w:szCs w:val="23"/>
          <w:lang w:val="es-MX"/>
        </w:rPr>
        <w:t>se instruye</w:t>
      </w:r>
      <w:r w:rsidRPr="00064693">
        <w:rPr>
          <w:rFonts w:cs="Arial"/>
          <w:color w:val="2F5496" w:themeColor="accent1" w:themeShade="BF"/>
          <w:sz w:val="23"/>
          <w:szCs w:val="23"/>
          <w:lang w:val="es-MX"/>
        </w:rPr>
        <w:t xml:space="preserve"> al sujeto obligado para que:</w:t>
      </w:r>
    </w:p>
    <w:p w14:paraId="0054DCE4" w14:textId="77777777" w:rsidR="00F83FE1" w:rsidRPr="00F83FE1" w:rsidRDefault="00F83FE1" w:rsidP="00F83FE1">
      <w:pPr>
        <w:pStyle w:val="Prrafodelista"/>
        <w:numPr>
          <w:ilvl w:val="0"/>
          <w:numId w:val="26"/>
        </w:numPr>
        <w:spacing w:after="0"/>
        <w:rPr>
          <w:rFonts w:ascii="Arial" w:eastAsia="Times New Roman" w:hAnsi="Arial" w:cs="Arial"/>
          <w:color w:val="2F5496" w:themeColor="accent1" w:themeShade="BF"/>
          <w:sz w:val="23"/>
          <w:szCs w:val="23"/>
          <w:lang w:val="es-ES" w:eastAsia="en-US"/>
        </w:rPr>
      </w:pPr>
      <w:r w:rsidRPr="00F83FE1">
        <w:rPr>
          <w:rFonts w:ascii="Arial" w:eastAsia="Times New Roman" w:hAnsi="Arial" w:cs="Arial"/>
          <w:color w:val="2F5496" w:themeColor="accent1" w:themeShade="BF"/>
          <w:sz w:val="23"/>
          <w:szCs w:val="23"/>
          <w:lang w:val="es-ES" w:eastAsia="en-US"/>
        </w:rPr>
        <w:lastRenderedPageBreak/>
        <w:t>Entregue el nombramiento de la Encargada de Despacho del Instituto Estatal de Ciegos.</w:t>
      </w:r>
    </w:p>
    <w:p w14:paraId="7DC3C3D6" w14:textId="0CFDEDB1" w:rsidR="005825A1" w:rsidRPr="00F83FE1" w:rsidRDefault="00F83FE1" w:rsidP="00F83FE1">
      <w:pPr>
        <w:pStyle w:val="corte4fondo"/>
        <w:tabs>
          <w:tab w:val="left" w:pos="567"/>
        </w:tabs>
        <w:spacing w:after="240"/>
        <w:ind w:left="1040" w:firstLine="0"/>
        <w:rPr>
          <w:rFonts w:cs="Arial"/>
          <w:color w:val="2F5496" w:themeColor="accent1" w:themeShade="BF"/>
          <w:sz w:val="23"/>
          <w:szCs w:val="23"/>
        </w:rPr>
      </w:pPr>
      <w:r w:rsidRPr="00F83FE1">
        <w:rPr>
          <w:rFonts w:cs="Arial"/>
          <w:color w:val="2F5496" w:themeColor="accent1" w:themeShade="BF"/>
          <w:sz w:val="23"/>
          <w:szCs w:val="23"/>
        </w:rPr>
        <w:t>En caso de que aún no se encuentre generado, emita una nueva respuesta en la cual,</w:t>
      </w:r>
      <w:r>
        <w:rPr>
          <w:rFonts w:cs="Arial"/>
          <w:color w:val="2F5496" w:themeColor="accent1" w:themeShade="BF"/>
          <w:sz w:val="23"/>
          <w:szCs w:val="23"/>
        </w:rPr>
        <w:t xml:space="preserve"> se apegue al procedimiento previsto en el artículo 160 de la Ley de Transparencia y Acceso a la Información Pública del Estado y declare</w:t>
      </w:r>
      <w:r w:rsidRPr="00F83FE1">
        <w:rPr>
          <w:rFonts w:cs="Arial"/>
          <w:color w:val="2F5496" w:themeColor="accent1" w:themeShade="BF"/>
          <w:sz w:val="23"/>
          <w:szCs w:val="23"/>
        </w:rPr>
        <w:t xml:space="preserve"> </w:t>
      </w:r>
      <w:r>
        <w:rPr>
          <w:rFonts w:cs="Arial"/>
          <w:color w:val="2F5496" w:themeColor="accent1" w:themeShade="BF"/>
          <w:sz w:val="23"/>
          <w:szCs w:val="23"/>
        </w:rPr>
        <w:t>formalmente</w:t>
      </w:r>
      <w:r>
        <w:rPr>
          <w:rFonts w:cs="Arial"/>
          <w:color w:val="2F5496" w:themeColor="accent1" w:themeShade="BF"/>
          <w:sz w:val="23"/>
          <w:szCs w:val="23"/>
        </w:rPr>
        <w:t xml:space="preserve"> la inexistencia de la información por conducto del Comité de Transparencia.  </w:t>
      </w:r>
    </w:p>
    <w:p w14:paraId="5A3CD89C" w14:textId="4937D227" w:rsidR="005825A1" w:rsidRDefault="00AD78B8" w:rsidP="005825A1">
      <w:pPr>
        <w:pStyle w:val="corte4fondo"/>
        <w:tabs>
          <w:tab w:val="left" w:pos="567"/>
        </w:tabs>
        <w:spacing w:after="240"/>
        <w:ind w:firstLine="680"/>
        <w:rPr>
          <w:rFonts w:cs="Arial"/>
          <w:color w:val="2F5496" w:themeColor="accent1" w:themeShade="BF"/>
          <w:sz w:val="23"/>
          <w:szCs w:val="23"/>
          <w:lang w:val="es-MX"/>
        </w:rPr>
      </w:pPr>
      <w:r>
        <w:rPr>
          <w:rFonts w:cs="Arial"/>
          <w:b/>
          <w:color w:val="2F5496" w:themeColor="accent1" w:themeShade="BF"/>
          <w:sz w:val="23"/>
          <w:szCs w:val="23"/>
        </w:rPr>
        <w:t xml:space="preserve">SEGUNDO. </w:t>
      </w:r>
      <w:r w:rsidR="005825A1" w:rsidRPr="00064693">
        <w:rPr>
          <w:rFonts w:cs="Arial"/>
          <w:color w:val="2F5496" w:themeColor="accent1" w:themeShade="BF"/>
          <w:sz w:val="23"/>
          <w:szCs w:val="23"/>
          <w:lang w:val="es-MX"/>
        </w:rPr>
        <w:t xml:space="preserve">Igualmente,  con fundamento en lo dispuesto por el artículo 185 fracción II de la Ley de Transparencia, así como en el lineamiento </w:t>
      </w:r>
      <w:r w:rsidR="005825A1">
        <w:rPr>
          <w:rFonts w:cs="Arial"/>
          <w:color w:val="2F5496" w:themeColor="accent1" w:themeShade="BF"/>
          <w:sz w:val="23"/>
          <w:szCs w:val="23"/>
          <w:lang w:val="es-MX"/>
        </w:rPr>
        <w:t>Trigésimo</w:t>
      </w:r>
      <w:r w:rsidR="005825A1" w:rsidRPr="00064693">
        <w:rPr>
          <w:rFonts w:cs="Arial"/>
          <w:color w:val="2F5496" w:themeColor="accent1" w:themeShade="BF"/>
          <w:sz w:val="23"/>
          <w:szCs w:val="23"/>
          <w:lang w:val="es-MX"/>
        </w:rPr>
        <w:t xml:space="preserve"> de los Lineamientos para la Recepción, Substanciación, Resolución y Cumplimiento de los Recursos de Revisión que rigen a las Unidades de Ponencia, </w:t>
      </w:r>
      <w:r w:rsidR="00F83FE1">
        <w:rPr>
          <w:rFonts w:cs="Arial"/>
          <w:b/>
          <w:color w:val="2F5496" w:themeColor="accent1" w:themeShade="BF"/>
          <w:sz w:val="23"/>
          <w:szCs w:val="23"/>
          <w:u w:val="single"/>
          <w:lang w:val="es-MX"/>
        </w:rPr>
        <w:t>se requiere al Titular de</w:t>
      </w:r>
      <w:r w:rsidR="005825A1" w:rsidRPr="00064693">
        <w:rPr>
          <w:rFonts w:cs="Arial"/>
          <w:b/>
          <w:color w:val="2F5496" w:themeColor="accent1" w:themeShade="BF"/>
          <w:sz w:val="23"/>
          <w:szCs w:val="23"/>
          <w:u w:val="single"/>
          <w:lang w:val="es-MX"/>
        </w:rPr>
        <w:t>l</w:t>
      </w:r>
      <w:r w:rsidR="00F83FE1">
        <w:rPr>
          <w:rFonts w:cs="Arial"/>
          <w:b/>
          <w:color w:val="2F5496" w:themeColor="accent1" w:themeShade="BF"/>
          <w:sz w:val="23"/>
          <w:szCs w:val="23"/>
          <w:u w:val="single"/>
          <w:lang w:val="es-MX"/>
        </w:rPr>
        <w:t xml:space="preserve"> Instituto Estatal de Ciegos</w:t>
      </w:r>
      <w:r w:rsidR="005825A1" w:rsidRPr="00064693">
        <w:rPr>
          <w:rFonts w:cs="Arial"/>
          <w:b/>
          <w:color w:val="2F5496" w:themeColor="accent1" w:themeShade="BF"/>
          <w:sz w:val="23"/>
          <w:szCs w:val="23"/>
          <w:u w:val="single"/>
          <w:lang w:val="es-MX"/>
        </w:rPr>
        <w:t>, en su carácter de superior jerárquico del Titular</w:t>
      </w:r>
      <w:r w:rsidR="005825A1">
        <w:rPr>
          <w:rFonts w:cs="Arial"/>
          <w:b/>
          <w:color w:val="2F5496" w:themeColor="accent1" w:themeShade="BF"/>
          <w:sz w:val="23"/>
          <w:szCs w:val="23"/>
          <w:u w:val="single"/>
          <w:lang w:val="es-MX"/>
        </w:rPr>
        <w:t xml:space="preserve"> de la Unidad de Transparencia, </w:t>
      </w:r>
      <w:r w:rsidR="005825A1" w:rsidRPr="00064693">
        <w:rPr>
          <w:rFonts w:cs="Arial"/>
          <w:b/>
          <w:color w:val="2F5496" w:themeColor="accent1" w:themeShade="BF"/>
          <w:sz w:val="23"/>
          <w:szCs w:val="23"/>
          <w:u w:val="single"/>
          <w:lang w:val="es-MX"/>
        </w:rPr>
        <w:t>para que dentro del término de 10 diez días hábiles contados a partir del día siguiente en que se practique la respectiva notificación, acompañe las constancias necesarias que acrediten el cumplimiento dado a la resolución dictada dentro del recurso de revisión en que se actúa</w:t>
      </w:r>
      <w:r w:rsidR="005825A1" w:rsidRPr="00064693">
        <w:rPr>
          <w:rFonts w:cs="Arial"/>
          <w:color w:val="2F5496" w:themeColor="accent1" w:themeShade="BF"/>
          <w:sz w:val="23"/>
          <w:szCs w:val="23"/>
          <w:lang w:val="es-MX"/>
        </w:rPr>
        <w:t xml:space="preserve">, tomando en cuenta las consideraciones contenidas en el presente proveído, </w:t>
      </w:r>
      <w:r w:rsidR="005825A1" w:rsidRPr="00064693">
        <w:rPr>
          <w:rFonts w:cs="Arial"/>
          <w:b/>
          <w:color w:val="2F5496" w:themeColor="accent1" w:themeShade="BF"/>
          <w:sz w:val="23"/>
          <w:szCs w:val="23"/>
          <w:u w:val="single"/>
          <w:lang w:val="es-MX"/>
        </w:rPr>
        <w:t>apercibido</w:t>
      </w:r>
      <w:r w:rsidR="005825A1" w:rsidRPr="00064693">
        <w:rPr>
          <w:rFonts w:cs="Arial"/>
          <w:color w:val="2F5496" w:themeColor="accent1" w:themeShade="BF"/>
          <w:sz w:val="23"/>
          <w:szCs w:val="23"/>
          <w:lang w:val="es-MX"/>
        </w:rPr>
        <w:t xml:space="preserve"> de que de no hacerlo, se impondrá en su contra la medida de apremio consistente en una </w:t>
      </w:r>
      <w:r w:rsidR="005825A1" w:rsidRPr="00064693">
        <w:rPr>
          <w:rFonts w:cs="Arial"/>
          <w:b/>
          <w:color w:val="2F5496" w:themeColor="accent1" w:themeShade="BF"/>
          <w:sz w:val="23"/>
          <w:szCs w:val="23"/>
          <w:u w:val="single"/>
          <w:lang w:val="es-MX"/>
        </w:rPr>
        <w:t>MULTA</w:t>
      </w:r>
      <w:r w:rsidR="005825A1" w:rsidRPr="00064693">
        <w:rPr>
          <w:rFonts w:cs="Arial"/>
          <w:color w:val="2F5496" w:themeColor="accent1" w:themeShade="BF"/>
          <w:sz w:val="23"/>
          <w:szCs w:val="23"/>
          <w:lang w:val="es-MX"/>
        </w:rPr>
        <w:t xml:space="preserve">, de conformidad con el artículo 190 fracción II y 197 fracción XV de la Ley de Transparencia y Acceso a la Información Pública del Estado. </w:t>
      </w:r>
    </w:p>
    <w:p w14:paraId="6B4EB9DA" w14:textId="710CF869" w:rsidR="005825A1" w:rsidRPr="00064693" w:rsidRDefault="00AD78B8" w:rsidP="005825A1">
      <w:pPr>
        <w:pStyle w:val="corte4fondo"/>
        <w:tabs>
          <w:tab w:val="left" w:pos="567"/>
        </w:tabs>
        <w:spacing w:after="240"/>
        <w:ind w:firstLine="680"/>
        <w:rPr>
          <w:rFonts w:cs="Arial"/>
          <w:color w:val="2F5496" w:themeColor="accent1" w:themeShade="BF"/>
          <w:sz w:val="23"/>
          <w:szCs w:val="23"/>
        </w:rPr>
      </w:pPr>
      <w:r>
        <w:rPr>
          <w:rFonts w:cs="Arial"/>
          <w:b/>
          <w:color w:val="2F5496" w:themeColor="accent1" w:themeShade="BF"/>
          <w:sz w:val="23"/>
          <w:szCs w:val="23"/>
        </w:rPr>
        <w:t xml:space="preserve">TERCERO. </w:t>
      </w:r>
      <w:r w:rsidR="005825A1" w:rsidRPr="00064693">
        <w:rPr>
          <w:rFonts w:cs="Arial"/>
          <w:b/>
          <w:color w:val="2F5496" w:themeColor="accent1" w:themeShade="BF"/>
          <w:sz w:val="23"/>
          <w:szCs w:val="23"/>
        </w:rPr>
        <w:t>Notifíquese por lista y personalmente a las partes</w:t>
      </w:r>
      <w:r w:rsidR="005825A1" w:rsidRPr="00064693">
        <w:rPr>
          <w:rFonts w:cs="Arial"/>
          <w:color w:val="2F5496" w:themeColor="accent1" w:themeShade="BF"/>
          <w:sz w:val="23"/>
          <w:szCs w:val="23"/>
        </w:rPr>
        <w:t>.</w:t>
      </w:r>
    </w:p>
    <w:p w14:paraId="463CD096" w14:textId="77777777" w:rsidR="005825A1" w:rsidRPr="00064693" w:rsidRDefault="005825A1" w:rsidP="005825A1">
      <w:pPr>
        <w:pStyle w:val="corte4fondo"/>
        <w:tabs>
          <w:tab w:val="left" w:pos="567"/>
        </w:tabs>
        <w:ind w:firstLine="0"/>
        <w:rPr>
          <w:rFonts w:cs="Arial"/>
          <w:color w:val="2F5496" w:themeColor="accent1" w:themeShade="BF"/>
          <w:sz w:val="23"/>
          <w:szCs w:val="23"/>
        </w:rPr>
      </w:pPr>
      <w:r w:rsidRPr="00064693">
        <w:rPr>
          <w:rFonts w:cs="Arial"/>
          <w:color w:val="2F5496" w:themeColor="accent1" w:themeShade="BF"/>
          <w:sz w:val="23"/>
          <w:szCs w:val="23"/>
        </w:rPr>
        <w:tab/>
        <w:t>Así lo proveyó y firma la Licenciada Marcela Acosta Ibáñez, Proyectista adscrita a la Ponencia 1 de esta Comisión Estatal de Garantía de Ac</w:t>
      </w:r>
      <w:r>
        <w:rPr>
          <w:rFonts w:cs="Arial"/>
          <w:color w:val="2F5496" w:themeColor="accent1" w:themeShade="BF"/>
          <w:sz w:val="23"/>
          <w:szCs w:val="23"/>
        </w:rPr>
        <w:t xml:space="preserve">ceso a la Información Pública. </w:t>
      </w:r>
    </w:p>
    <w:p w14:paraId="261AF604" w14:textId="77777777" w:rsidR="005825A1" w:rsidRPr="00044328" w:rsidRDefault="005825A1" w:rsidP="005825A1">
      <w:pPr>
        <w:pStyle w:val="corte4fondo"/>
        <w:tabs>
          <w:tab w:val="left" w:pos="567"/>
        </w:tabs>
        <w:ind w:firstLine="0"/>
        <w:rPr>
          <w:rFonts w:ascii="AvantGarde Bk BT" w:hAnsi="AvantGarde Bk BT" w:cs="Arial"/>
          <w:i/>
          <w:color w:val="2F5496" w:themeColor="accent1" w:themeShade="BF"/>
          <w:sz w:val="18"/>
          <w:szCs w:val="14"/>
          <w:vertAlign w:val="superscript"/>
        </w:rPr>
      </w:pPr>
      <w:r w:rsidRPr="00044328">
        <w:rPr>
          <w:rFonts w:ascii="AvantGarde Bk BT" w:hAnsi="AvantGarde Bk BT" w:cs="Arial"/>
          <w:i/>
          <w:color w:val="2F5496" w:themeColor="accent1" w:themeShade="BF"/>
          <w:sz w:val="18"/>
          <w:szCs w:val="14"/>
          <w:vertAlign w:val="superscript"/>
        </w:rPr>
        <w:t>PRT.</w:t>
      </w:r>
    </w:p>
    <w:p w14:paraId="735CC407" w14:textId="77777777" w:rsidR="005825A1" w:rsidRPr="008B55BE" w:rsidRDefault="005825A1" w:rsidP="005825A1">
      <w:pPr>
        <w:pStyle w:val="corte4fondo"/>
        <w:tabs>
          <w:tab w:val="left" w:pos="567"/>
        </w:tabs>
        <w:ind w:firstLine="0"/>
        <w:rPr>
          <w:rFonts w:ascii="AvantGarde Bk BT" w:hAnsi="AvantGarde Bk BT" w:cs="Arial"/>
          <w:sz w:val="22"/>
        </w:rPr>
      </w:pPr>
    </w:p>
    <w:p w14:paraId="4CA251CD" w14:textId="49F25CC3" w:rsidR="00C927B3" w:rsidRPr="00F83FE1" w:rsidRDefault="005825A1" w:rsidP="00F83FE1">
      <w:pPr>
        <w:pStyle w:val="corte4fondo"/>
        <w:tabs>
          <w:tab w:val="left" w:pos="567"/>
        </w:tabs>
        <w:ind w:firstLine="0"/>
        <w:rPr>
          <w:rFonts w:ascii="AvantGarde Bk BT" w:hAnsi="AvantGarde Bk BT" w:cs="Arial"/>
          <w:sz w:val="22"/>
        </w:rPr>
      </w:pPr>
      <w:r w:rsidRPr="008B55BE">
        <w:rPr>
          <w:rFonts w:ascii="AvantGarde Bk BT" w:hAnsi="AvantGarde Bk BT" w:cs="Arial"/>
          <w:noProof/>
          <w:lang w:val="es-MX" w:eastAsia="es-MX"/>
        </w:rPr>
        <mc:AlternateContent>
          <mc:Choice Requires="wps">
            <w:drawing>
              <wp:anchor distT="0" distB="0" distL="114300" distR="114300" simplePos="0" relativeHeight="251664384" behindDoc="0" locked="0" layoutInCell="1" allowOverlap="1" wp14:anchorId="5790560B" wp14:editId="5741DB81">
                <wp:simplePos x="0" y="0"/>
                <wp:positionH relativeFrom="margin">
                  <wp:posOffset>1536700</wp:posOffset>
                </wp:positionH>
                <wp:positionV relativeFrom="paragraph">
                  <wp:posOffset>15875</wp:posOffset>
                </wp:positionV>
                <wp:extent cx="3257550" cy="657225"/>
                <wp:effectExtent l="0" t="0" r="0" b="9525"/>
                <wp:wrapNone/>
                <wp:docPr id="3" name="Cuadro de texto 3"/>
                <wp:cNvGraphicFramePr/>
                <a:graphic xmlns:a="http://schemas.openxmlformats.org/drawingml/2006/main">
                  <a:graphicData uri="http://schemas.microsoft.com/office/word/2010/wordprocessingShape">
                    <wps:wsp>
                      <wps:cNvSpPr txBox="1"/>
                      <wps:spPr>
                        <a:xfrm>
                          <a:off x="0" y="0"/>
                          <a:ext cx="3257550" cy="657225"/>
                        </a:xfrm>
                        <a:prstGeom prst="rect">
                          <a:avLst/>
                        </a:prstGeom>
                        <a:solidFill>
                          <a:schemeClr val="lt1"/>
                        </a:solidFill>
                        <a:ln w="6350">
                          <a:noFill/>
                        </a:ln>
                      </wps:spPr>
                      <wps:txbx>
                        <w:txbxContent>
                          <w:p w14:paraId="7A6CB5A1" w14:textId="77777777" w:rsidR="005825A1" w:rsidRPr="00044328" w:rsidRDefault="005825A1" w:rsidP="005825A1">
                            <w:pPr>
                              <w:spacing w:after="0"/>
                              <w:jc w:val="center"/>
                              <w:rPr>
                                <w:rFonts w:ascii="Arial" w:hAnsi="Arial" w:cs="Arial"/>
                                <w:b/>
                                <w:color w:val="2F5496" w:themeColor="accent1" w:themeShade="BF"/>
                              </w:rPr>
                            </w:pPr>
                            <w:r w:rsidRPr="00044328">
                              <w:rPr>
                                <w:rFonts w:ascii="Arial" w:hAnsi="Arial" w:cs="Arial"/>
                                <w:b/>
                                <w:color w:val="2F5496" w:themeColor="accent1" w:themeShade="BF"/>
                              </w:rPr>
                              <w:t>Licenciada Marcela Acosta Ibáñez.</w:t>
                            </w:r>
                          </w:p>
                          <w:p w14:paraId="3780D16F" w14:textId="77777777" w:rsidR="005825A1" w:rsidRPr="00044328" w:rsidRDefault="005825A1" w:rsidP="005825A1">
                            <w:pPr>
                              <w:jc w:val="center"/>
                              <w:rPr>
                                <w:rFonts w:ascii="Arial" w:hAnsi="Arial" w:cs="Arial"/>
                                <w:color w:val="2F5496" w:themeColor="accent1" w:themeShade="BF"/>
                              </w:rPr>
                            </w:pPr>
                            <w:r w:rsidRPr="00044328">
                              <w:rPr>
                                <w:rFonts w:ascii="Arial" w:hAnsi="Arial" w:cs="Arial"/>
                                <w:b/>
                                <w:color w:val="2F5496" w:themeColor="accent1" w:themeShade="BF"/>
                              </w:rPr>
                              <w:t>Proyectista Ponencia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90560B" id="_x0000_t202" coordsize="21600,21600" o:spt="202" path="m,l,21600r21600,l21600,xe">
                <v:stroke joinstyle="miter"/>
                <v:path gradientshapeok="t" o:connecttype="rect"/>
              </v:shapetype>
              <v:shape id="Cuadro de texto 3" o:spid="_x0000_s1026" type="#_x0000_t202" style="position:absolute;left:0;text-align:left;margin-left:121pt;margin-top:1.25pt;width:256.5pt;height:51.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" fillcolor="white [3201]" stroked="f" strokeweight=".5pt">
                <v:textbox>
                  <w:txbxContent>
                    <w:p w14:paraId="7A6CB5A1" w14:textId="77777777" w:rsidR="005825A1" w:rsidRPr="00044328" w:rsidRDefault="005825A1" w:rsidP="005825A1">
                      <w:pPr>
                        <w:spacing w:after="0"/>
                        <w:jc w:val="center"/>
                        <w:rPr>
                          <w:rFonts w:ascii="Arial" w:hAnsi="Arial" w:cs="Arial"/>
                          <w:b/>
                          <w:color w:val="2F5496" w:themeColor="accent1" w:themeShade="BF"/>
                        </w:rPr>
                      </w:pPr>
                      <w:r w:rsidRPr="00044328">
                        <w:rPr>
                          <w:rFonts w:ascii="Arial" w:hAnsi="Arial" w:cs="Arial"/>
                          <w:b/>
                          <w:color w:val="2F5496" w:themeColor="accent1" w:themeShade="BF"/>
                        </w:rPr>
                        <w:t>Licenciada Marcela Acosta Ibáñez.</w:t>
                      </w:r>
                    </w:p>
                    <w:p w14:paraId="3780D16F" w14:textId="77777777" w:rsidR="005825A1" w:rsidRPr="00044328" w:rsidRDefault="005825A1" w:rsidP="005825A1">
                      <w:pPr>
                        <w:jc w:val="center"/>
                        <w:rPr>
                          <w:rFonts w:ascii="Arial" w:hAnsi="Arial" w:cs="Arial"/>
                          <w:color w:val="2F5496" w:themeColor="accent1" w:themeShade="BF"/>
                        </w:rPr>
                      </w:pPr>
                      <w:r w:rsidRPr="00044328">
                        <w:rPr>
                          <w:rFonts w:ascii="Arial" w:hAnsi="Arial" w:cs="Arial"/>
                          <w:b/>
                          <w:color w:val="2F5496" w:themeColor="accent1" w:themeShade="BF"/>
                        </w:rPr>
                        <w:t>Proyectista Ponencia 1.</w:t>
                      </w:r>
                    </w:p>
                  </w:txbxContent>
                </v:textbox>
                <w10:wrap anchorx="margin"/>
              </v:shape>
            </w:pict>
          </mc:Fallback>
        </mc:AlternateContent>
      </w:r>
    </w:p>
    <w:p w14:paraId="7882A84B" w14:textId="25DAE997" w:rsidR="00AB3847" w:rsidRDefault="00AB3847" w:rsidP="00AB3847">
      <w:pPr>
        <w:spacing w:line="240" w:lineRule="auto"/>
      </w:pPr>
    </w:p>
    <w:p w14:paraId="5A3FFD73" w14:textId="06F27BDC" w:rsidR="00F83FE1" w:rsidRDefault="00F83FE1" w:rsidP="00AB3847">
      <w:pPr>
        <w:spacing w:line="240" w:lineRule="auto"/>
      </w:pPr>
    </w:p>
    <w:p w14:paraId="759CABFE" w14:textId="5EE92C6F" w:rsidR="00F83FE1" w:rsidRPr="00AB3847" w:rsidRDefault="00F83FE1" w:rsidP="00AB3847">
      <w:pPr>
        <w:spacing w:line="240" w:lineRule="auto"/>
      </w:pPr>
      <w:bookmarkStart w:id="0" w:name="_GoBack"/>
      <w:bookmarkEnd w:id="0"/>
    </w:p>
    <w:p w14:paraId="38C1358D" w14:textId="64A85187" w:rsidR="00AB3847" w:rsidRPr="00AB3847" w:rsidRDefault="00AB3847" w:rsidP="00AB3847">
      <w:pPr>
        <w:spacing w:line="240" w:lineRule="auto"/>
        <w:jc w:val="both"/>
        <w:rPr>
          <w:color w:val="2F5496" w:themeColor="accent1" w:themeShade="BF"/>
          <w:sz w:val="18"/>
          <w:szCs w:val="18"/>
        </w:rPr>
      </w:pPr>
      <w:r w:rsidRPr="00AB3847">
        <w:rPr>
          <w:color w:val="2F5496" w:themeColor="accent1" w:themeShade="BF"/>
          <w:sz w:val="18"/>
          <w:szCs w:val="18"/>
        </w:rPr>
        <w:t>A las ocho horas del día ___</w:t>
      </w:r>
      <w:r>
        <w:rPr>
          <w:b/>
          <w:color w:val="2F5496" w:themeColor="accent1" w:themeShade="BF"/>
          <w:sz w:val="18"/>
          <w:szCs w:val="18"/>
          <w:u w:val="single"/>
        </w:rPr>
        <w:t>11</w:t>
      </w:r>
      <w:r w:rsidRPr="00AB3847">
        <w:rPr>
          <w:b/>
          <w:color w:val="2F5496" w:themeColor="accent1" w:themeShade="BF"/>
          <w:sz w:val="18"/>
          <w:szCs w:val="18"/>
        </w:rPr>
        <w:t>__</w:t>
      </w:r>
      <w:r w:rsidRPr="00AB3847">
        <w:rPr>
          <w:color w:val="2F5496" w:themeColor="accent1" w:themeShade="BF"/>
          <w:sz w:val="18"/>
          <w:szCs w:val="18"/>
        </w:rPr>
        <w:t>_de _</w:t>
      </w:r>
      <w:r w:rsidRPr="00AB3847">
        <w:rPr>
          <w:b/>
          <w:color w:val="2F5496" w:themeColor="accent1" w:themeShade="BF"/>
          <w:sz w:val="18"/>
          <w:szCs w:val="18"/>
          <w:u w:val="single"/>
        </w:rPr>
        <w:t>diciembre</w:t>
      </w:r>
      <w:r w:rsidRPr="00AB3847">
        <w:rPr>
          <w:color w:val="2F5496" w:themeColor="accent1" w:themeShade="BF"/>
          <w:sz w:val="18"/>
          <w:szCs w:val="18"/>
        </w:rPr>
        <w:t>_ de _</w:t>
      </w:r>
      <w:r w:rsidRPr="00AB3847">
        <w:rPr>
          <w:b/>
          <w:color w:val="2F5496" w:themeColor="accent1" w:themeShade="BF"/>
          <w:sz w:val="18"/>
          <w:szCs w:val="18"/>
          <w:u w:val="single"/>
        </w:rPr>
        <w:t>2025</w:t>
      </w:r>
      <w:r w:rsidRPr="00AB3847">
        <w:rPr>
          <w:color w:val="2F5496" w:themeColor="accent1" w:themeShade="BF"/>
          <w:sz w:val="18"/>
          <w:szCs w:val="18"/>
        </w:rPr>
        <w:t xml:space="preserve">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 - - - - - - - - - - - - - - - - - - - - - </w:t>
      </w:r>
      <w:r>
        <w:rPr>
          <w:color w:val="2F5496" w:themeColor="accent1" w:themeShade="BF"/>
          <w:sz w:val="18"/>
          <w:szCs w:val="18"/>
        </w:rPr>
        <w:t xml:space="preserve">- - - - - - - - - </w:t>
      </w:r>
      <w:proofErr w:type="gramStart"/>
      <w:r w:rsidRPr="00AB3847">
        <w:rPr>
          <w:b/>
          <w:color w:val="2F5496" w:themeColor="accent1" w:themeShade="BF"/>
          <w:sz w:val="18"/>
          <w:szCs w:val="18"/>
        </w:rPr>
        <w:t>DOY  FE</w:t>
      </w:r>
      <w:proofErr w:type="gramEnd"/>
      <w:r w:rsidRPr="00AB3847">
        <w:rPr>
          <w:color w:val="2F5496" w:themeColor="accent1" w:themeShade="BF"/>
          <w:sz w:val="18"/>
          <w:szCs w:val="18"/>
        </w:rPr>
        <w:t>- - - - - - - - - - - - - - - - - - - - - - - - - - - - - - - - - - - - - - - - -</w:t>
      </w:r>
      <w:r>
        <w:rPr>
          <w:color w:val="2F5496" w:themeColor="accent1" w:themeShade="BF"/>
          <w:sz w:val="18"/>
          <w:szCs w:val="18"/>
        </w:rPr>
        <w:t xml:space="preserve"> - </w:t>
      </w:r>
    </w:p>
    <w:p w14:paraId="673035D7" w14:textId="77777777" w:rsidR="00AB3847" w:rsidRPr="00AB3847" w:rsidRDefault="00AB3847" w:rsidP="00AB3847">
      <w:pPr>
        <w:spacing w:line="240" w:lineRule="auto"/>
        <w:ind w:firstLine="284"/>
        <w:jc w:val="center"/>
        <w:rPr>
          <w:color w:val="2F5496" w:themeColor="accent1" w:themeShade="BF"/>
          <w:sz w:val="18"/>
          <w:szCs w:val="18"/>
        </w:rPr>
      </w:pPr>
    </w:p>
    <w:p w14:paraId="5AB5E721" w14:textId="28DFCFA2" w:rsidR="00AB3847" w:rsidRPr="00AB3847" w:rsidRDefault="00AB3847" w:rsidP="00AB3847">
      <w:pPr>
        <w:spacing w:line="240" w:lineRule="auto"/>
        <w:ind w:firstLine="284"/>
        <w:jc w:val="center"/>
        <w:rPr>
          <w:b/>
          <w:color w:val="2F5496" w:themeColor="accent1" w:themeShade="BF"/>
          <w:sz w:val="18"/>
          <w:szCs w:val="18"/>
        </w:rPr>
      </w:pPr>
      <w:r w:rsidRPr="00AB3847">
        <w:rPr>
          <w:b/>
          <w:color w:val="2F5496" w:themeColor="accent1" w:themeShade="BF"/>
          <w:sz w:val="18"/>
          <w:szCs w:val="18"/>
        </w:rPr>
        <w:t>Lic. Javier Pérez Limón, notificador.</w:t>
      </w:r>
    </w:p>
    <w:sectPr w:rsidR="00AB3847" w:rsidRPr="00AB3847" w:rsidSect="006D3052">
      <w:headerReference w:type="even" r:id="rId8"/>
      <w:headerReference w:type="default" r:id="rId9"/>
      <w:footerReference w:type="default" r:id="rId10"/>
      <w:pgSz w:w="12242" w:h="19442" w:code="190"/>
      <w:pgMar w:top="2866" w:right="1701" w:bottom="2269" w:left="1701"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9ABC2D" w14:textId="77777777" w:rsidR="00525582" w:rsidRDefault="00525582" w:rsidP="00BB58C4">
      <w:pPr>
        <w:spacing w:after="0" w:line="240" w:lineRule="auto"/>
      </w:pPr>
      <w:r>
        <w:separator/>
      </w:r>
    </w:p>
  </w:endnote>
  <w:endnote w:type="continuationSeparator" w:id="0">
    <w:p w14:paraId="6F600CE8" w14:textId="77777777" w:rsidR="00525582" w:rsidRDefault="00525582"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vantGarde Bk BT">
    <w:altName w:val="Century Gothic"/>
    <w:charset w:val="00"/>
    <w:family w:val="swiss"/>
    <w:pitch w:val="variable"/>
    <w:sig w:usb0="00000001"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47084E" w:rsidRDefault="0047084E"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978F39" w14:textId="77777777" w:rsidR="00525582" w:rsidRDefault="00525582" w:rsidP="00BB58C4">
      <w:pPr>
        <w:spacing w:after="0" w:line="240" w:lineRule="auto"/>
      </w:pPr>
      <w:r>
        <w:separator/>
      </w:r>
    </w:p>
  </w:footnote>
  <w:footnote w:type="continuationSeparator" w:id="0">
    <w:p w14:paraId="569A1DD9" w14:textId="77777777" w:rsidR="00525582" w:rsidRDefault="00525582" w:rsidP="00BB58C4">
      <w:pPr>
        <w:spacing w:after="0" w:line="240" w:lineRule="auto"/>
      </w:pPr>
      <w:r>
        <w:continuationSeparator/>
      </w:r>
    </w:p>
  </w:footnote>
  <w:footnote w:id="1">
    <w:p w14:paraId="71C35409" w14:textId="1075E677" w:rsidR="00575AFB" w:rsidRPr="00F83FE1" w:rsidRDefault="00575AFB" w:rsidP="006948C6">
      <w:pPr>
        <w:pStyle w:val="Textonotapie"/>
        <w:jc w:val="both"/>
        <w:rPr>
          <w:sz w:val="16"/>
          <w:szCs w:val="16"/>
          <w:lang w:val="es-ES"/>
        </w:rPr>
      </w:pPr>
      <w:r w:rsidRPr="00F83FE1">
        <w:rPr>
          <w:rStyle w:val="Refdenotaalpie"/>
          <w:sz w:val="16"/>
          <w:szCs w:val="16"/>
        </w:rPr>
        <w:footnoteRef/>
      </w:r>
      <w:r w:rsidRPr="00F83FE1">
        <w:rPr>
          <w:sz w:val="16"/>
          <w:szCs w:val="16"/>
        </w:rPr>
        <w:t xml:space="preserve"> </w:t>
      </w:r>
      <w:r w:rsidRPr="00F83FE1">
        <w:rPr>
          <w:b/>
          <w:sz w:val="16"/>
          <w:szCs w:val="16"/>
          <w:lang w:val="es-ES"/>
        </w:rPr>
        <w:t>ARTÍCULO 3°.</w:t>
      </w:r>
      <w:r w:rsidRPr="00F83FE1">
        <w:rPr>
          <w:sz w:val="16"/>
          <w:szCs w:val="16"/>
          <w:lang w:val="es-ES"/>
        </w:rPr>
        <w:t xml:space="preserve"> Para los efectos de la presente Ley se entenderá por:</w:t>
      </w:r>
    </w:p>
    <w:p w14:paraId="16170A45" w14:textId="26F7DA5D" w:rsidR="00575AFB" w:rsidRPr="00F83FE1" w:rsidRDefault="00575AFB" w:rsidP="006948C6">
      <w:pPr>
        <w:pStyle w:val="Textonotapie"/>
        <w:jc w:val="both"/>
        <w:rPr>
          <w:sz w:val="16"/>
          <w:szCs w:val="16"/>
          <w:lang w:val="es-ES"/>
        </w:rPr>
      </w:pPr>
      <w:r w:rsidRPr="00F83FE1">
        <w:rPr>
          <w:sz w:val="16"/>
          <w:szCs w:val="16"/>
          <w:lang w:val="es-ES"/>
        </w:rPr>
        <w:t>[…]</w:t>
      </w:r>
    </w:p>
    <w:p w14:paraId="0D80E90C" w14:textId="757C0E9C" w:rsidR="00575AFB" w:rsidRPr="00F83FE1" w:rsidRDefault="00575AFB" w:rsidP="006948C6">
      <w:pPr>
        <w:pStyle w:val="Textonotapie"/>
        <w:jc w:val="both"/>
        <w:rPr>
          <w:sz w:val="16"/>
          <w:szCs w:val="16"/>
          <w:lang w:val="es-ES"/>
        </w:rPr>
      </w:pPr>
      <w:r w:rsidRPr="00F83FE1">
        <w:rPr>
          <w:sz w:val="16"/>
          <w:szCs w:val="16"/>
          <w:lang w:val="es-ES"/>
        </w:rPr>
        <w:t>XII. Derecho de Acceso a la información pública: derecho humano de las personas para acceder a la información pública en posesión de los sujetos obligados, en los términos de esta Ley;</w:t>
      </w:r>
    </w:p>
    <w:p w14:paraId="334979B9" w14:textId="40FDD824" w:rsidR="00575AFB" w:rsidRPr="00F83FE1" w:rsidRDefault="00575AFB" w:rsidP="006948C6">
      <w:pPr>
        <w:pStyle w:val="Textonotapie"/>
        <w:jc w:val="both"/>
        <w:rPr>
          <w:sz w:val="16"/>
          <w:szCs w:val="16"/>
          <w:lang w:val="es-ES"/>
        </w:rPr>
      </w:pPr>
      <w:r w:rsidRPr="00F83FE1">
        <w:rPr>
          <w:sz w:val="16"/>
          <w:szCs w:val="16"/>
          <w:lang w:val="es-ES"/>
        </w:rPr>
        <w:t>[…].</w:t>
      </w:r>
    </w:p>
    <w:p w14:paraId="7C63D591" w14:textId="77777777" w:rsidR="00575AFB" w:rsidRPr="00F83FE1" w:rsidRDefault="00575AFB" w:rsidP="006948C6">
      <w:pPr>
        <w:pStyle w:val="Textonotapie"/>
        <w:jc w:val="both"/>
        <w:rPr>
          <w:sz w:val="16"/>
          <w:szCs w:val="16"/>
        </w:rPr>
      </w:pPr>
      <w:r w:rsidRPr="00F83FE1">
        <w:rPr>
          <w:b/>
          <w:sz w:val="16"/>
          <w:szCs w:val="16"/>
        </w:rPr>
        <w:t>ARTÍCULO 4°.</w:t>
      </w:r>
      <w:r w:rsidRPr="00F83FE1">
        <w:rPr>
          <w:sz w:val="16"/>
          <w:szCs w:val="16"/>
        </w:rPr>
        <w:t xml:space="preserve"> El derecho humano de acceso a la información comprende solicitar, investigar, difundir, buscar y recibir información. </w:t>
      </w:r>
    </w:p>
    <w:p w14:paraId="6559A3CF" w14:textId="28138C7F" w:rsidR="00575AFB" w:rsidRPr="00F83FE1" w:rsidRDefault="00575AFB" w:rsidP="006948C6">
      <w:pPr>
        <w:pStyle w:val="Textonotapie"/>
        <w:jc w:val="both"/>
        <w:rPr>
          <w:sz w:val="16"/>
          <w:szCs w:val="16"/>
        </w:rPr>
      </w:pPr>
      <w:r w:rsidRPr="00F83FE1">
        <w:rPr>
          <w:sz w:val="16"/>
          <w:szCs w:val="16"/>
        </w:rPr>
        <w:t>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14:paraId="1101A4A7" w14:textId="62B324F3" w:rsidR="006948C6" w:rsidRPr="00F83FE1" w:rsidRDefault="006948C6" w:rsidP="006948C6">
      <w:pPr>
        <w:pStyle w:val="Textonotapie"/>
        <w:jc w:val="both"/>
        <w:rPr>
          <w:sz w:val="16"/>
          <w:szCs w:val="16"/>
          <w:lang w:val="es-ES"/>
        </w:rPr>
      </w:pPr>
      <w:r w:rsidRPr="00F83FE1">
        <w:rPr>
          <w:b/>
          <w:sz w:val="16"/>
          <w:szCs w:val="16"/>
          <w:lang w:val="es-ES"/>
        </w:rPr>
        <w:t>ARTÍCULO 151.</w:t>
      </w:r>
      <w:r w:rsidRPr="00F83FE1">
        <w:rPr>
          <w:sz w:val="16"/>
          <w:szCs w:val="16"/>
          <w:lang w:val="es-ES"/>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14:paraId="0D9D74BE" w14:textId="6C23DBE3" w:rsidR="006948C6" w:rsidRPr="00F83FE1" w:rsidRDefault="006948C6" w:rsidP="006948C6">
      <w:pPr>
        <w:pStyle w:val="Textonotapie"/>
        <w:jc w:val="both"/>
        <w:rPr>
          <w:sz w:val="16"/>
          <w:szCs w:val="16"/>
        </w:rPr>
      </w:pPr>
      <w:r w:rsidRPr="00F83FE1">
        <w:rPr>
          <w:sz w:val="16"/>
          <w:szCs w:val="16"/>
          <w:lang w:val="es-ES"/>
        </w:rPr>
        <w:t>[…].</w:t>
      </w:r>
    </w:p>
  </w:footnote>
  <w:footnote w:id="2">
    <w:p w14:paraId="12FF0637" w14:textId="4C24C0C7" w:rsidR="0061316A" w:rsidRPr="00F83FE1" w:rsidRDefault="0061316A" w:rsidP="0061316A">
      <w:pPr>
        <w:pStyle w:val="Textonotapie"/>
        <w:jc w:val="both"/>
        <w:rPr>
          <w:sz w:val="16"/>
          <w:szCs w:val="16"/>
        </w:rPr>
      </w:pPr>
      <w:r w:rsidRPr="00F83FE1">
        <w:rPr>
          <w:rStyle w:val="Refdenotaalpie"/>
          <w:sz w:val="16"/>
          <w:szCs w:val="16"/>
        </w:rPr>
        <w:footnoteRef/>
      </w:r>
      <w:r w:rsidRPr="00F83FE1">
        <w:rPr>
          <w:sz w:val="16"/>
          <w:szCs w:val="16"/>
        </w:rPr>
        <w:t xml:space="preserve"> </w:t>
      </w:r>
      <w:r w:rsidRPr="00F83FE1">
        <w:rPr>
          <w:sz w:val="16"/>
          <w:szCs w:val="16"/>
          <w:lang w:val="es-ES"/>
        </w:rPr>
        <w:t>ARTÍCULO 160. Cuando la información no se encuentre en los archivos del sujeto obligado, el Comité de Transparencia: I. Analizará el caso y tomará las medidas necesarias para localizar la información; II. Expedirá una resolución que confirme la inexistencia del Documento; 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IV. Notificará al órgano interno de control o equivalente del sujeto obligado quien, en su caso, deberá iniciar el procedimiento de responsabilidad administrativa que corresponda.</w:t>
      </w:r>
    </w:p>
  </w:footnote>
  <w:footnote w:id="3">
    <w:p w14:paraId="3F67CAA5" w14:textId="091C3FD6" w:rsidR="0061316A" w:rsidRPr="00F83FE1" w:rsidRDefault="0061316A" w:rsidP="0061316A">
      <w:pPr>
        <w:pStyle w:val="Textonotapie"/>
        <w:jc w:val="both"/>
        <w:rPr>
          <w:sz w:val="16"/>
          <w:szCs w:val="16"/>
        </w:rPr>
      </w:pPr>
      <w:r w:rsidRPr="00F83FE1">
        <w:rPr>
          <w:rStyle w:val="Refdenotaalpie"/>
          <w:sz w:val="16"/>
          <w:szCs w:val="16"/>
        </w:rPr>
        <w:footnoteRef/>
      </w:r>
      <w:r w:rsidRPr="00F83FE1">
        <w:rPr>
          <w:sz w:val="16"/>
          <w:szCs w:val="16"/>
        </w:rPr>
        <w:t xml:space="preserve"> </w:t>
      </w:r>
      <w:r w:rsidRPr="00F83FE1">
        <w:rPr>
          <w:sz w:val="16"/>
          <w:szCs w:val="16"/>
          <w:lang w:val="es-ES"/>
        </w:rPr>
        <w:t>ARTÍCULO 161.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p>
  </w:footnote>
  <w:footnote w:id="4">
    <w:p w14:paraId="50868ECA" w14:textId="4DB27E08" w:rsidR="003B2B21" w:rsidRPr="00F83FE1" w:rsidRDefault="003B2B21">
      <w:pPr>
        <w:pStyle w:val="Textonotapie"/>
        <w:rPr>
          <w:sz w:val="16"/>
          <w:szCs w:val="16"/>
          <w:lang w:val="es-ES"/>
        </w:rPr>
      </w:pPr>
      <w:r w:rsidRPr="00F83FE1">
        <w:rPr>
          <w:rStyle w:val="Refdenotaalpie"/>
          <w:sz w:val="16"/>
          <w:szCs w:val="16"/>
        </w:rPr>
        <w:footnoteRef/>
      </w:r>
      <w:r w:rsidRPr="00F83FE1">
        <w:rPr>
          <w:sz w:val="16"/>
          <w:szCs w:val="16"/>
        </w:rPr>
        <w:t xml:space="preserve"> </w:t>
      </w:r>
      <w:r w:rsidRPr="00F83FE1">
        <w:rPr>
          <w:sz w:val="16"/>
          <w:szCs w:val="16"/>
          <w:lang w:val="es-ES"/>
        </w:rPr>
        <w:t>ARTÍCULO 52. Cada Comité de Transparencia tendrá las siguientes funciones:</w:t>
      </w:r>
    </w:p>
    <w:p w14:paraId="5399E03B" w14:textId="71447B5A" w:rsidR="003B2B21" w:rsidRPr="00F83FE1" w:rsidRDefault="003B2B21">
      <w:pPr>
        <w:pStyle w:val="Textonotapie"/>
        <w:rPr>
          <w:sz w:val="16"/>
          <w:szCs w:val="16"/>
          <w:lang w:val="es-ES"/>
        </w:rPr>
      </w:pPr>
      <w:r w:rsidRPr="00F83FE1">
        <w:rPr>
          <w:sz w:val="16"/>
          <w:szCs w:val="16"/>
          <w:lang w:val="es-ES"/>
        </w:rPr>
        <w:t>[…]</w:t>
      </w:r>
    </w:p>
    <w:p w14:paraId="6B3D1CD6" w14:textId="676197EC" w:rsidR="003B2B21" w:rsidRPr="00F83FE1" w:rsidRDefault="003B2B21">
      <w:pPr>
        <w:pStyle w:val="Textonotapie"/>
        <w:rPr>
          <w:sz w:val="16"/>
          <w:szCs w:val="16"/>
          <w:lang w:val="es-ES"/>
        </w:rPr>
      </w:pPr>
      <w:r w:rsidRPr="00F83FE1">
        <w:rPr>
          <w:sz w:val="16"/>
          <w:szCs w:val="16"/>
          <w:lang w:val="es-ES"/>
        </w:rPr>
        <w:t xml:space="preserve">II. Confirmar, modificar o revocar las determinaciones </w:t>
      </w:r>
      <w:proofErr w:type="gramStart"/>
      <w:r w:rsidRPr="00F83FE1">
        <w:rPr>
          <w:sz w:val="16"/>
          <w:szCs w:val="16"/>
          <w:lang w:val="es-ES"/>
        </w:rPr>
        <w:t>que</w:t>
      </w:r>
      <w:proofErr w:type="gramEnd"/>
      <w:r w:rsidRPr="00F83FE1">
        <w:rPr>
          <w:sz w:val="16"/>
          <w:szCs w:val="16"/>
          <w:lang w:val="es-ES"/>
        </w:rPr>
        <w:t xml:space="preserve"> en materia de ampliación del plazo de respuesta, clasificación de la información y </w:t>
      </w:r>
      <w:r w:rsidRPr="00F83FE1">
        <w:rPr>
          <w:b/>
          <w:sz w:val="16"/>
          <w:szCs w:val="16"/>
          <w:u w:val="single"/>
          <w:lang w:val="es-ES"/>
        </w:rPr>
        <w:t>declaración de inexistencia</w:t>
      </w:r>
      <w:r w:rsidRPr="00F83FE1">
        <w:rPr>
          <w:sz w:val="16"/>
          <w:szCs w:val="16"/>
          <w:lang w:val="es-ES"/>
        </w:rPr>
        <w:t xml:space="preserve"> o de incompetencia realicen los titulares de las áreas de los sujetos obligados;</w:t>
      </w:r>
    </w:p>
    <w:p w14:paraId="260E20E3" w14:textId="3441AD4F" w:rsidR="003B2B21" w:rsidRPr="00F83FE1" w:rsidRDefault="003B2B21">
      <w:pPr>
        <w:pStyle w:val="Textonotapie"/>
        <w:rPr>
          <w:sz w:val="16"/>
          <w:szCs w:val="16"/>
        </w:rPr>
      </w:pPr>
      <w:r w:rsidRPr="00F83FE1">
        <w:rPr>
          <w:sz w:val="16"/>
          <w:szCs w:val="16"/>
          <w:lang w:val="es-ES"/>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90DFC8" w14:textId="77777777" w:rsidR="0047084E" w:rsidRDefault="0047084E" w:rsidP="0082212B">
    <w:pPr>
      <w:pStyle w:val="Encabezado"/>
      <w:jc w:val="right"/>
      <w:rPr>
        <w:rFonts w:ascii="AvantGarde Bk BT" w:hAnsi="AvantGarde Bk BT"/>
        <w:b/>
      </w:rPr>
    </w:pPr>
  </w:p>
  <w:p w14:paraId="42F4EEF9" w14:textId="77777777" w:rsidR="0047084E" w:rsidRDefault="0047084E" w:rsidP="0082212B">
    <w:pPr>
      <w:pStyle w:val="Encabezado"/>
      <w:jc w:val="right"/>
      <w:rPr>
        <w:rFonts w:ascii="AvantGarde Bk BT" w:hAnsi="AvantGarde Bk BT"/>
        <w:b/>
      </w:rPr>
    </w:pPr>
  </w:p>
  <w:p w14:paraId="11A9531D" w14:textId="6ACC2B12" w:rsidR="0047084E" w:rsidRPr="0082212B" w:rsidRDefault="0047084E" w:rsidP="0082212B">
    <w:pPr>
      <w:pStyle w:val="Encabezado"/>
      <w:jc w:val="right"/>
      <w:rPr>
        <w:rFonts w:ascii="AvantGarde Bk BT" w:hAnsi="AvantGarde Bk BT"/>
        <w:b/>
      </w:rPr>
    </w:pPr>
    <w:r w:rsidRPr="0082212B">
      <w:rPr>
        <w:rFonts w:ascii="AvantGarde Bk BT" w:hAnsi="AvantGarde Bk BT"/>
        <w:b/>
      </w:rPr>
      <w:t>R</w:t>
    </w:r>
    <w:r w:rsidR="000558F0">
      <w:rPr>
        <w:rFonts w:ascii="AvantGarde Bk BT" w:hAnsi="AvantGarde Bk BT"/>
        <w:b/>
      </w:rPr>
      <w:t>R-</w:t>
    </w:r>
    <w:r w:rsidR="002F262E">
      <w:rPr>
        <w:rFonts w:ascii="AvantGarde Bk BT" w:hAnsi="AvantGarde Bk BT"/>
        <w:b/>
      </w:rPr>
      <w:t>9</w:t>
    </w:r>
    <w:r w:rsidR="00045306">
      <w:rPr>
        <w:rFonts w:ascii="AvantGarde Bk BT" w:hAnsi="AvantGarde Bk BT"/>
        <w:b/>
      </w:rPr>
      <w:t>10</w:t>
    </w:r>
    <w:r w:rsidR="002F262E">
      <w:rPr>
        <w:rFonts w:ascii="AvantGarde Bk BT" w:hAnsi="AvantGarde Bk BT"/>
        <w:b/>
      </w:rPr>
      <w:t>/2025</w:t>
    </w:r>
    <w:r w:rsidRPr="0082212B">
      <w:rPr>
        <w:rFonts w:ascii="AvantGarde Bk BT" w:hAnsi="AvantGarde Bk BT"/>
        <w:b/>
      </w:rPr>
      <w:t>-1</w:t>
    </w:r>
  </w:p>
  <w:p w14:paraId="27E636D6" w14:textId="64ED9BF2" w:rsidR="0047084E" w:rsidRDefault="00525582" w:rsidP="0082212B">
    <w:pPr>
      <w:pStyle w:val="Encabezado"/>
      <w:jc w:val="center"/>
    </w:pPr>
    <w:sdt>
      <w:sdtPr>
        <w:id w:val="-1307541665"/>
        <w:docPartObj>
          <w:docPartGallery w:val="Page Numbers (Top of Page)"/>
          <w:docPartUnique/>
        </w:docPartObj>
      </w:sdtPr>
      <w:sdtEndPr/>
      <w:sdtContent>
        <w:r w:rsidR="0047084E">
          <w:fldChar w:fldCharType="begin"/>
        </w:r>
        <w:r w:rsidR="0047084E">
          <w:instrText>PAGE   \* MERGEFORMAT</w:instrText>
        </w:r>
        <w:r w:rsidR="0047084E">
          <w:fldChar w:fldCharType="separate"/>
        </w:r>
        <w:r w:rsidR="00F83FE1">
          <w:rPr>
            <w:noProof/>
          </w:rPr>
          <w:t>4</w:t>
        </w:r>
        <w:r w:rsidR="0047084E">
          <w:fldChar w:fldCharType="end"/>
        </w:r>
      </w:sdtContent>
    </w:sdt>
  </w:p>
  <w:p w14:paraId="414EE930" w14:textId="77777777" w:rsidR="0047084E" w:rsidRDefault="0047084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60806" w14:textId="70DD9A42" w:rsidR="0047084E" w:rsidRDefault="0047084E" w:rsidP="00903ED5">
    <w:pPr>
      <w:pStyle w:val="Encabezado"/>
      <w:jc w:val="right"/>
      <w:rPr>
        <w:rFonts w:ascii="AvantGarde Bk BT" w:hAnsi="AvantGarde Bk BT"/>
        <w:b/>
      </w:rPr>
    </w:pPr>
    <w:r w:rsidRPr="0073139A">
      <w:rPr>
        <w:b/>
        <w:noProof/>
        <w:sz w:val="24"/>
        <w:szCs w:val="24"/>
        <w:lang w:val="es-MX" w:eastAsia="es-MX"/>
      </w:rPr>
      <w:drawing>
        <wp:anchor distT="0" distB="0" distL="114300" distR="114300" simplePos="0" relativeHeight="251659264" behindDoc="1" locked="0" layoutInCell="1" allowOverlap="1" wp14:anchorId="4E26EB4C" wp14:editId="65A683B0">
          <wp:simplePos x="0" y="0"/>
          <wp:positionH relativeFrom="page">
            <wp:align>left</wp:align>
          </wp:positionH>
          <wp:positionV relativeFrom="paragraph">
            <wp:posOffset>-554990</wp:posOffset>
          </wp:positionV>
          <wp:extent cx="7842548" cy="12544425"/>
          <wp:effectExtent l="0" t="0" r="635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2548" cy="12544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0E9C1C" w14:textId="77777777" w:rsidR="0047084E" w:rsidRDefault="0047084E" w:rsidP="00903ED5">
    <w:pPr>
      <w:pStyle w:val="Encabezado"/>
      <w:jc w:val="right"/>
      <w:rPr>
        <w:rFonts w:ascii="AvantGarde Bk BT" w:hAnsi="AvantGarde Bk BT"/>
        <w:b/>
      </w:rPr>
    </w:pPr>
  </w:p>
  <w:p w14:paraId="2072804A" w14:textId="1CECEC4B" w:rsidR="0047084E" w:rsidRPr="0082212B" w:rsidRDefault="000558F0" w:rsidP="00903ED5">
    <w:pPr>
      <w:pStyle w:val="Encabezado"/>
      <w:jc w:val="right"/>
      <w:rPr>
        <w:rFonts w:ascii="AvantGarde Bk BT" w:hAnsi="AvantGarde Bk BT"/>
        <w:b/>
      </w:rPr>
    </w:pPr>
    <w:r>
      <w:rPr>
        <w:rFonts w:ascii="AvantGarde Bk BT" w:hAnsi="AvantGarde Bk BT"/>
        <w:b/>
      </w:rPr>
      <w:t>RR-</w:t>
    </w:r>
    <w:r w:rsidR="002F262E">
      <w:rPr>
        <w:rFonts w:ascii="AvantGarde Bk BT" w:hAnsi="AvantGarde Bk BT"/>
        <w:b/>
      </w:rPr>
      <w:t>9</w:t>
    </w:r>
    <w:r w:rsidR="00045306">
      <w:rPr>
        <w:rFonts w:ascii="AvantGarde Bk BT" w:hAnsi="AvantGarde Bk BT"/>
        <w:b/>
      </w:rPr>
      <w:t>10</w:t>
    </w:r>
    <w:r w:rsidR="002F262E">
      <w:rPr>
        <w:rFonts w:ascii="AvantGarde Bk BT" w:hAnsi="AvantGarde Bk BT"/>
        <w:b/>
      </w:rPr>
      <w:t>/2025</w:t>
    </w:r>
    <w:r w:rsidR="0047084E" w:rsidRPr="0082212B">
      <w:rPr>
        <w:rFonts w:ascii="AvantGarde Bk BT" w:hAnsi="AvantGarde Bk BT"/>
        <w:b/>
      </w:rPr>
      <w:t>-1</w:t>
    </w:r>
  </w:p>
  <w:p w14:paraId="03CC9626" w14:textId="7203D73D" w:rsidR="0047084E" w:rsidRDefault="00525582">
    <w:pPr>
      <w:pStyle w:val="Encabezado"/>
      <w:jc w:val="center"/>
    </w:pPr>
    <w:sdt>
      <w:sdtPr>
        <w:id w:val="-1023321465"/>
        <w:docPartObj>
          <w:docPartGallery w:val="Page Numbers (Top of Page)"/>
          <w:docPartUnique/>
        </w:docPartObj>
      </w:sdtPr>
      <w:sdtEndPr/>
      <w:sdtContent>
        <w:r w:rsidR="0047084E">
          <w:fldChar w:fldCharType="begin"/>
        </w:r>
        <w:r w:rsidR="0047084E">
          <w:instrText>PAGE   \* MERGEFORMAT</w:instrText>
        </w:r>
        <w:r w:rsidR="0047084E">
          <w:fldChar w:fldCharType="separate"/>
        </w:r>
        <w:r w:rsidR="00F83FE1">
          <w:rPr>
            <w:noProof/>
          </w:rPr>
          <w:t>1</w:t>
        </w:r>
        <w:r w:rsidR="0047084E">
          <w:fldChar w:fldCharType="end"/>
        </w:r>
      </w:sdtContent>
    </w:sdt>
  </w:p>
  <w:p w14:paraId="4E5FFEF8" w14:textId="089C7727" w:rsidR="0047084E" w:rsidRPr="0073139A" w:rsidRDefault="0047084E" w:rsidP="00866157">
    <w:pPr>
      <w:pStyle w:val="Encabezado"/>
      <w:tabs>
        <w:tab w:val="clear" w:pos="4252"/>
        <w:tab w:val="clear" w:pos="8504"/>
        <w:tab w:val="center" w:pos="4419"/>
      </w:tabs>
      <w:jc w:val="right"/>
      <w:rPr>
        <w:b/>
        <w:sz w:val="24"/>
        <w:szCs w:val="2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1826"/>
    <w:multiLevelType w:val="hybridMultilevel"/>
    <w:tmpl w:val="49E2D8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3F50BD8"/>
    <w:multiLevelType w:val="hybridMultilevel"/>
    <w:tmpl w:val="5434B8AE"/>
    <w:lvl w:ilvl="0" w:tplc="080A0001">
      <w:start w:val="1"/>
      <w:numFmt w:val="bullet"/>
      <w:lvlText w:val=""/>
      <w:lvlJc w:val="left"/>
      <w:pPr>
        <w:ind w:left="2869" w:hanging="360"/>
      </w:pPr>
      <w:rPr>
        <w:rFonts w:ascii="Symbol" w:hAnsi="Symbol" w:hint="default"/>
      </w:rPr>
    </w:lvl>
    <w:lvl w:ilvl="1" w:tplc="080A0003" w:tentative="1">
      <w:start w:val="1"/>
      <w:numFmt w:val="bullet"/>
      <w:lvlText w:val="o"/>
      <w:lvlJc w:val="left"/>
      <w:pPr>
        <w:ind w:left="3589" w:hanging="360"/>
      </w:pPr>
      <w:rPr>
        <w:rFonts w:ascii="Courier New" w:hAnsi="Courier New" w:cs="Courier New" w:hint="default"/>
      </w:rPr>
    </w:lvl>
    <w:lvl w:ilvl="2" w:tplc="080A0005" w:tentative="1">
      <w:start w:val="1"/>
      <w:numFmt w:val="bullet"/>
      <w:lvlText w:val=""/>
      <w:lvlJc w:val="left"/>
      <w:pPr>
        <w:ind w:left="4309" w:hanging="360"/>
      </w:pPr>
      <w:rPr>
        <w:rFonts w:ascii="Wingdings" w:hAnsi="Wingdings" w:hint="default"/>
      </w:rPr>
    </w:lvl>
    <w:lvl w:ilvl="3" w:tplc="080A0001" w:tentative="1">
      <w:start w:val="1"/>
      <w:numFmt w:val="bullet"/>
      <w:lvlText w:val=""/>
      <w:lvlJc w:val="left"/>
      <w:pPr>
        <w:ind w:left="5029" w:hanging="360"/>
      </w:pPr>
      <w:rPr>
        <w:rFonts w:ascii="Symbol" w:hAnsi="Symbol" w:hint="default"/>
      </w:rPr>
    </w:lvl>
    <w:lvl w:ilvl="4" w:tplc="080A0003" w:tentative="1">
      <w:start w:val="1"/>
      <w:numFmt w:val="bullet"/>
      <w:lvlText w:val="o"/>
      <w:lvlJc w:val="left"/>
      <w:pPr>
        <w:ind w:left="5749" w:hanging="360"/>
      </w:pPr>
      <w:rPr>
        <w:rFonts w:ascii="Courier New" w:hAnsi="Courier New" w:cs="Courier New" w:hint="default"/>
      </w:rPr>
    </w:lvl>
    <w:lvl w:ilvl="5" w:tplc="080A0005" w:tentative="1">
      <w:start w:val="1"/>
      <w:numFmt w:val="bullet"/>
      <w:lvlText w:val=""/>
      <w:lvlJc w:val="left"/>
      <w:pPr>
        <w:ind w:left="6469" w:hanging="360"/>
      </w:pPr>
      <w:rPr>
        <w:rFonts w:ascii="Wingdings" w:hAnsi="Wingdings" w:hint="default"/>
      </w:rPr>
    </w:lvl>
    <w:lvl w:ilvl="6" w:tplc="080A0001" w:tentative="1">
      <w:start w:val="1"/>
      <w:numFmt w:val="bullet"/>
      <w:lvlText w:val=""/>
      <w:lvlJc w:val="left"/>
      <w:pPr>
        <w:ind w:left="7189" w:hanging="360"/>
      </w:pPr>
      <w:rPr>
        <w:rFonts w:ascii="Symbol" w:hAnsi="Symbol" w:hint="default"/>
      </w:rPr>
    </w:lvl>
    <w:lvl w:ilvl="7" w:tplc="080A0003" w:tentative="1">
      <w:start w:val="1"/>
      <w:numFmt w:val="bullet"/>
      <w:lvlText w:val="o"/>
      <w:lvlJc w:val="left"/>
      <w:pPr>
        <w:ind w:left="7909" w:hanging="360"/>
      </w:pPr>
      <w:rPr>
        <w:rFonts w:ascii="Courier New" w:hAnsi="Courier New" w:cs="Courier New" w:hint="default"/>
      </w:rPr>
    </w:lvl>
    <w:lvl w:ilvl="8" w:tplc="080A0005" w:tentative="1">
      <w:start w:val="1"/>
      <w:numFmt w:val="bullet"/>
      <w:lvlText w:val=""/>
      <w:lvlJc w:val="left"/>
      <w:pPr>
        <w:ind w:left="8629" w:hanging="360"/>
      </w:pPr>
      <w:rPr>
        <w:rFonts w:ascii="Wingdings" w:hAnsi="Wingdings" w:hint="default"/>
      </w:rPr>
    </w:lvl>
  </w:abstractNum>
  <w:abstractNum w:abstractNumId="2" w15:restartNumberingAfterBreak="0">
    <w:nsid w:val="040C6C92"/>
    <w:multiLevelType w:val="hybridMultilevel"/>
    <w:tmpl w:val="D012C7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803641"/>
    <w:multiLevelType w:val="hybridMultilevel"/>
    <w:tmpl w:val="28A23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CB35CA2"/>
    <w:multiLevelType w:val="hybridMultilevel"/>
    <w:tmpl w:val="E02202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18A1ABA"/>
    <w:multiLevelType w:val="hybridMultilevel"/>
    <w:tmpl w:val="07F6A8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979738D"/>
    <w:multiLevelType w:val="hybridMultilevel"/>
    <w:tmpl w:val="D384FC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EB7084C"/>
    <w:multiLevelType w:val="hybridMultilevel"/>
    <w:tmpl w:val="FF1809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15622FC"/>
    <w:multiLevelType w:val="hybridMultilevel"/>
    <w:tmpl w:val="D00290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B13405E"/>
    <w:multiLevelType w:val="hybridMultilevel"/>
    <w:tmpl w:val="51BC0D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1"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DF17B33"/>
    <w:multiLevelType w:val="hybridMultilevel"/>
    <w:tmpl w:val="AD6ED5C6"/>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3E0F1848"/>
    <w:multiLevelType w:val="hybridMultilevel"/>
    <w:tmpl w:val="5650C92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46295F74"/>
    <w:multiLevelType w:val="hybridMultilevel"/>
    <w:tmpl w:val="77FA40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46DD5660"/>
    <w:multiLevelType w:val="hybridMultilevel"/>
    <w:tmpl w:val="CC44D1B0"/>
    <w:lvl w:ilvl="0" w:tplc="080A0001">
      <w:start w:val="1"/>
      <w:numFmt w:val="bullet"/>
      <w:lvlText w:val=""/>
      <w:lvlJc w:val="left"/>
      <w:pPr>
        <w:ind w:left="1464" w:hanging="360"/>
      </w:pPr>
      <w:rPr>
        <w:rFonts w:ascii="Symbol" w:hAnsi="Symbol" w:hint="default"/>
      </w:rPr>
    </w:lvl>
    <w:lvl w:ilvl="1" w:tplc="080A0003" w:tentative="1">
      <w:start w:val="1"/>
      <w:numFmt w:val="bullet"/>
      <w:lvlText w:val="o"/>
      <w:lvlJc w:val="left"/>
      <w:pPr>
        <w:ind w:left="2184" w:hanging="360"/>
      </w:pPr>
      <w:rPr>
        <w:rFonts w:ascii="Courier New" w:hAnsi="Courier New" w:cs="Courier New" w:hint="default"/>
      </w:rPr>
    </w:lvl>
    <w:lvl w:ilvl="2" w:tplc="080A0005" w:tentative="1">
      <w:start w:val="1"/>
      <w:numFmt w:val="bullet"/>
      <w:lvlText w:val=""/>
      <w:lvlJc w:val="left"/>
      <w:pPr>
        <w:ind w:left="2904" w:hanging="360"/>
      </w:pPr>
      <w:rPr>
        <w:rFonts w:ascii="Wingdings" w:hAnsi="Wingdings" w:hint="default"/>
      </w:rPr>
    </w:lvl>
    <w:lvl w:ilvl="3" w:tplc="080A0001" w:tentative="1">
      <w:start w:val="1"/>
      <w:numFmt w:val="bullet"/>
      <w:lvlText w:val=""/>
      <w:lvlJc w:val="left"/>
      <w:pPr>
        <w:ind w:left="3624" w:hanging="360"/>
      </w:pPr>
      <w:rPr>
        <w:rFonts w:ascii="Symbol" w:hAnsi="Symbol" w:hint="default"/>
      </w:rPr>
    </w:lvl>
    <w:lvl w:ilvl="4" w:tplc="080A0003" w:tentative="1">
      <w:start w:val="1"/>
      <w:numFmt w:val="bullet"/>
      <w:lvlText w:val="o"/>
      <w:lvlJc w:val="left"/>
      <w:pPr>
        <w:ind w:left="4344" w:hanging="360"/>
      </w:pPr>
      <w:rPr>
        <w:rFonts w:ascii="Courier New" w:hAnsi="Courier New" w:cs="Courier New" w:hint="default"/>
      </w:rPr>
    </w:lvl>
    <w:lvl w:ilvl="5" w:tplc="080A0005" w:tentative="1">
      <w:start w:val="1"/>
      <w:numFmt w:val="bullet"/>
      <w:lvlText w:val=""/>
      <w:lvlJc w:val="left"/>
      <w:pPr>
        <w:ind w:left="5064" w:hanging="360"/>
      </w:pPr>
      <w:rPr>
        <w:rFonts w:ascii="Wingdings" w:hAnsi="Wingdings" w:hint="default"/>
      </w:rPr>
    </w:lvl>
    <w:lvl w:ilvl="6" w:tplc="080A0001" w:tentative="1">
      <w:start w:val="1"/>
      <w:numFmt w:val="bullet"/>
      <w:lvlText w:val=""/>
      <w:lvlJc w:val="left"/>
      <w:pPr>
        <w:ind w:left="5784" w:hanging="360"/>
      </w:pPr>
      <w:rPr>
        <w:rFonts w:ascii="Symbol" w:hAnsi="Symbol" w:hint="default"/>
      </w:rPr>
    </w:lvl>
    <w:lvl w:ilvl="7" w:tplc="080A0003" w:tentative="1">
      <w:start w:val="1"/>
      <w:numFmt w:val="bullet"/>
      <w:lvlText w:val="o"/>
      <w:lvlJc w:val="left"/>
      <w:pPr>
        <w:ind w:left="6504" w:hanging="360"/>
      </w:pPr>
      <w:rPr>
        <w:rFonts w:ascii="Courier New" w:hAnsi="Courier New" w:cs="Courier New" w:hint="default"/>
      </w:rPr>
    </w:lvl>
    <w:lvl w:ilvl="8" w:tplc="080A0005" w:tentative="1">
      <w:start w:val="1"/>
      <w:numFmt w:val="bullet"/>
      <w:lvlText w:val=""/>
      <w:lvlJc w:val="left"/>
      <w:pPr>
        <w:ind w:left="7224" w:hanging="360"/>
      </w:pPr>
      <w:rPr>
        <w:rFonts w:ascii="Wingdings" w:hAnsi="Wingdings" w:hint="default"/>
      </w:rPr>
    </w:lvl>
  </w:abstractNum>
  <w:abstractNum w:abstractNumId="18" w15:restartNumberingAfterBreak="0">
    <w:nsid w:val="48570444"/>
    <w:multiLevelType w:val="hybridMultilevel"/>
    <w:tmpl w:val="CEB486E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07E2686"/>
    <w:multiLevelType w:val="hybridMultilevel"/>
    <w:tmpl w:val="3A90E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AC753EE"/>
    <w:multiLevelType w:val="hybridMultilevel"/>
    <w:tmpl w:val="D384FC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C5D2DE9"/>
    <w:multiLevelType w:val="hybridMultilevel"/>
    <w:tmpl w:val="F0521B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632F3F74"/>
    <w:multiLevelType w:val="hybridMultilevel"/>
    <w:tmpl w:val="0A825E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664F3259"/>
    <w:multiLevelType w:val="hybridMultilevel"/>
    <w:tmpl w:val="768E818E"/>
    <w:lvl w:ilvl="0" w:tplc="080A000F">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11D343F"/>
    <w:multiLevelType w:val="hybridMultilevel"/>
    <w:tmpl w:val="463AAD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1D54900"/>
    <w:multiLevelType w:val="hybridMultilevel"/>
    <w:tmpl w:val="74B856CA"/>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72987AEF"/>
    <w:multiLevelType w:val="hybridMultilevel"/>
    <w:tmpl w:val="14183A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77D4625C"/>
    <w:multiLevelType w:val="hybridMultilevel"/>
    <w:tmpl w:val="7FB84E3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7A4F0392"/>
    <w:multiLevelType w:val="hybridMultilevel"/>
    <w:tmpl w:val="58EEF3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E880138"/>
    <w:multiLevelType w:val="hybridMultilevel"/>
    <w:tmpl w:val="A1522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5"/>
  </w:num>
  <w:num w:numId="2">
    <w:abstractNumId w:val="19"/>
  </w:num>
  <w:num w:numId="3">
    <w:abstractNumId w:val="0"/>
  </w:num>
  <w:num w:numId="4">
    <w:abstractNumId w:val="8"/>
  </w:num>
  <w:num w:numId="5">
    <w:abstractNumId w:val="4"/>
  </w:num>
  <w:num w:numId="6">
    <w:abstractNumId w:val="3"/>
  </w:num>
  <w:num w:numId="7">
    <w:abstractNumId w:val="6"/>
  </w:num>
  <w:num w:numId="8">
    <w:abstractNumId w:val="2"/>
  </w:num>
  <w:num w:numId="9">
    <w:abstractNumId w:val="28"/>
  </w:num>
  <w:num w:numId="10">
    <w:abstractNumId w:val="23"/>
  </w:num>
  <w:num w:numId="11">
    <w:abstractNumId w:val="20"/>
  </w:num>
  <w:num w:numId="12">
    <w:abstractNumId w:val="27"/>
  </w:num>
  <w:num w:numId="13">
    <w:abstractNumId w:val="14"/>
  </w:num>
  <w:num w:numId="14">
    <w:abstractNumId w:val="1"/>
  </w:num>
  <w:num w:numId="15">
    <w:abstractNumId w:val="9"/>
  </w:num>
  <w:num w:numId="16">
    <w:abstractNumId w:val="7"/>
  </w:num>
  <w:num w:numId="17">
    <w:abstractNumId w:val="22"/>
  </w:num>
  <w:num w:numId="18">
    <w:abstractNumId w:val="16"/>
  </w:num>
  <w:num w:numId="19">
    <w:abstractNumId w:val="18"/>
  </w:num>
  <w:num w:numId="20">
    <w:abstractNumId w:val="17"/>
  </w:num>
  <w:num w:numId="21">
    <w:abstractNumId w:val="26"/>
  </w:num>
  <w:num w:numId="22">
    <w:abstractNumId w:val="29"/>
  </w:num>
  <w:num w:numId="23">
    <w:abstractNumId w:val="24"/>
  </w:num>
  <w:num w:numId="24">
    <w:abstractNumId w:val="5"/>
  </w:num>
  <w:num w:numId="25">
    <w:abstractNumId w:val="21"/>
  </w:num>
  <w:num w:numId="26">
    <w:abstractNumId w:val="11"/>
  </w:num>
  <w:num w:numId="27">
    <w:abstractNumId w:val="10"/>
  </w:num>
  <w:num w:numId="28">
    <w:abstractNumId w:val="12"/>
  </w:num>
  <w:num w:numId="29">
    <w:abstractNumId w:val="13"/>
  </w:num>
  <w:num w:numId="30">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4CB5"/>
    <w:rsid w:val="00007BD0"/>
    <w:rsid w:val="0001315E"/>
    <w:rsid w:val="000254B9"/>
    <w:rsid w:val="00025C1C"/>
    <w:rsid w:val="00030B7E"/>
    <w:rsid w:val="0003284F"/>
    <w:rsid w:val="000336FF"/>
    <w:rsid w:val="00033771"/>
    <w:rsid w:val="00034403"/>
    <w:rsid w:val="0003484E"/>
    <w:rsid w:val="000359B8"/>
    <w:rsid w:val="000367DC"/>
    <w:rsid w:val="00044328"/>
    <w:rsid w:val="0004495A"/>
    <w:rsid w:val="00045306"/>
    <w:rsid w:val="000456C5"/>
    <w:rsid w:val="00050C1D"/>
    <w:rsid w:val="000558F0"/>
    <w:rsid w:val="00056241"/>
    <w:rsid w:val="000563B8"/>
    <w:rsid w:val="00057487"/>
    <w:rsid w:val="00057F6A"/>
    <w:rsid w:val="00063DDF"/>
    <w:rsid w:val="00064693"/>
    <w:rsid w:val="000653F3"/>
    <w:rsid w:val="00065453"/>
    <w:rsid w:val="00065630"/>
    <w:rsid w:val="000668C2"/>
    <w:rsid w:val="000707EC"/>
    <w:rsid w:val="00070B32"/>
    <w:rsid w:val="000746C3"/>
    <w:rsid w:val="00076575"/>
    <w:rsid w:val="000774FC"/>
    <w:rsid w:val="00086872"/>
    <w:rsid w:val="00087952"/>
    <w:rsid w:val="00090803"/>
    <w:rsid w:val="000976AA"/>
    <w:rsid w:val="000A3ABE"/>
    <w:rsid w:val="000B16AD"/>
    <w:rsid w:val="000B51E8"/>
    <w:rsid w:val="000B623D"/>
    <w:rsid w:val="000C018D"/>
    <w:rsid w:val="000C1982"/>
    <w:rsid w:val="000C4D39"/>
    <w:rsid w:val="000C5E27"/>
    <w:rsid w:val="000C6DD8"/>
    <w:rsid w:val="000C7171"/>
    <w:rsid w:val="000D00D9"/>
    <w:rsid w:val="000D0586"/>
    <w:rsid w:val="000D2E23"/>
    <w:rsid w:val="000D523A"/>
    <w:rsid w:val="000E016B"/>
    <w:rsid w:val="000E31E7"/>
    <w:rsid w:val="000E5532"/>
    <w:rsid w:val="000E5F5B"/>
    <w:rsid w:val="000E5F5C"/>
    <w:rsid w:val="000E6AAF"/>
    <w:rsid w:val="000F0B51"/>
    <w:rsid w:val="000F1938"/>
    <w:rsid w:val="000F6B84"/>
    <w:rsid w:val="00101AC7"/>
    <w:rsid w:val="00102621"/>
    <w:rsid w:val="0010443C"/>
    <w:rsid w:val="00113AFD"/>
    <w:rsid w:val="00115619"/>
    <w:rsid w:val="00124CDD"/>
    <w:rsid w:val="00125DEE"/>
    <w:rsid w:val="00134B0C"/>
    <w:rsid w:val="00136043"/>
    <w:rsid w:val="00137643"/>
    <w:rsid w:val="0014797B"/>
    <w:rsid w:val="00147FBF"/>
    <w:rsid w:val="001538E8"/>
    <w:rsid w:val="001573C2"/>
    <w:rsid w:val="00157814"/>
    <w:rsid w:val="00160128"/>
    <w:rsid w:val="0016166C"/>
    <w:rsid w:val="00161AB8"/>
    <w:rsid w:val="00166AF7"/>
    <w:rsid w:val="00170C35"/>
    <w:rsid w:val="00171B59"/>
    <w:rsid w:val="001723C9"/>
    <w:rsid w:val="001735CC"/>
    <w:rsid w:val="0017466D"/>
    <w:rsid w:val="00176792"/>
    <w:rsid w:val="00181621"/>
    <w:rsid w:val="0018542A"/>
    <w:rsid w:val="00187426"/>
    <w:rsid w:val="00187B15"/>
    <w:rsid w:val="00190464"/>
    <w:rsid w:val="00192181"/>
    <w:rsid w:val="00192B41"/>
    <w:rsid w:val="0019377B"/>
    <w:rsid w:val="00193F6E"/>
    <w:rsid w:val="001944C2"/>
    <w:rsid w:val="00194B1A"/>
    <w:rsid w:val="001A1B4A"/>
    <w:rsid w:val="001A312B"/>
    <w:rsid w:val="001A313A"/>
    <w:rsid w:val="001B4661"/>
    <w:rsid w:val="001B5E51"/>
    <w:rsid w:val="001C2B34"/>
    <w:rsid w:val="001C4E19"/>
    <w:rsid w:val="001C7C14"/>
    <w:rsid w:val="001D0372"/>
    <w:rsid w:val="001D1E9A"/>
    <w:rsid w:val="001D4CE1"/>
    <w:rsid w:val="001D4E17"/>
    <w:rsid w:val="001D6EE0"/>
    <w:rsid w:val="001D73B2"/>
    <w:rsid w:val="001E10CA"/>
    <w:rsid w:val="001E290F"/>
    <w:rsid w:val="001E33C6"/>
    <w:rsid w:val="001E4C54"/>
    <w:rsid w:val="001E5646"/>
    <w:rsid w:val="001E74B6"/>
    <w:rsid w:val="001F2799"/>
    <w:rsid w:val="001F715B"/>
    <w:rsid w:val="00205E8C"/>
    <w:rsid w:val="00211E60"/>
    <w:rsid w:val="00215243"/>
    <w:rsid w:val="00217ACB"/>
    <w:rsid w:val="002202DA"/>
    <w:rsid w:val="002219FD"/>
    <w:rsid w:val="0022254D"/>
    <w:rsid w:val="00224FF4"/>
    <w:rsid w:val="00225322"/>
    <w:rsid w:val="00227127"/>
    <w:rsid w:val="00227504"/>
    <w:rsid w:val="00230636"/>
    <w:rsid w:val="0023529E"/>
    <w:rsid w:val="0024134B"/>
    <w:rsid w:val="00242A34"/>
    <w:rsid w:val="00245024"/>
    <w:rsid w:val="00250F96"/>
    <w:rsid w:val="00252950"/>
    <w:rsid w:val="00256243"/>
    <w:rsid w:val="00256FA4"/>
    <w:rsid w:val="00257A6E"/>
    <w:rsid w:val="00261E0D"/>
    <w:rsid w:val="00264DF4"/>
    <w:rsid w:val="00264F39"/>
    <w:rsid w:val="0027030E"/>
    <w:rsid w:val="00277F22"/>
    <w:rsid w:val="00282C68"/>
    <w:rsid w:val="00283EC3"/>
    <w:rsid w:val="0028669B"/>
    <w:rsid w:val="00291A21"/>
    <w:rsid w:val="0029428B"/>
    <w:rsid w:val="00297B35"/>
    <w:rsid w:val="002A00BD"/>
    <w:rsid w:val="002A79DD"/>
    <w:rsid w:val="002B23C5"/>
    <w:rsid w:val="002B316C"/>
    <w:rsid w:val="002B642D"/>
    <w:rsid w:val="002C0997"/>
    <w:rsid w:val="002C4B4C"/>
    <w:rsid w:val="002C55D2"/>
    <w:rsid w:val="002C5B08"/>
    <w:rsid w:val="002C6C9D"/>
    <w:rsid w:val="002C756B"/>
    <w:rsid w:val="002D6830"/>
    <w:rsid w:val="002E087F"/>
    <w:rsid w:val="002E4552"/>
    <w:rsid w:val="002E538D"/>
    <w:rsid w:val="002F262E"/>
    <w:rsid w:val="002F5EBE"/>
    <w:rsid w:val="002F61A9"/>
    <w:rsid w:val="0030212D"/>
    <w:rsid w:val="00304AB8"/>
    <w:rsid w:val="003056D7"/>
    <w:rsid w:val="0030614B"/>
    <w:rsid w:val="00312B2F"/>
    <w:rsid w:val="00322766"/>
    <w:rsid w:val="00326102"/>
    <w:rsid w:val="003268DC"/>
    <w:rsid w:val="00326DF1"/>
    <w:rsid w:val="00327F12"/>
    <w:rsid w:val="00330170"/>
    <w:rsid w:val="0033059C"/>
    <w:rsid w:val="00330D35"/>
    <w:rsid w:val="00330E73"/>
    <w:rsid w:val="00333559"/>
    <w:rsid w:val="00336032"/>
    <w:rsid w:val="00337BFB"/>
    <w:rsid w:val="00340975"/>
    <w:rsid w:val="00343782"/>
    <w:rsid w:val="00343A00"/>
    <w:rsid w:val="00344515"/>
    <w:rsid w:val="00346226"/>
    <w:rsid w:val="003463C4"/>
    <w:rsid w:val="00347177"/>
    <w:rsid w:val="00350EC3"/>
    <w:rsid w:val="003511A1"/>
    <w:rsid w:val="00353E72"/>
    <w:rsid w:val="0035527A"/>
    <w:rsid w:val="003569DF"/>
    <w:rsid w:val="0035746B"/>
    <w:rsid w:val="003616B3"/>
    <w:rsid w:val="0036293E"/>
    <w:rsid w:val="0036486B"/>
    <w:rsid w:val="00364C07"/>
    <w:rsid w:val="00370056"/>
    <w:rsid w:val="00371E9C"/>
    <w:rsid w:val="00376192"/>
    <w:rsid w:val="003770F9"/>
    <w:rsid w:val="003775BC"/>
    <w:rsid w:val="003805C5"/>
    <w:rsid w:val="00380CC8"/>
    <w:rsid w:val="0038585E"/>
    <w:rsid w:val="00386053"/>
    <w:rsid w:val="003907AA"/>
    <w:rsid w:val="003953D4"/>
    <w:rsid w:val="0039632D"/>
    <w:rsid w:val="00397A89"/>
    <w:rsid w:val="003A38D4"/>
    <w:rsid w:val="003B0327"/>
    <w:rsid w:val="003B1B0A"/>
    <w:rsid w:val="003B2B21"/>
    <w:rsid w:val="003C113C"/>
    <w:rsid w:val="003C1A19"/>
    <w:rsid w:val="003D1E2B"/>
    <w:rsid w:val="003D2A58"/>
    <w:rsid w:val="003D3913"/>
    <w:rsid w:val="003D5292"/>
    <w:rsid w:val="003D59E9"/>
    <w:rsid w:val="003E2F6D"/>
    <w:rsid w:val="003F0DE4"/>
    <w:rsid w:val="003F211B"/>
    <w:rsid w:val="003F39EB"/>
    <w:rsid w:val="003F5D78"/>
    <w:rsid w:val="00400DD0"/>
    <w:rsid w:val="0040453B"/>
    <w:rsid w:val="00405570"/>
    <w:rsid w:val="00410479"/>
    <w:rsid w:val="00414A04"/>
    <w:rsid w:val="00415512"/>
    <w:rsid w:val="00421652"/>
    <w:rsid w:val="00424F4B"/>
    <w:rsid w:val="00433469"/>
    <w:rsid w:val="004341B0"/>
    <w:rsid w:val="004453E8"/>
    <w:rsid w:val="004506D3"/>
    <w:rsid w:val="00460195"/>
    <w:rsid w:val="00461B20"/>
    <w:rsid w:val="00462771"/>
    <w:rsid w:val="00467473"/>
    <w:rsid w:val="004675E2"/>
    <w:rsid w:val="0047084E"/>
    <w:rsid w:val="00470BE9"/>
    <w:rsid w:val="00472EE4"/>
    <w:rsid w:val="00472F27"/>
    <w:rsid w:val="004764A2"/>
    <w:rsid w:val="00482063"/>
    <w:rsid w:val="00483017"/>
    <w:rsid w:val="004830CA"/>
    <w:rsid w:val="0049028F"/>
    <w:rsid w:val="0049335D"/>
    <w:rsid w:val="00496E1F"/>
    <w:rsid w:val="004B2036"/>
    <w:rsid w:val="004C3340"/>
    <w:rsid w:val="004C3DD9"/>
    <w:rsid w:val="004C47FD"/>
    <w:rsid w:val="004C48CD"/>
    <w:rsid w:val="004C6D8D"/>
    <w:rsid w:val="004C7D92"/>
    <w:rsid w:val="004D0EA1"/>
    <w:rsid w:val="004D4D98"/>
    <w:rsid w:val="004D549B"/>
    <w:rsid w:val="004D70EA"/>
    <w:rsid w:val="004D76CB"/>
    <w:rsid w:val="004E04A6"/>
    <w:rsid w:val="004E17B0"/>
    <w:rsid w:val="004F18B2"/>
    <w:rsid w:val="004F1974"/>
    <w:rsid w:val="00501B55"/>
    <w:rsid w:val="005130B3"/>
    <w:rsid w:val="00514644"/>
    <w:rsid w:val="00523871"/>
    <w:rsid w:val="00525582"/>
    <w:rsid w:val="00527939"/>
    <w:rsid w:val="00531046"/>
    <w:rsid w:val="00531CB1"/>
    <w:rsid w:val="00533A43"/>
    <w:rsid w:val="0053424A"/>
    <w:rsid w:val="00535463"/>
    <w:rsid w:val="0054009D"/>
    <w:rsid w:val="005458D6"/>
    <w:rsid w:val="00553F80"/>
    <w:rsid w:val="00555623"/>
    <w:rsid w:val="00556033"/>
    <w:rsid w:val="00556DD9"/>
    <w:rsid w:val="00565716"/>
    <w:rsid w:val="00570FA4"/>
    <w:rsid w:val="005719E7"/>
    <w:rsid w:val="00572C80"/>
    <w:rsid w:val="00575AFB"/>
    <w:rsid w:val="005825A1"/>
    <w:rsid w:val="00582626"/>
    <w:rsid w:val="00590C68"/>
    <w:rsid w:val="005915E7"/>
    <w:rsid w:val="00593695"/>
    <w:rsid w:val="00595F5B"/>
    <w:rsid w:val="00596449"/>
    <w:rsid w:val="005A42C3"/>
    <w:rsid w:val="005A4765"/>
    <w:rsid w:val="005A596B"/>
    <w:rsid w:val="005A5F30"/>
    <w:rsid w:val="005A65E8"/>
    <w:rsid w:val="005A7A08"/>
    <w:rsid w:val="005B059A"/>
    <w:rsid w:val="005B2937"/>
    <w:rsid w:val="005B546E"/>
    <w:rsid w:val="005B5D01"/>
    <w:rsid w:val="005B6A07"/>
    <w:rsid w:val="005B7D1D"/>
    <w:rsid w:val="005C2CD4"/>
    <w:rsid w:val="005D3916"/>
    <w:rsid w:val="005D395B"/>
    <w:rsid w:val="005D5AC9"/>
    <w:rsid w:val="005D7138"/>
    <w:rsid w:val="005D7BB9"/>
    <w:rsid w:val="005E015D"/>
    <w:rsid w:val="005E03F5"/>
    <w:rsid w:val="005E13F5"/>
    <w:rsid w:val="005E3029"/>
    <w:rsid w:val="005E3DCE"/>
    <w:rsid w:val="005F0301"/>
    <w:rsid w:val="005F22B2"/>
    <w:rsid w:val="005F2C70"/>
    <w:rsid w:val="00601A7E"/>
    <w:rsid w:val="0060615D"/>
    <w:rsid w:val="00606E38"/>
    <w:rsid w:val="00610B5B"/>
    <w:rsid w:val="00611AEE"/>
    <w:rsid w:val="00611ECA"/>
    <w:rsid w:val="0061316A"/>
    <w:rsid w:val="00613621"/>
    <w:rsid w:val="00613C0E"/>
    <w:rsid w:val="0061485F"/>
    <w:rsid w:val="00615C6E"/>
    <w:rsid w:val="00617529"/>
    <w:rsid w:val="00621171"/>
    <w:rsid w:val="0062432B"/>
    <w:rsid w:val="00625FDE"/>
    <w:rsid w:val="0063508E"/>
    <w:rsid w:val="00635970"/>
    <w:rsid w:val="00637098"/>
    <w:rsid w:val="00641A52"/>
    <w:rsid w:val="00642395"/>
    <w:rsid w:val="00644051"/>
    <w:rsid w:val="00654C8D"/>
    <w:rsid w:val="00661DB0"/>
    <w:rsid w:val="00670510"/>
    <w:rsid w:val="00674F69"/>
    <w:rsid w:val="00676B44"/>
    <w:rsid w:val="006840ED"/>
    <w:rsid w:val="00691020"/>
    <w:rsid w:val="0069383D"/>
    <w:rsid w:val="006948C6"/>
    <w:rsid w:val="00694B2C"/>
    <w:rsid w:val="00696A96"/>
    <w:rsid w:val="006977DF"/>
    <w:rsid w:val="006A0848"/>
    <w:rsid w:val="006A33B2"/>
    <w:rsid w:val="006B26CC"/>
    <w:rsid w:val="006C2043"/>
    <w:rsid w:val="006C3821"/>
    <w:rsid w:val="006C64FF"/>
    <w:rsid w:val="006D3052"/>
    <w:rsid w:val="006D6F76"/>
    <w:rsid w:val="006D744C"/>
    <w:rsid w:val="006E02F4"/>
    <w:rsid w:val="006E06D0"/>
    <w:rsid w:val="006E2CFD"/>
    <w:rsid w:val="006E3CBB"/>
    <w:rsid w:val="006E3DFC"/>
    <w:rsid w:val="006E4E68"/>
    <w:rsid w:val="006F04AA"/>
    <w:rsid w:val="006F483D"/>
    <w:rsid w:val="006F5AF8"/>
    <w:rsid w:val="0070045A"/>
    <w:rsid w:val="00706688"/>
    <w:rsid w:val="00707ED9"/>
    <w:rsid w:val="00713B96"/>
    <w:rsid w:val="007147A3"/>
    <w:rsid w:val="00717015"/>
    <w:rsid w:val="0071785F"/>
    <w:rsid w:val="00720347"/>
    <w:rsid w:val="00721ACF"/>
    <w:rsid w:val="00726DD6"/>
    <w:rsid w:val="00727029"/>
    <w:rsid w:val="0073139A"/>
    <w:rsid w:val="0073286D"/>
    <w:rsid w:val="00735606"/>
    <w:rsid w:val="00735995"/>
    <w:rsid w:val="0073687F"/>
    <w:rsid w:val="0073761A"/>
    <w:rsid w:val="00737A6B"/>
    <w:rsid w:val="00737E95"/>
    <w:rsid w:val="00741112"/>
    <w:rsid w:val="00742DDF"/>
    <w:rsid w:val="00743D96"/>
    <w:rsid w:val="0074498D"/>
    <w:rsid w:val="00744F06"/>
    <w:rsid w:val="00745E83"/>
    <w:rsid w:val="0074632B"/>
    <w:rsid w:val="007514A4"/>
    <w:rsid w:val="00751E38"/>
    <w:rsid w:val="00766D33"/>
    <w:rsid w:val="00772C35"/>
    <w:rsid w:val="00773300"/>
    <w:rsid w:val="0077404A"/>
    <w:rsid w:val="007741E1"/>
    <w:rsid w:val="00775B06"/>
    <w:rsid w:val="0077767D"/>
    <w:rsid w:val="00783325"/>
    <w:rsid w:val="0078421D"/>
    <w:rsid w:val="007842FC"/>
    <w:rsid w:val="007849A5"/>
    <w:rsid w:val="00784A7D"/>
    <w:rsid w:val="007853F3"/>
    <w:rsid w:val="00790133"/>
    <w:rsid w:val="007916AA"/>
    <w:rsid w:val="00795293"/>
    <w:rsid w:val="007978C4"/>
    <w:rsid w:val="007A7505"/>
    <w:rsid w:val="007B2BE2"/>
    <w:rsid w:val="007B3C20"/>
    <w:rsid w:val="007B55C2"/>
    <w:rsid w:val="007B5FA8"/>
    <w:rsid w:val="007C0E63"/>
    <w:rsid w:val="007C1B19"/>
    <w:rsid w:val="007C4307"/>
    <w:rsid w:val="007C52E2"/>
    <w:rsid w:val="007C64B6"/>
    <w:rsid w:val="007C6E63"/>
    <w:rsid w:val="007C7905"/>
    <w:rsid w:val="007D0A0C"/>
    <w:rsid w:val="007D2174"/>
    <w:rsid w:val="007D7D24"/>
    <w:rsid w:val="007D7FED"/>
    <w:rsid w:val="007E3B39"/>
    <w:rsid w:val="007E4498"/>
    <w:rsid w:val="007E454C"/>
    <w:rsid w:val="007E77CB"/>
    <w:rsid w:val="007F0DAA"/>
    <w:rsid w:val="007F1123"/>
    <w:rsid w:val="007F1813"/>
    <w:rsid w:val="007F28FA"/>
    <w:rsid w:val="007F2CA7"/>
    <w:rsid w:val="007F2F0B"/>
    <w:rsid w:val="007F4556"/>
    <w:rsid w:val="007F66CF"/>
    <w:rsid w:val="007F69FA"/>
    <w:rsid w:val="00801EF6"/>
    <w:rsid w:val="00805ABC"/>
    <w:rsid w:val="00810936"/>
    <w:rsid w:val="00811031"/>
    <w:rsid w:val="008112F3"/>
    <w:rsid w:val="0081195A"/>
    <w:rsid w:val="0081577B"/>
    <w:rsid w:val="00816503"/>
    <w:rsid w:val="00816FAE"/>
    <w:rsid w:val="0082212B"/>
    <w:rsid w:val="0082258F"/>
    <w:rsid w:val="008227F2"/>
    <w:rsid w:val="00823E69"/>
    <w:rsid w:val="00824823"/>
    <w:rsid w:val="00830C03"/>
    <w:rsid w:val="008331A7"/>
    <w:rsid w:val="00833B39"/>
    <w:rsid w:val="00835D86"/>
    <w:rsid w:val="00843505"/>
    <w:rsid w:val="00844C19"/>
    <w:rsid w:val="008459C2"/>
    <w:rsid w:val="00847D0D"/>
    <w:rsid w:val="00861823"/>
    <w:rsid w:val="0086284B"/>
    <w:rsid w:val="00863EA0"/>
    <w:rsid w:val="00866157"/>
    <w:rsid w:val="00870F0C"/>
    <w:rsid w:val="00872917"/>
    <w:rsid w:val="00873C38"/>
    <w:rsid w:val="008757AD"/>
    <w:rsid w:val="00875B0F"/>
    <w:rsid w:val="0087641E"/>
    <w:rsid w:val="0088180A"/>
    <w:rsid w:val="00885350"/>
    <w:rsid w:val="0088648C"/>
    <w:rsid w:val="0089216A"/>
    <w:rsid w:val="00894923"/>
    <w:rsid w:val="008A28EF"/>
    <w:rsid w:val="008A4759"/>
    <w:rsid w:val="008B55BE"/>
    <w:rsid w:val="008B73A1"/>
    <w:rsid w:val="008C10BE"/>
    <w:rsid w:val="008C2D87"/>
    <w:rsid w:val="008D00BD"/>
    <w:rsid w:val="008D39C1"/>
    <w:rsid w:val="008D4754"/>
    <w:rsid w:val="008D4B4B"/>
    <w:rsid w:val="008E2452"/>
    <w:rsid w:val="008E2DB7"/>
    <w:rsid w:val="008E39C3"/>
    <w:rsid w:val="008E4CB9"/>
    <w:rsid w:val="008E5738"/>
    <w:rsid w:val="008E5BFE"/>
    <w:rsid w:val="00900BF0"/>
    <w:rsid w:val="00901760"/>
    <w:rsid w:val="00901E01"/>
    <w:rsid w:val="009037CA"/>
    <w:rsid w:val="00903ED5"/>
    <w:rsid w:val="00906531"/>
    <w:rsid w:val="00920384"/>
    <w:rsid w:val="00922BA4"/>
    <w:rsid w:val="00923099"/>
    <w:rsid w:val="00923B7A"/>
    <w:rsid w:val="00925909"/>
    <w:rsid w:val="00926620"/>
    <w:rsid w:val="009307BF"/>
    <w:rsid w:val="00930B00"/>
    <w:rsid w:val="00931A00"/>
    <w:rsid w:val="00936757"/>
    <w:rsid w:val="009421EA"/>
    <w:rsid w:val="00943C19"/>
    <w:rsid w:val="00944F74"/>
    <w:rsid w:val="00945425"/>
    <w:rsid w:val="009473BD"/>
    <w:rsid w:val="00947E2D"/>
    <w:rsid w:val="00952260"/>
    <w:rsid w:val="00954B2A"/>
    <w:rsid w:val="00957CFF"/>
    <w:rsid w:val="0096266E"/>
    <w:rsid w:val="00964A8E"/>
    <w:rsid w:val="00965A79"/>
    <w:rsid w:val="00967DE1"/>
    <w:rsid w:val="00967FDE"/>
    <w:rsid w:val="009714E0"/>
    <w:rsid w:val="009731DB"/>
    <w:rsid w:val="00973310"/>
    <w:rsid w:val="0097464D"/>
    <w:rsid w:val="009765AB"/>
    <w:rsid w:val="00983B6B"/>
    <w:rsid w:val="00991192"/>
    <w:rsid w:val="009A0889"/>
    <w:rsid w:val="009A1F9A"/>
    <w:rsid w:val="009A2B91"/>
    <w:rsid w:val="009A6472"/>
    <w:rsid w:val="009A6B8B"/>
    <w:rsid w:val="009B1BFE"/>
    <w:rsid w:val="009B2315"/>
    <w:rsid w:val="009B583D"/>
    <w:rsid w:val="009B660A"/>
    <w:rsid w:val="009B68A6"/>
    <w:rsid w:val="009B6A4E"/>
    <w:rsid w:val="009C0307"/>
    <w:rsid w:val="009C0562"/>
    <w:rsid w:val="009C456D"/>
    <w:rsid w:val="009D3DBA"/>
    <w:rsid w:val="009D4745"/>
    <w:rsid w:val="009D4F38"/>
    <w:rsid w:val="009E1776"/>
    <w:rsid w:val="009E5A3F"/>
    <w:rsid w:val="009E5CBF"/>
    <w:rsid w:val="009F79BB"/>
    <w:rsid w:val="00A05566"/>
    <w:rsid w:val="00A075F0"/>
    <w:rsid w:val="00A116B8"/>
    <w:rsid w:val="00A16B8F"/>
    <w:rsid w:val="00A16E7A"/>
    <w:rsid w:val="00A20517"/>
    <w:rsid w:val="00A238DA"/>
    <w:rsid w:val="00A318EC"/>
    <w:rsid w:val="00A41EC3"/>
    <w:rsid w:val="00A45EA6"/>
    <w:rsid w:val="00A47F30"/>
    <w:rsid w:val="00A50C75"/>
    <w:rsid w:val="00A5175D"/>
    <w:rsid w:val="00A519B7"/>
    <w:rsid w:val="00A53825"/>
    <w:rsid w:val="00A55839"/>
    <w:rsid w:val="00A624C7"/>
    <w:rsid w:val="00A62E81"/>
    <w:rsid w:val="00A65D0E"/>
    <w:rsid w:val="00A6635B"/>
    <w:rsid w:val="00A67697"/>
    <w:rsid w:val="00A70977"/>
    <w:rsid w:val="00A7262B"/>
    <w:rsid w:val="00A73321"/>
    <w:rsid w:val="00A75F85"/>
    <w:rsid w:val="00A803AA"/>
    <w:rsid w:val="00A8246D"/>
    <w:rsid w:val="00A82904"/>
    <w:rsid w:val="00A83734"/>
    <w:rsid w:val="00A90A07"/>
    <w:rsid w:val="00A932AC"/>
    <w:rsid w:val="00A96ECC"/>
    <w:rsid w:val="00AA01D2"/>
    <w:rsid w:val="00AA3FE6"/>
    <w:rsid w:val="00AA51B6"/>
    <w:rsid w:val="00AB1844"/>
    <w:rsid w:val="00AB3847"/>
    <w:rsid w:val="00AC43B6"/>
    <w:rsid w:val="00AC5A86"/>
    <w:rsid w:val="00AC73C5"/>
    <w:rsid w:val="00AD0240"/>
    <w:rsid w:val="00AD05A2"/>
    <w:rsid w:val="00AD1E5D"/>
    <w:rsid w:val="00AD78B8"/>
    <w:rsid w:val="00AE284E"/>
    <w:rsid w:val="00AE2923"/>
    <w:rsid w:val="00AE4AAB"/>
    <w:rsid w:val="00AE5B57"/>
    <w:rsid w:val="00AE60CF"/>
    <w:rsid w:val="00AF4D4A"/>
    <w:rsid w:val="00B0227F"/>
    <w:rsid w:val="00B06182"/>
    <w:rsid w:val="00B105E1"/>
    <w:rsid w:val="00B14881"/>
    <w:rsid w:val="00B2136E"/>
    <w:rsid w:val="00B21B15"/>
    <w:rsid w:val="00B22622"/>
    <w:rsid w:val="00B244D5"/>
    <w:rsid w:val="00B2518D"/>
    <w:rsid w:val="00B273DE"/>
    <w:rsid w:val="00B27800"/>
    <w:rsid w:val="00B27E4B"/>
    <w:rsid w:val="00B35658"/>
    <w:rsid w:val="00B35A91"/>
    <w:rsid w:val="00B37400"/>
    <w:rsid w:val="00B406EB"/>
    <w:rsid w:val="00B4223C"/>
    <w:rsid w:val="00B4243E"/>
    <w:rsid w:val="00B43398"/>
    <w:rsid w:val="00B433BA"/>
    <w:rsid w:val="00B43676"/>
    <w:rsid w:val="00B5030F"/>
    <w:rsid w:val="00B56651"/>
    <w:rsid w:val="00B63EC3"/>
    <w:rsid w:val="00B67DF1"/>
    <w:rsid w:val="00B70A2F"/>
    <w:rsid w:val="00B73C8F"/>
    <w:rsid w:val="00B74129"/>
    <w:rsid w:val="00B74993"/>
    <w:rsid w:val="00B81F48"/>
    <w:rsid w:val="00B828CF"/>
    <w:rsid w:val="00B84B15"/>
    <w:rsid w:val="00B85D45"/>
    <w:rsid w:val="00B85F94"/>
    <w:rsid w:val="00B870E8"/>
    <w:rsid w:val="00B90EFF"/>
    <w:rsid w:val="00B91555"/>
    <w:rsid w:val="00B91D3C"/>
    <w:rsid w:val="00B928C0"/>
    <w:rsid w:val="00B9737E"/>
    <w:rsid w:val="00BB032D"/>
    <w:rsid w:val="00BB0C07"/>
    <w:rsid w:val="00BB3CE6"/>
    <w:rsid w:val="00BB46F8"/>
    <w:rsid w:val="00BB50AB"/>
    <w:rsid w:val="00BB58C4"/>
    <w:rsid w:val="00BC0AA3"/>
    <w:rsid w:val="00BC431F"/>
    <w:rsid w:val="00BD0C83"/>
    <w:rsid w:val="00BD37EA"/>
    <w:rsid w:val="00BD42FD"/>
    <w:rsid w:val="00BD5E27"/>
    <w:rsid w:val="00BD6FF6"/>
    <w:rsid w:val="00BD7547"/>
    <w:rsid w:val="00BD763E"/>
    <w:rsid w:val="00BE0FA4"/>
    <w:rsid w:val="00BE2170"/>
    <w:rsid w:val="00BE66D6"/>
    <w:rsid w:val="00BE69EE"/>
    <w:rsid w:val="00BE7372"/>
    <w:rsid w:val="00BE7EA5"/>
    <w:rsid w:val="00BF2CB0"/>
    <w:rsid w:val="00BF68D3"/>
    <w:rsid w:val="00C0068A"/>
    <w:rsid w:val="00C022D1"/>
    <w:rsid w:val="00C05A5C"/>
    <w:rsid w:val="00C07050"/>
    <w:rsid w:val="00C10427"/>
    <w:rsid w:val="00C113E5"/>
    <w:rsid w:val="00C11E2A"/>
    <w:rsid w:val="00C1213C"/>
    <w:rsid w:val="00C16CF6"/>
    <w:rsid w:val="00C16DE2"/>
    <w:rsid w:val="00C17116"/>
    <w:rsid w:val="00C246D2"/>
    <w:rsid w:val="00C339CE"/>
    <w:rsid w:val="00C33BE3"/>
    <w:rsid w:val="00C40275"/>
    <w:rsid w:val="00C41E1B"/>
    <w:rsid w:val="00C42101"/>
    <w:rsid w:val="00C423C2"/>
    <w:rsid w:val="00C47D22"/>
    <w:rsid w:val="00C51CA7"/>
    <w:rsid w:val="00C52658"/>
    <w:rsid w:val="00C541E0"/>
    <w:rsid w:val="00C543AE"/>
    <w:rsid w:val="00C54DD7"/>
    <w:rsid w:val="00C6023C"/>
    <w:rsid w:val="00C73204"/>
    <w:rsid w:val="00C74E4A"/>
    <w:rsid w:val="00C763E9"/>
    <w:rsid w:val="00C7655E"/>
    <w:rsid w:val="00C768D5"/>
    <w:rsid w:val="00C770DC"/>
    <w:rsid w:val="00C81A0B"/>
    <w:rsid w:val="00C86608"/>
    <w:rsid w:val="00C866D5"/>
    <w:rsid w:val="00C91E9E"/>
    <w:rsid w:val="00C927B3"/>
    <w:rsid w:val="00C94B10"/>
    <w:rsid w:val="00CA2893"/>
    <w:rsid w:val="00CA2AC6"/>
    <w:rsid w:val="00CA5F33"/>
    <w:rsid w:val="00CA777A"/>
    <w:rsid w:val="00CA7E41"/>
    <w:rsid w:val="00CB14C3"/>
    <w:rsid w:val="00CB3AF0"/>
    <w:rsid w:val="00CB4F61"/>
    <w:rsid w:val="00CB6BCE"/>
    <w:rsid w:val="00CB762B"/>
    <w:rsid w:val="00CB788E"/>
    <w:rsid w:val="00CC45D6"/>
    <w:rsid w:val="00CC6DF7"/>
    <w:rsid w:val="00CC73D4"/>
    <w:rsid w:val="00CD55ED"/>
    <w:rsid w:val="00CE1967"/>
    <w:rsid w:val="00CE355F"/>
    <w:rsid w:val="00CF3270"/>
    <w:rsid w:val="00CF47DB"/>
    <w:rsid w:val="00CF5D84"/>
    <w:rsid w:val="00CF695E"/>
    <w:rsid w:val="00CF7D4C"/>
    <w:rsid w:val="00CF7EFA"/>
    <w:rsid w:val="00D04045"/>
    <w:rsid w:val="00D0431D"/>
    <w:rsid w:val="00D04385"/>
    <w:rsid w:val="00D231F8"/>
    <w:rsid w:val="00D24FDB"/>
    <w:rsid w:val="00D25A13"/>
    <w:rsid w:val="00D31A4B"/>
    <w:rsid w:val="00D323E6"/>
    <w:rsid w:val="00D33DA3"/>
    <w:rsid w:val="00D351AD"/>
    <w:rsid w:val="00D40D85"/>
    <w:rsid w:val="00D43434"/>
    <w:rsid w:val="00D46244"/>
    <w:rsid w:val="00D477E5"/>
    <w:rsid w:val="00D507E9"/>
    <w:rsid w:val="00D508D7"/>
    <w:rsid w:val="00D50FC9"/>
    <w:rsid w:val="00D512EE"/>
    <w:rsid w:val="00D51DEB"/>
    <w:rsid w:val="00D52398"/>
    <w:rsid w:val="00D52DAD"/>
    <w:rsid w:val="00D54223"/>
    <w:rsid w:val="00D55130"/>
    <w:rsid w:val="00D62131"/>
    <w:rsid w:val="00D756F3"/>
    <w:rsid w:val="00D76409"/>
    <w:rsid w:val="00D811A8"/>
    <w:rsid w:val="00D83080"/>
    <w:rsid w:val="00D83855"/>
    <w:rsid w:val="00D84B2A"/>
    <w:rsid w:val="00D85CDD"/>
    <w:rsid w:val="00D8641C"/>
    <w:rsid w:val="00D874F5"/>
    <w:rsid w:val="00D90F73"/>
    <w:rsid w:val="00D91E3A"/>
    <w:rsid w:val="00D93B56"/>
    <w:rsid w:val="00D949BA"/>
    <w:rsid w:val="00D95F7B"/>
    <w:rsid w:val="00D9720D"/>
    <w:rsid w:val="00DA213B"/>
    <w:rsid w:val="00DA2CBB"/>
    <w:rsid w:val="00DA39F7"/>
    <w:rsid w:val="00DA3B5E"/>
    <w:rsid w:val="00DA5A82"/>
    <w:rsid w:val="00DA6982"/>
    <w:rsid w:val="00DA6AD5"/>
    <w:rsid w:val="00DB0A80"/>
    <w:rsid w:val="00DB2B6A"/>
    <w:rsid w:val="00DB4135"/>
    <w:rsid w:val="00DB5B86"/>
    <w:rsid w:val="00DB604E"/>
    <w:rsid w:val="00DB7C31"/>
    <w:rsid w:val="00DC0611"/>
    <w:rsid w:val="00DC0CCC"/>
    <w:rsid w:val="00DC1026"/>
    <w:rsid w:val="00DC1582"/>
    <w:rsid w:val="00DC2D92"/>
    <w:rsid w:val="00DC36F5"/>
    <w:rsid w:val="00DC485B"/>
    <w:rsid w:val="00DC7215"/>
    <w:rsid w:val="00DD1125"/>
    <w:rsid w:val="00DD1611"/>
    <w:rsid w:val="00DD2E01"/>
    <w:rsid w:val="00DD4A66"/>
    <w:rsid w:val="00DE2C37"/>
    <w:rsid w:val="00DE41D7"/>
    <w:rsid w:val="00DE5B59"/>
    <w:rsid w:val="00DE7496"/>
    <w:rsid w:val="00DF2D97"/>
    <w:rsid w:val="00DF47F7"/>
    <w:rsid w:val="00E014D4"/>
    <w:rsid w:val="00E036A7"/>
    <w:rsid w:val="00E03C8E"/>
    <w:rsid w:val="00E047B2"/>
    <w:rsid w:val="00E06B76"/>
    <w:rsid w:val="00E12A87"/>
    <w:rsid w:val="00E13A42"/>
    <w:rsid w:val="00E1519F"/>
    <w:rsid w:val="00E207F3"/>
    <w:rsid w:val="00E20FA5"/>
    <w:rsid w:val="00E233EB"/>
    <w:rsid w:val="00E25633"/>
    <w:rsid w:val="00E25A91"/>
    <w:rsid w:val="00E309D6"/>
    <w:rsid w:val="00E36133"/>
    <w:rsid w:val="00E3622B"/>
    <w:rsid w:val="00E36623"/>
    <w:rsid w:val="00E36A9A"/>
    <w:rsid w:val="00E467C3"/>
    <w:rsid w:val="00E550C6"/>
    <w:rsid w:val="00E57FE2"/>
    <w:rsid w:val="00E6161B"/>
    <w:rsid w:val="00E659E1"/>
    <w:rsid w:val="00E67197"/>
    <w:rsid w:val="00E75E3D"/>
    <w:rsid w:val="00E8340D"/>
    <w:rsid w:val="00E846F6"/>
    <w:rsid w:val="00E84CFC"/>
    <w:rsid w:val="00E8525F"/>
    <w:rsid w:val="00E86762"/>
    <w:rsid w:val="00E912C6"/>
    <w:rsid w:val="00E948F3"/>
    <w:rsid w:val="00EA21BD"/>
    <w:rsid w:val="00EA2215"/>
    <w:rsid w:val="00EA3DAA"/>
    <w:rsid w:val="00EA5A35"/>
    <w:rsid w:val="00EB07EA"/>
    <w:rsid w:val="00EB2473"/>
    <w:rsid w:val="00EB2713"/>
    <w:rsid w:val="00EC1741"/>
    <w:rsid w:val="00EC3086"/>
    <w:rsid w:val="00EC6971"/>
    <w:rsid w:val="00EC6B42"/>
    <w:rsid w:val="00EC75BA"/>
    <w:rsid w:val="00ED49D8"/>
    <w:rsid w:val="00ED5D42"/>
    <w:rsid w:val="00EE2AC3"/>
    <w:rsid w:val="00EE3784"/>
    <w:rsid w:val="00EE7584"/>
    <w:rsid w:val="00EE78DA"/>
    <w:rsid w:val="00EF4D91"/>
    <w:rsid w:val="00EF5845"/>
    <w:rsid w:val="00F02BEA"/>
    <w:rsid w:val="00F06E45"/>
    <w:rsid w:val="00F072DB"/>
    <w:rsid w:val="00F1060C"/>
    <w:rsid w:val="00F10BE4"/>
    <w:rsid w:val="00F14D38"/>
    <w:rsid w:val="00F20191"/>
    <w:rsid w:val="00F20327"/>
    <w:rsid w:val="00F23155"/>
    <w:rsid w:val="00F23996"/>
    <w:rsid w:val="00F23B72"/>
    <w:rsid w:val="00F24856"/>
    <w:rsid w:val="00F271AB"/>
    <w:rsid w:val="00F30BB5"/>
    <w:rsid w:val="00F3199D"/>
    <w:rsid w:val="00F355BD"/>
    <w:rsid w:val="00F377AE"/>
    <w:rsid w:val="00F40419"/>
    <w:rsid w:val="00F4418A"/>
    <w:rsid w:val="00F45249"/>
    <w:rsid w:val="00F51F53"/>
    <w:rsid w:val="00F54188"/>
    <w:rsid w:val="00F60279"/>
    <w:rsid w:val="00F60792"/>
    <w:rsid w:val="00F60E22"/>
    <w:rsid w:val="00F621C8"/>
    <w:rsid w:val="00F70B68"/>
    <w:rsid w:val="00F70C82"/>
    <w:rsid w:val="00F70ED2"/>
    <w:rsid w:val="00F77454"/>
    <w:rsid w:val="00F83FE1"/>
    <w:rsid w:val="00F91851"/>
    <w:rsid w:val="00F92987"/>
    <w:rsid w:val="00F946B7"/>
    <w:rsid w:val="00FA0046"/>
    <w:rsid w:val="00FA31A5"/>
    <w:rsid w:val="00FA3EFB"/>
    <w:rsid w:val="00FA501B"/>
    <w:rsid w:val="00FB0982"/>
    <w:rsid w:val="00FB6244"/>
    <w:rsid w:val="00FC212E"/>
    <w:rsid w:val="00FC4A4B"/>
    <w:rsid w:val="00FC4CEF"/>
    <w:rsid w:val="00FD01C5"/>
    <w:rsid w:val="00FD2303"/>
    <w:rsid w:val="00FD477F"/>
    <w:rsid w:val="00FD5D67"/>
    <w:rsid w:val="00FD72BD"/>
    <w:rsid w:val="00FE0477"/>
    <w:rsid w:val="00FE2371"/>
    <w:rsid w:val="00FE2CDB"/>
    <w:rsid w:val="00FE3F47"/>
    <w:rsid w:val="00FF20B2"/>
    <w:rsid w:val="00FF251A"/>
    <w:rsid w:val="00FF4510"/>
    <w:rsid w:val="00FF49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8F696829-1225-44F2-B92F-36F2A9EC1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 w:type="paragraph" w:styleId="NormalWeb">
    <w:name w:val="Normal (Web)"/>
    <w:basedOn w:val="Normal"/>
    <w:uiPriority w:val="99"/>
    <w:semiHidden/>
    <w:unhideWhenUsed/>
    <w:rsid w:val="00A96ECC"/>
    <w:rPr>
      <w:rFonts w:ascii="Times New Roman" w:hAnsi="Times New Roman" w:cs="Times New Roman"/>
      <w:sz w:val="24"/>
      <w:szCs w:val="24"/>
    </w:rPr>
  </w:style>
  <w:style w:type="table" w:styleId="Tablaconcuadrcula">
    <w:name w:val="Table Grid"/>
    <w:basedOn w:val="Tablanormal"/>
    <w:uiPriority w:val="39"/>
    <w:rsid w:val="009746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97464D"/>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notapie">
    <w:name w:val="footnote text"/>
    <w:basedOn w:val="Normal"/>
    <w:link w:val="TextonotapieCar"/>
    <w:uiPriority w:val="99"/>
    <w:unhideWhenUsed/>
    <w:rsid w:val="00F23996"/>
    <w:pPr>
      <w:spacing w:after="0" w:line="240" w:lineRule="auto"/>
    </w:pPr>
    <w:rPr>
      <w:rFonts w:eastAsiaTheme="minorEastAsia"/>
      <w:sz w:val="20"/>
      <w:szCs w:val="20"/>
      <w:lang w:val="es-MX" w:eastAsia="es-MX"/>
    </w:rPr>
  </w:style>
  <w:style w:type="character" w:customStyle="1" w:styleId="TextonotapieCar">
    <w:name w:val="Texto nota pie Car"/>
    <w:basedOn w:val="Fuentedeprrafopredeter"/>
    <w:link w:val="Textonotapie"/>
    <w:uiPriority w:val="99"/>
    <w:rsid w:val="00F23996"/>
    <w:rPr>
      <w:rFonts w:eastAsiaTheme="minorEastAsia"/>
      <w:sz w:val="20"/>
      <w:szCs w:val="20"/>
      <w:lang w:val="es-MX" w:eastAsia="es-MX"/>
    </w:rPr>
  </w:style>
  <w:style w:type="character" w:styleId="Refdenotaalpie">
    <w:name w:val="footnote reference"/>
    <w:basedOn w:val="Fuentedeprrafopredeter"/>
    <w:uiPriority w:val="99"/>
    <w:unhideWhenUsed/>
    <w:rsid w:val="00F23996"/>
    <w:rPr>
      <w:vertAlign w:val="superscript"/>
    </w:rPr>
  </w:style>
  <w:style w:type="character" w:styleId="Hipervnculovisitado">
    <w:name w:val="FollowedHyperlink"/>
    <w:basedOn w:val="Fuentedeprrafopredeter"/>
    <w:uiPriority w:val="99"/>
    <w:semiHidden/>
    <w:unhideWhenUsed/>
    <w:rsid w:val="007E3B39"/>
    <w:rPr>
      <w:color w:val="954F72" w:themeColor="followedHyperlink"/>
      <w:u w:val="single"/>
    </w:rPr>
  </w:style>
  <w:style w:type="paragraph" w:styleId="Textosinformato">
    <w:name w:val="Plain Text"/>
    <w:basedOn w:val="Normal"/>
    <w:link w:val="TextosinformatoCar"/>
    <w:uiPriority w:val="99"/>
    <w:semiHidden/>
    <w:unhideWhenUsed/>
    <w:rsid w:val="00570FA4"/>
    <w:pPr>
      <w:spacing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semiHidden/>
    <w:rsid w:val="00570FA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4365">
      <w:bodyDiv w:val="1"/>
      <w:marLeft w:val="0"/>
      <w:marRight w:val="0"/>
      <w:marTop w:val="0"/>
      <w:marBottom w:val="0"/>
      <w:divBdr>
        <w:top w:val="none" w:sz="0" w:space="0" w:color="auto"/>
        <w:left w:val="none" w:sz="0" w:space="0" w:color="auto"/>
        <w:bottom w:val="none" w:sz="0" w:space="0" w:color="auto"/>
        <w:right w:val="none" w:sz="0" w:space="0" w:color="auto"/>
      </w:divBdr>
    </w:div>
    <w:div w:id="8454624">
      <w:bodyDiv w:val="1"/>
      <w:marLeft w:val="0"/>
      <w:marRight w:val="0"/>
      <w:marTop w:val="0"/>
      <w:marBottom w:val="0"/>
      <w:divBdr>
        <w:top w:val="none" w:sz="0" w:space="0" w:color="auto"/>
        <w:left w:val="none" w:sz="0" w:space="0" w:color="auto"/>
        <w:bottom w:val="none" w:sz="0" w:space="0" w:color="auto"/>
        <w:right w:val="none" w:sz="0" w:space="0" w:color="auto"/>
      </w:divBdr>
    </w:div>
    <w:div w:id="54547901">
      <w:bodyDiv w:val="1"/>
      <w:marLeft w:val="0"/>
      <w:marRight w:val="0"/>
      <w:marTop w:val="0"/>
      <w:marBottom w:val="0"/>
      <w:divBdr>
        <w:top w:val="none" w:sz="0" w:space="0" w:color="auto"/>
        <w:left w:val="none" w:sz="0" w:space="0" w:color="auto"/>
        <w:bottom w:val="none" w:sz="0" w:space="0" w:color="auto"/>
        <w:right w:val="none" w:sz="0" w:space="0" w:color="auto"/>
      </w:divBdr>
    </w:div>
    <w:div w:id="134373999">
      <w:bodyDiv w:val="1"/>
      <w:marLeft w:val="0"/>
      <w:marRight w:val="0"/>
      <w:marTop w:val="0"/>
      <w:marBottom w:val="0"/>
      <w:divBdr>
        <w:top w:val="none" w:sz="0" w:space="0" w:color="auto"/>
        <w:left w:val="none" w:sz="0" w:space="0" w:color="auto"/>
        <w:bottom w:val="none" w:sz="0" w:space="0" w:color="auto"/>
        <w:right w:val="none" w:sz="0" w:space="0" w:color="auto"/>
      </w:divBdr>
    </w:div>
    <w:div w:id="483283958">
      <w:bodyDiv w:val="1"/>
      <w:marLeft w:val="0"/>
      <w:marRight w:val="0"/>
      <w:marTop w:val="0"/>
      <w:marBottom w:val="0"/>
      <w:divBdr>
        <w:top w:val="none" w:sz="0" w:space="0" w:color="auto"/>
        <w:left w:val="none" w:sz="0" w:space="0" w:color="auto"/>
        <w:bottom w:val="none" w:sz="0" w:space="0" w:color="auto"/>
        <w:right w:val="none" w:sz="0" w:space="0" w:color="auto"/>
      </w:divBdr>
    </w:div>
    <w:div w:id="600911631">
      <w:bodyDiv w:val="1"/>
      <w:marLeft w:val="0"/>
      <w:marRight w:val="0"/>
      <w:marTop w:val="0"/>
      <w:marBottom w:val="0"/>
      <w:divBdr>
        <w:top w:val="none" w:sz="0" w:space="0" w:color="auto"/>
        <w:left w:val="none" w:sz="0" w:space="0" w:color="auto"/>
        <w:bottom w:val="none" w:sz="0" w:space="0" w:color="auto"/>
        <w:right w:val="none" w:sz="0" w:space="0" w:color="auto"/>
      </w:divBdr>
    </w:div>
    <w:div w:id="654257549">
      <w:bodyDiv w:val="1"/>
      <w:marLeft w:val="0"/>
      <w:marRight w:val="0"/>
      <w:marTop w:val="0"/>
      <w:marBottom w:val="0"/>
      <w:divBdr>
        <w:top w:val="none" w:sz="0" w:space="0" w:color="auto"/>
        <w:left w:val="none" w:sz="0" w:space="0" w:color="auto"/>
        <w:bottom w:val="none" w:sz="0" w:space="0" w:color="auto"/>
        <w:right w:val="none" w:sz="0" w:space="0" w:color="auto"/>
      </w:divBdr>
    </w:div>
    <w:div w:id="675302509">
      <w:bodyDiv w:val="1"/>
      <w:marLeft w:val="0"/>
      <w:marRight w:val="0"/>
      <w:marTop w:val="0"/>
      <w:marBottom w:val="0"/>
      <w:divBdr>
        <w:top w:val="none" w:sz="0" w:space="0" w:color="auto"/>
        <w:left w:val="none" w:sz="0" w:space="0" w:color="auto"/>
        <w:bottom w:val="none" w:sz="0" w:space="0" w:color="auto"/>
        <w:right w:val="none" w:sz="0" w:space="0" w:color="auto"/>
      </w:divBdr>
    </w:div>
    <w:div w:id="883296376">
      <w:bodyDiv w:val="1"/>
      <w:marLeft w:val="0"/>
      <w:marRight w:val="0"/>
      <w:marTop w:val="0"/>
      <w:marBottom w:val="0"/>
      <w:divBdr>
        <w:top w:val="none" w:sz="0" w:space="0" w:color="auto"/>
        <w:left w:val="none" w:sz="0" w:space="0" w:color="auto"/>
        <w:bottom w:val="none" w:sz="0" w:space="0" w:color="auto"/>
        <w:right w:val="none" w:sz="0" w:space="0" w:color="auto"/>
      </w:divBdr>
    </w:div>
    <w:div w:id="898243918">
      <w:bodyDiv w:val="1"/>
      <w:marLeft w:val="0"/>
      <w:marRight w:val="0"/>
      <w:marTop w:val="0"/>
      <w:marBottom w:val="0"/>
      <w:divBdr>
        <w:top w:val="none" w:sz="0" w:space="0" w:color="auto"/>
        <w:left w:val="none" w:sz="0" w:space="0" w:color="auto"/>
        <w:bottom w:val="none" w:sz="0" w:space="0" w:color="auto"/>
        <w:right w:val="none" w:sz="0" w:space="0" w:color="auto"/>
      </w:divBdr>
    </w:div>
    <w:div w:id="1082751092">
      <w:bodyDiv w:val="1"/>
      <w:marLeft w:val="0"/>
      <w:marRight w:val="0"/>
      <w:marTop w:val="0"/>
      <w:marBottom w:val="0"/>
      <w:divBdr>
        <w:top w:val="none" w:sz="0" w:space="0" w:color="auto"/>
        <w:left w:val="none" w:sz="0" w:space="0" w:color="auto"/>
        <w:bottom w:val="none" w:sz="0" w:space="0" w:color="auto"/>
        <w:right w:val="none" w:sz="0" w:space="0" w:color="auto"/>
      </w:divBdr>
    </w:div>
    <w:div w:id="1230651818">
      <w:bodyDiv w:val="1"/>
      <w:marLeft w:val="0"/>
      <w:marRight w:val="0"/>
      <w:marTop w:val="0"/>
      <w:marBottom w:val="0"/>
      <w:divBdr>
        <w:top w:val="none" w:sz="0" w:space="0" w:color="auto"/>
        <w:left w:val="none" w:sz="0" w:space="0" w:color="auto"/>
        <w:bottom w:val="none" w:sz="0" w:space="0" w:color="auto"/>
        <w:right w:val="none" w:sz="0" w:space="0" w:color="auto"/>
      </w:divBdr>
    </w:div>
    <w:div w:id="1239631950">
      <w:bodyDiv w:val="1"/>
      <w:marLeft w:val="0"/>
      <w:marRight w:val="0"/>
      <w:marTop w:val="0"/>
      <w:marBottom w:val="0"/>
      <w:divBdr>
        <w:top w:val="none" w:sz="0" w:space="0" w:color="auto"/>
        <w:left w:val="none" w:sz="0" w:space="0" w:color="auto"/>
        <w:bottom w:val="none" w:sz="0" w:space="0" w:color="auto"/>
        <w:right w:val="none" w:sz="0" w:space="0" w:color="auto"/>
      </w:divBdr>
    </w:div>
    <w:div w:id="1534077059">
      <w:bodyDiv w:val="1"/>
      <w:marLeft w:val="0"/>
      <w:marRight w:val="0"/>
      <w:marTop w:val="0"/>
      <w:marBottom w:val="0"/>
      <w:divBdr>
        <w:top w:val="none" w:sz="0" w:space="0" w:color="auto"/>
        <w:left w:val="none" w:sz="0" w:space="0" w:color="auto"/>
        <w:bottom w:val="none" w:sz="0" w:space="0" w:color="auto"/>
        <w:right w:val="none" w:sz="0" w:space="0" w:color="auto"/>
      </w:divBdr>
    </w:div>
    <w:div w:id="1596591836">
      <w:bodyDiv w:val="1"/>
      <w:marLeft w:val="0"/>
      <w:marRight w:val="0"/>
      <w:marTop w:val="0"/>
      <w:marBottom w:val="0"/>
      <w:divBdr>
        <w:top w:val="none" w:sz="0" w:space="0" w:color="auto"/>
        <w:left w:val="none" w:sz="0" w:space="0" w:color="auto"/>
        <w:bottom w:val="none" w:sz="0" w:space="0" w:color="auto"/>
        <w:right w:val="none" w:sz="0" w:space="0" w:color="auto"/>
      </w:divBdr>
    </w:div>
    <w:div w:id="1624581460">
      <w:bodyDiv w:val="1"/>
      <w:marLeft w:val="0"/>
      <w:marRight w:val="0"/>
      <w:marTop w:val="0"/>
      <w:marBottom w:val="0"/>
      <w:divBdr>
        <w:top w:val="none" w:sz="0" w:space="0" w:color="auto"/>
        <w:left w:val="none" w:sz="0" w:space="0" w:color="auto"/>
        <w:bottom w:val="none" w:sz="0" w:space="0" w:color="auto"/>
        <w:right w:val="none" w:sz="0" w:space="0" w:color="auto"/>
      </w:divBdr>
    </w:div>
    <w:div w:id="1656833536">
      <w:bodyDiv w:val="1"/>
      <w:marLeft w:val="0"/>
      <w:marRight w:val="0"/>
      <w:marTop w:val="0"/>
      <w:marBottom w:val="0"/>
      <w:divBdr>
        <w:top w:val="none" w:sz="0" w:space="0" w:color="auto"/>
        <w:left w:val="none" w:sz="0" w:space="0" w:color="auto"/>
        <w:bottom w:val="none" w:sz="0" w:space="0" w:color="auto"/>
        <w:right w:val="none" w:sz="0" w:space="0" w:color="auto"/>
      </w:divBdr>
    </w:div>
    <w:div w:id="1668678144">
      <w:bodyDiv w:val="1"/>
      <w:marLeft w:val="0"/>
      <w:marRight w:val="0"/>
      <w:marTop w:val="0"/>
      <w:marBottom w:val="0"/>
      <w:divBdr>
        <w:top w:val="none" w:sz="0" w:space="0" w:color="auto"/>
        <w:left w:val="none" w:sz="0" w:space="0" w:color="auto"/>
        <w:bottom w:val="none" w:sz="0" w:space="0" w:color="auto"/>
        <w:right w:val="none" w:sz="0" w:space="0" w:color="auto"/>
      </w:divBdr>
    </w:div>
    <w:div w:id="1676759565">
      <w:bodyDiv w:val="1"/>
      <w:marLeft w:val="0"/>
      <w:marRight w:val="0"/>
      <w:marTop w:val="0"/>
      <w:marBottom w:val="0"/>
      <w:divBdr>
        <w:top w:val="none" w:sz="0" w:space="0" w:color="auto"/>
        <w:left w:val="none" w:sz="0" w:space="0" w:color="auto"/>
        <w:bottom w:val="none" w:sz="0" w:space="0" w:color="auto"/>
        <w:right w:val="none" w:sz="0" w:space="0" w:color="auto"/>
      </w:divBdr>
    </w:div>
    <w:div w:id="1706522118">
      <w:bodyDiv w:val="1"/>
      <w:marLeft w:val="0"/>
      <w:marRight w:val="0"/>
      <w:marTop w:val="0"/>
      <w:marBottom w:val="0"/>
      <w:divBdr>
        <w:top w:val="none" w:sz="0" w:space="0" w:color="auto"/>
        <w:left w:val="none" w:sz="0" w:space="0" w:color="auto"/>
        <w:bottom w:val="none" w:sz="0" w:space="0" w:color="auto"/>
        <w:right w:val="none" w:sz="0" w:space="0" w:color="auto"/>
      </w:divBdr>
    </w:div>
    <w:div w:id="1823154727">
      <w:bodyDiv w:val="1"/>
      <w:marLeft w:val="0"/>
      <w:marRight w:val="0"/>
      <w:marTop w:val="0"/>
      <w:marBottom w:val="0"/>
      <w:divBdr>
        <w:top w:val="none" w:sz="0" w:space="0" w:color="auto"/>
        <w:left w:val="none" w:sz="0" w:space="0" w:color="auto"/>
        <w:bottom w:val="none" w:sz="0" w:space="0" w:color="auto"/>
        <w:right w:val="none" w:sz="0" w:space="0" w:color="auto"/>
      </w:divBdr>
    </w:div>
    <w:div w:id="1844130249">
      <w:bodyDiv w:val="1"/>
      <w:marLeft w:val="0"/>
      <w:marRight w:val="0"/>
      <w:marTop w:val="0"/>
      <w:marBottom w:val="0"/>
      <w:divBdr>
        <w:top w:val="none" w:sz="0" w:space="0" w:color="auto"/>
        <w:left w:val="none" w:sz="0" w:space="0" w:color="auto"/>
        <w:bottom w:val="none" w:sz="0" w:space="0" w:color="auto"/>
        <w:right w:val="none" w:sz="0" w:space="0" w:color="auto"/>
      </w:divBdr>
    </w:div>
    <w:div w:id="1860972495">
      <w:bodyDiv w:val="1"/>
      <w:marLeft w:val="0"/>
      <w:marRight w:val="0"/>
      <w:marTop w:val="0"/>
      <w:marBottom w:val="0"/>
      <w:divBdr>
        <w:top w:val="none" w:sz="0" w:space="0" w:color="auto"/>
        <w:left w:val="none" w:sz="0" w:space="0" w:color="auto"/>
        <w:bottom w:val="none" w:sz="0" w:space="0" w:color="auto"/>
        <w:right w:val="none" w:sz="0" w:space="0" w:color="auto"/>
      </w:divBdr>
    </w:div>
    <w:div w:id="1879588958">
      <w:bodyDiv w:val="1"/>
      <w:marLeft w:val="0"/>
      <w:marRight w:val="0"/>
      <w:marTop w:val="0"/>
      <w:marBottom w:val="0"/>
      <w:divBdr>
        <w:top w:val="none" w:sz="0" w:space="0" w:color="auto"/>
        <w:left w:val="none" w:sz="0" w:space="0" w:color="auto"/>
        <w:bottom w:val="none" w:sz="0" w:space="0" w:color="auto"/>
        <w:right w:val="none" w:sz="0" w:space="0" w:color="auto"/>
      </w:divBdr>
    </w:div>
    <w:div w:id="1979992606">
      <w:bodyDiv w:val="1"/>
      <w:marLeft w:val="0"/>
      <w:marRight w:val="0"/>
      <w:marTop w:val="0"/>
      <w:marBottom w:val="0"/>
      <w:divBdr>
        <w:top w:val="none" w:sz="0" w:space="0" w:color="auto"/>
        <w:left w:val="none" w:sz="0" w:space="0" w:color="auto"/>
        <w:bottom w:val="none" w:sz="0" w:space="0" w:color="auto"/>
        <w:right w:val="none" w:sz="0" w:space="0" w:color="auto"/>
      </w:divBdr>
    </w:div>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37992-282A-4CF5-99CF-28C6134DD5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5</Pages>
  <Words>1889</Words>
  <Characters>10394</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CEGAIP/SECTEC</cp:lastModifiedBy>
  <cp:revision>3</cp:revision>
  <cp:lastPrinted>2025-11-07T18:41:00Z</cp:lastPrinted>
  <dcterms:created xsi:type="dcterms:W3CDTF">2025-12-10T17:11:00Z</dcterms:created>
  <dcterms:modified xsi:type="dcterms:W3CDTF">2025-12-10T18:50:00Z</dcterms:modified>
</cp:coreProperties>
</file>