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659D1E52" w14:textId="66BFFADC" w:rsidR="00451B98" w:rsidRPr="000D504F" w:rsidRDefault="00F90278"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82395A">
        <w:rPr>
          <w:rFonts w:ascii="Arial" w:eastAsia="Calibri" w:hAnsi="Arial" w:cs="Arial"/>
          <w:b/>
          <w:sz w:val="24"/>
          <w:szCs w:val="24"/>
          <w:lang w:val="es-MX"/>
        </w:rPr>
        <w:t>256</w:t>
      </w:r>
      <w:r>
        <w:rPr>
          <w:rFonts w:ascii="Arial" w:eastAsia="Calibri" w:hAnsi="Arial" w:cs="Arial"/>
          <w:b/>
          <w:sz w:val="24"/>
          <w:szCs w:val="24"/>
          <w:lang w:val="es-MX"/>
        </w:rPr>
        <w:t>/2025</w:t>
      </w:r>
      <w:r w:rsidR="00BD20D8">
        <w:rPr>
          <w:rFonts w:ascii="Arial" w:eastAsia="Calibri" w:hAnsi="Arial" w:cs="Arial"/>
          <w:b/>
          <w:sz w:val="24"/>
          <w:szCs w:val="24"/>
          <w:lang w:val="es-MX"/>
        </w:rPr>
        <w:t xml:space="preserve">. </w:t>
      </w:r>
      <w:r w:rsidR="006F0D0D" w:rsidRPr="000D504F">
        <w:rPr>
          <w:rFonts w:ascii="Arial" w:eastAsia="Calibri" w:hAnsi="Arial" w:cs="Arial"/>
          <w:b/>
          <w:sz w:val="24"/>
          <w:szCs w:val="24"/>
          <w:lang w:val="es-MX"/>
        </w:rPr>
        <w:t>TITULAR DE LA UNIDAD DE TRANSPARENCIA</w:t>
      </w:r>
      <w:bookmarkStart w:id="0" w:name="_Hlk524525610"/>
      <w:r w:rsidR="001B5381">
        <w:rPr>
          <w:rFonts w:ascii="Arial" w:eastAsia="Calibri" w:hAnsi="Arial" w:cs="Arial"/>
          <w:b/>
          <w:sz w:val="24"/>
          <w:szCs w:val="24"/>
          <w:lang w:val="es-MX"/>
        </w:rPr>
        <w:t xml:space="preserve"> DE</w:t>
      </w:r>
      <w:r w:rsidR="00FD7F58" w:rsidRPr="000D504F">
        <w:rPr>
          <w:rFonts w:ascii="Arial" w:eastAsia="Calibri" w:hAnsi="Arial" w:cs="Arial"/>
          <w:b/>
          <w:sz w:val="24"/>
          <w:szCs w:val="24"/>
          <w:lang w:val="es-MX"/>
        </w:rPr>
        <w:t>L</w:t>
      </w:r>
      <w:r w:rsidR="0082395A">
        <w:rPr>
          <w:rFonts w:ascii="Arial" w:eastAsia="Calibri" w:hAnsi="Arial" w:cs="Arial"/>
          <w:b/>
          <w:sz w:val="24"/>
          <w:szCs w:val="24"/>
          <w:lang w:val="es-MX"/>
        </w:rPr>
        <w:t xml:space="preserve"> INSTITUTO ESTATAL DE CIEGOS</w:t>
      </w:r>
      <w:r w:rsidR="00EA0470">
        <w:rPr>
          <w:rFonts w:ascii="Arial" w:eastAsia="Calibri" w:hAnsi="Arial" w:cs="Arial"/>
          <w:b/>
          <w:sz w:val="24"/>
          <w:szCs w:val="24"/>
          <w:lang w:val="es-MX"/>
        </w:rPr>
        <w:t xml:space="preserve"> </w:t>
      </w:r>
    </w:p>
    <w:bookmarkEnd w:id="0"/>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p>
    <w:p w14:paraId="24F33C7B" w14:textId="11282804" w:rsidR="00F90278" w:rsidRDefault="00F90278" w:rsidP="00532FB6">
      <w:pPr>
        <w:spacing w:after="0" w:line="360" w:lineRule="auto"/>
        <w:jc w:val="both"/>
        <w:rPr>
          <w:rFonts w:ascii="Arial" w:eastAsia="Calibri" w:hAnsi="Arial" w:cs="Arial"/>
          <w:sz w:val="24"/>
          <w:szCs w:val="24"/>
          <w:lang w:val="es-MX"/>
        </w:rPr>
      </w:pPr>
    </w:p>
    <w:p w14:paraId="3AF56311" w14:textId="30606555"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EA0470">
        <w:rPr>
          <w:rStyle w:val="1Car"/>
          <w:color w:val="auto"/>
        </w:rPr>
        <w:t>diez de diciembre</w:t>
      </w:r>
      <w:r w:rsidR="003E7CCE">
        <w:rPr>
          <w:rStyle w:val="1Car"/>
          <w:color w:val="auto"/>
        </w:rPr>
        <w:t xml:space="preserve"> </w:t>
      </w:r>
      <w:proofErr w:type="spellStart"/>
      <w:r w:rsidR="00097D2A">
        <w:rPr>
          <w:rStyle w:val="1Car"/>
          <w:color w:val="auto"/>
        </w:rPr>
        <w:t>de</w:t>
      </w:r>
      <w:proofErr w:type="spellEnd"/>
      <w:r w:rsidR="00097D2A">
        <w:rPr>
          <w:rStyle w:val="1Car"/>
          <w:color w:val="auto"/>
        </w:rPr>
        <w:t xml:space="preserve"> dos mil veinticinco</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EA0470">
        <w:rPr>
          <w:rStyle w:val="1Car"/>
          <w:b/>
          <w:color w:val="auto"/>
        </w:rPr>
        <w:t>9</w:t>
      </w:r>
      <w:r w:rsidR="0082395A">
        <w:rPr>
          <w:rStyle w:val="1Car"/>
          <w:b/>
          <w:color w:val="auto"/>
        </w:rPr>
        <w:t>10</w:t>
      </w:r>
      <w:r w:rsidR="003E7CCE">
        <w:rPr>
          <w:rStyle w:val="1Car"/>
          <w:b/>
          <w:color w:val="auto"/>
        </w:rPr>
        <w:t>/2025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62424590" w14:textId="77777777" w:rsidR="0082395A" w:rsidRPr="0082395A" w:rsidRDefault="001917C9" w:rsidP="0082395A">
      <w:pPr>
        <w:tabs>
          <w:tab w:val="left" w:pos="6840"/>
        </w:tabs>
        <w:spacing w:after="0" w:line="240" w:lineRule="auto"/>
        <w:ind w:firstLine="680"/>
        <w:jc w:val="both"/>
        <w:outlineLvl w:val="5"/>
        <w:rPr>
          <w:rFonts w:ascii="Arial" w:eastAsia="Calibri" w:hAnsi="Arial" w:cs="Arial"/>
          <w:color w:val="2F5496" w:themeColor="accent1" w:themeShade="BF"/>
          <w:sz w:val="18"/>
          <w:szCs w:val="23"/>
          <w:lang w:val="es-MX"/>
        </w:rPr>
      </w:pPr>
      <w:r w:rsidRPr="001917C9">
        <w:rPr>
          <w:rFonts w:cs="Arial"/>
          <w:i/>
          <w:color w:val="2F5496" w:themeColor="accent1" w:themeShade="BF"/>
        </w:rPr>
        <w:t>“</w:t>
      </w:r>
      <w:r w:rsidR="0082395A" w:rsidRPr="0082395A">
        <w:rPr>
          <w:rFonts w:ascii="Arial" w:eastAsia="Calibri" w:hAnsi="Arial" w:cs="Arial"/>
          <w:color w:val="2F5496" w:themeColor="accent1" w:themeShade="BF"/>
          <w:sz w:val="18"/>
          <w:szCs w:val="23"/>
          <w:lang w:val="es-MX"/>
        </w:rPr>
        <w:t>San Luis Potosí, San Luis Potosí, a diez de diciembre de dos mil veinticinco.</w:t>
      </w:r>
    </w:p>
    <w:p w14:paraId="2373836D" w14:textId="77777777" w:rsidR="0082395A" w:rsidRPr="0082395A" w:rsidRDefault="0082395A" w:rsidP="0082395A">
      <w:pPr>
        <w:tabs>
          <w:tab w:val="left" w:pos="6840"/>
        </w:tabs>
        <w:spacing w:after="0" w:line="240" w:lineRule="auto"/>
        <w:ind w:firstLine="680"/>
        <w:jc w:val="both"/>
        <w:outlineLvl w:val="5"/>
        <w:rPr>
          <w:rFonts w:ascii="Arial" w:eastAsia="Times New Roman" w:hAnsi="Arial" w:cs="Arial"/>
          <w:bCs/>
          <w:color w:val="2F5496" w:themeColor="accent1" w:themeShade="BF"/>
          <w:sz w:val="18"/>
          <w:szCs w:val="23"/>
          <w:lang w:eastAsia="es-ES"/>
        </w:rPr>
      </w:pPr>
      <w:r w:rsidRPr="0082395A">
        <w:rPr>
          <w:rFonts w:ascii="Arial" w:eastAsia="Calibri" w:hAnsi="Arial" w:cs="Arial"/>
          <w:b/>
          <w:color w:val="2F5496" w:themeColor="accent1" w:themeShade="BF"/>
          <w:sz w:val="18"/>
          <w:szCs w:val="23"/>
        </w:rPr>
        <w:t>VISTOS.</w:t>
      </w:r>
      <w:r w:rsidRPr="0082395A">
        <w:rPr>
          <w:rFonts w:ascii="Arial" w:eastAsia="Calibri" w:hAnsi="Arial" w:cs="Arial"/>
          <w:color w:val="2F5496" w:themeColor="accent1" w:themeShade="BF"/>
          <w:sz w:val="18"/>
          <w:szCs w:val="23"/>
        </w:rPr>
        <w:t xml:space="preserve"> </w:t>
      </w:r>
      <w:r w:rsidRPr="0082395A">
        <w:rPr>
          <w:rFonts w:ascii="Arial" w:eastAsia="Calibri" w:hAnsi="Arial" w:cs="Arial"/>
          <w:b/>
          <w:color w:val="2F5496" w:themeColor="accent1" w:themeShade="BF"/>
          <w:sz w:val="18"/>
          <w:szCs w:val="23"/>
        </w:rPr>
        <w:t>I.</w:t>
      </w:r>
      <w:r w:rsidRPr="0082395A">
        <w:rPr>
          <w:rFonts w:ascii="Arial" w:eastAsia="Calibri" w:hAnsi="Arial" w:cs="Arial"/>
          <w:color w:val="2F5496" w:themeColor="accent1" w:themeShade="BF"/>
          <w:sz w:val="18"/>
          <w:szCs w:val="23"/>
          <w:lang w:val="es-MX"/>
        </w:rPr>
        <w:t xml:space="preserve"> E</w:t>
      </w:r>
      <w:r w:rsidRPr="0082395A">
        <w:rPr>
          <w:rFonts w:ascii="Arial" w:hAnsi="Arial" w:cs="Arial"/>
          <w:color w:val="2F5496" w:themeColor="accent1" w:themeShade="BF"/>
          <w:sz w:val="18"/>
          <w:szCs w:val="23"/>
        </w:rPr>
        <w:t>l estado que guardan los autos del recurso de revisión en que se actúa</w:t>
      </w:r>
      <w:r w:rsidRPr="0082395A">
        <w:rPr>
          <w:rFonts w:ascii="Arial" w:eastAsia="Times New Roman" w:hAnsi="Arial" w:cs="Arial"/>
          <w:bCs/>
          <w:color w:val="2F5496" w:themeColor="accent1" w:themeShade="BF"/>
          <w:sz w:val="18"/>
          <w:szCs w:val="23"/>
          <w:lang w:eastAsia="es-ES"/>
        </w:rPr>
        <w:t xml:space="preserve">; se procede a dictar el siguiente acuerdo: </w:t>
      </w:r>
    </w:p>
    <w:p w14:paraId="2185A578" w14:textId="77777777" w:rsidR="0082395A" w:rsidRPr="0082395A" w:rsidRDefault="0082395A" w:rsidP="0082395A">
      <w:pPr>
        <w:tabs>
          <w:tab w:val="left" w:pos="6840"/>
        </w:tabs>
        <w:spacing w:after="0" w:line="240" w:lineRule="auto"/>
        <w:ind w:firstLine="680"/>
        <w:jc w:val="both"/>
        <w:outlineLvl w:val="5"/>
        <w:rPr>
          <w:rFonts w:ascii="Arial" w:eastAsia="Calibri" w:hAnsi="Arial" w:cs="Arial"/>
          <w:color w:val="2F5496" w:themeColor="accent1" w:themeShade="BF"/>
          <w:sz w:val="18"/>
          <w:szCs w:val="23"/>
          <w:lang w:val="es-MX"/>
        </w:rPr>
      </w:pPr>
      <w:r w:rsidRPr="0082395A">
        <w:rPr>
          <w:rFonts w:ascii="Arial" w:eastAsia="Times New Roman" w:hAnsi="Arial" w:cs="Arial"/>
          <w:b/>
          <w:bCs/>
          <w:color w:val="2F5496" w:themeColor="accent1" w:themeShade="BF"/>
          <w:sz w:val="18"/>
          <w:szCs w:val="23"/>
          <w:lang w:eastAsia="es-ES"/>
        </w:rPr>
        <w:t>PRIMERO.</w:t>
      </w:r>
      <w:r w:rsidRPr="0082395A">
        <w:rPr>
          <w:rFonts w:ascii="Arial" w:eastAsia="Times New Roman" w:hAnsi="Arial" w:cs="Arial"/>
          <w:bCs/>
          <w:color w:val="2F5496" w:themeColor="accent1" w:themeShade="BF"/>
          <w:sz w:val="18"/>
          <w:szCs w:val="23"/>
          <w:lang w:eastAsia="es-ES"/>
        </w:rPr>
        <w:t xml:space="preserve">  </w:t>
      </w:r>
      <w:r w:rsidRPr="0082395A">
        <w:rPr>
          <w:rFonts w:ascii="Arial" w:hAnsi="Arial" w:cs="Arial"/>
          <w:color w:val="2F5496" w:themeColor="accent1" w:themeShade="BF"/>
          <w:sz w:val="18"/>
          <w:szCs w:val="23"/>
        </w:rPr>
        <w:t xml:space="preserve">De una revisión a las constancias que integran el expediente en que se actúa, con fundamento en los artículos 8, 10, 27, primer párrafo; 184 y 185 de la Ley de Transparencia y Acceso a la Información Pública del Estado, esta Comisión procede a analizar el presente sumario a efecto de determinar el cumplimiento o incumplimiento a la resolución dictada el </w:t>
      </w:r>
      <w:r w:rsidRPr="0082395A">
        <w:rPr>
          <w:rFonts w:ascii="Arial" w:eastAsia="Times New Roman" w:hAnsi="Arial" w:cs="Arial"/>
          <w:bCs/>
          <w:color w:val="2F5496" w:themeColor="accent1" w:themeShade="BF"/>
          <w:sz w:val="18"/>
          <w:szCs w:val="23"/>
          <w:lang w:eastAsia="es-ES"/>
        </w:rPr>
        <w:t>cinco de noviembre de dos mil veinticinco</w:t>
      </w:r>
      <w:r w:rsidRPr="0082395A">
        <w:rPr>
          <w:rFonts w:ascii="Arial" w:hAnsi="Arial" w:cs="Arial"/>
          <w:color w:val="2F5496" w:themeColor="accent1" w:themeShade="BF"/>
          <w:sz w:val="18"/>
          <w:szCs w:val="23"/>
        </w:rPr>
        <w:t xml:space="preserve"> dentro del recurso de revisión </w:t>
      </w:r>
      <w:r w:rsidRPr="0082395A">
        <w:rPr>
          <w:rFonts w:ascii="Arial" w:hAnsi="Arial" w:cs="Arial"/>
          <w:b/>
          <w:color w:val="2F5496" w:themeColor="accent1" w:themeShade="BF"/>
          <w:sz w:val="18"/>
          <w:szCs w:val="23"/>
        </w:rPr>
        <w:t>RR-942/2025-1</w:t>
      </w:r>
      <w:r w:rsidRPr="0082395A">
        <w:rPr>
          <w:rFonts w:ascii="Arial" w:hAnsi="Arial" w:cs="Arial"/>
          <w:color w:val="2F5496" w:themeColor="accent1" w:themeShade="BF"/>
          <w:sz w:val="18"/>
          <w:szCs w:val="23"/>
        </w:rPr>
        <w:t xml:space="preserve">, respecto de la respuesta emitida por el </w:t>
      </w:r>
      <w:r w:rsidRPr="0082395A">
        <w:rPr>
          <w:rFonts w:ascii="Arial" w:hAnsi="Arial" w:cs="Arial"/>
          <w:b/>
          <w:color w:val="2F5496" w:themeColor="accent1" w:themeShade="BF"/>
          <w:sz w:val="18"/>
          <w:szCs w:val="23"/>
        </w:rPr>
        <w:t>Instituto Estatal de Ciegos</w:t>
      </w:r>
      <w:r w:rsidRPr="0082395A">
        <w:rPr>
          <w:rFonts w:ascii="Arial" w:hAnsi="Arial" w:cs="Arial"/>
          <w:color w:val="2F5496" w:themeColor="accent1" w:themeShade="BF"/>
          <w:sz w:val="18"/>
          <w:szCs w:val="23"/>
        </w:rPr>
        <w:t>, por lo que resulta necesario insertar los efectos dictados en la resolución:</w:t>
      </w:r>
    </w:p>
    <w:p w14:paraId="1F29C144" w14:textId="77777777" w:rsidR="0082395A" w:rsidRPr="0082395A" w:rsidRDefault="0082395A" w:rsidP="0082395A">
      <w:pPr>
        <w:pStyle w:val="corte4fondo"/>
        <w:tabs>
          <w:tab w:val="left" w:pos="567"/>
        </w:tabs>
        <w:spacing w:line="240" w:lineRule="auto"/>
        <w:ind w:left="680" w:right="680" w:firstLine="0"/>
        <w:rPr>
          <w:rFonts w:cs="Arial"/>
          <w:b/>
          <w:i/>
          <w:color w:val="2F5496" w:themeColor="accent1" w:themeShade="BF"/>
          <w:sz w:val="14"/>
          <w:szCs w:val="23"/>
        </w:rPr>
      </w:pPr>
      <w:r w:rsidRPr="0082395A">
        <w:rPr>
          <w:rFonts w:cs="Arial"/>
          <w:color w:val="2F5496" w:themeColor="accent1" w:themeShade="BF"/>
          <w:sz w:val="18"/>
          <w:szCs w:val="23"/>
        </w:rPr>
        <w:t>“</w:t>
      </w:r>
      <w:r w:rsidRPr="0082395A">
        <w:rPr>
          <w:rFonts w:cs="Arial"/>
          <w:b/>
          <w:i/>
          <w:color w:val="2F5496" w:themeColor="accent1" w:themeShade="BF"/>
          <w:sz w:val="14"/>
          <w:szCs w:val="23"/>
        </w:rPr>
        <w:t>5.1. Sentido y efectos de esta resolución.</w:t>
      </w:r>
    </w:p>
    <w:p w14:paraId="1FE80AEC"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szCs w:val="23"/>
        </w:rPr>
      </w:pPr>
      <w:r w:rsidRPr="0082395A">
        <w:rPr>
          <w:rFonts w:cs="Arial"/>
          <w:i/>
          <w:color w:val="2F5496" w:themeColor="accent1" w:themeShade="BF"/>
          <w:sz w:val="14"/>
          <w:szCs w:val="23"/>
        </w:rPr>
        <w:t>Por las consideraciones expuestas, el Pleno de esta Comisión Estatal de Garantía de Acceso a la Información Pública de conformidad con el artículo 175, fracción III de la Ley de Transparencia y Acceso a la Información Pública del Estado</w:t>
      </w:r>
      <w:r w:rsidRPr="0082395A">
        <w:rPr>
          <w:rFonts w:cs="Arial"/>
          <w:b/>
          <w:i/>
          <w:color w:val="2F5496" w:themeColor="accent1" w:themeShade="BF"/>
          <w:sz w:val="14"/>
          <w:szCs w:val="23"/>
        </w:rPr>
        <w:t xml:space="preserve"> MODIFICA </w:t>
      </w:r>
      <w:r w:rsidRPr="0082395A">
        <w:rPr>
          <w:rFonts w:cs="Arial"/>
          <w:i/>
          <w:color w:val="2F5496" w:themeColor="accent1" w:themeShade="BF"/>
          <w:sz w:val="14"/>
          <w:szCs w:val="23"/>
        </w:rPr>
        <w:t>la respuesta proporcionada por el sujeto obligado y lo conmina para que:</w:t>
      </w:r>
    </w:p>
    <w:p w14:paraId="23F7C293" w14:textId="77777777" w:rsidR="0082395A" w:rsidRPr="0082395A" w:rsidRDefault="0082395A" w:rsidP="0082395A">
      <w:pPr>
        <w:pStyle w:val="corte4fondo"/>
        <w:numPr>
          <w:ilvl w:val="0"/>
          <w:numId w:val="47"/>
        </w:numPr>
        <w:tabs>
          <w:tab w:val="left" w:pos="567"/>
        </w:tabs>
        <w:spacing w:line="240" w:lineRule="auto"/>
        <w:ind w:left="680" w:right="680" w:firstLine="0"/>
        <w:rPr>
          <w:rFonts w:cs="Arial"/>
          <w:i/>
          <w:color w:val="2F5496" w:themeColor="accent1" w:themeShade="BF"/>
          <w:sz w:val="14"/>
          <w:szCs w:val="23"/>
        </w:rPr>
      </w:pPr>
      <w:r w:rsidRPr="0082395A">
        <w:rPr>
          <w:rFonts w:ascii="Tahoma" w:hAnsi="Tahoma" w:cs="Tahoma"/>
          <w:b/>
          <w:i/>
          <w:color w:val="2F5496" w:themeColor="accent1" w:themeShade="BF"/>
          <w:sz w:val="14"/>
          <w:szCs w:val="23"/>
        </w:rPr>
        <w:t>﻿﻿</w:t>
      </w:r>
      <w:r w:rsidRPr="0082395A">
        <w:rPr>
          <w:rFonts w:cs="Arial"/>
          <w:i/>
          <w:color w:val="2F5496" w:themeColor="accent1" w:themeShade="BF"/>
          <w:sz w:val="14"/>
          <w:szCs w:val="23"/>
        </w:rPr>
        <w:t>Entregue el nombramiento de la Encargada de Despacho del Instituto Estatal de Ciegos.</w:t>
      </w:r>
    </w:p>
    <w:p w14:paraId="72F035C6" w14:textId="77777777" w:rsidR="0082395A" w:rsidRPr="0082395A" w:rsidRDefault="0082395A" w:rsidP="0082395A">
      <w:pPr>
        <w:pStyle w:val="corte4fondo"/>
        <w:numPr>
          <w:ilvl w:val="0"/>
          <w:numId w:val="47"/>
        </w:numPr>
        <w:tabs>
          <w:tab w:val="left" w:pos="567"/>
        </w:tabs>
        <w:spacing w:line="240" w:lineRule="auto"/>
        <w:ind w:left="680" w:right="680" w:firstLine="0"/>
        <w:rPr>
          <w:rFonts w:cs="Arial"/>
          <w:i/>
          <w:color w:val="2F5496" w:themeColor="accent1" w:themeShade="BF"/>
          <w:sz w:val="18"/>
          <w:szCs w:val="23"/>
        </w:rPr>
      </w:pPr>
      <w:r w:rsidRPr="0082395A">
        <w:rPr>
          <w:rFonts w:ascii="Tahoma" w:hAnsi="Tahoma" w:cs="Tahoma"/>
          <w:i/>
          <w:color w:val="2F5496" w:themeColor="accent1" w:themeShade="BF"/>
          <w:sz w:val="14"/>
          <w:szCs w:val="23"/>
        </w:rPr>
        <w:t>﻿﻿</w:t>
      </w:r>
      <w:r w:rsidRPr="0082395A">
        <w:rPr>
          <w:rFonts w:cs="Arial"/>
          <w:i/>
          <w:color w:val="2F5496" w:themeColor="accent1" w:themeShade="BF"/>
          <w:sz w:val="14"/>
          <w:szCs w:val="23"/>
        </w:rPr>
        <w:t>En caso de que aún no se encuentre generado, emita una nueva respuesta en la cual, de manera fundada y motivada, señale las causas que dan lugar a la inexistencia del documento</w:t>
      </w:r>
      <w:r w:rsidRPr="0082395A">
        <w:rPr>
          <w:rFonts w:cs="Arial"/>
          <w:i/>
          <w:color w:val="2F5496" w:themeColor="accent1" w:themeShade="BF"/>
          <w:sz w:val="16"/>
          <w:szCs w:val="23"/>
        </w:rPr>
        <w:t>.</w:t>
      </w:r>
      <w:r w:rsidRPr="0082395A">
        <w:rPr>
          <w:rFonts w:cs="Arial"/>
          <w:color w:val="2F5496" w:themeColor="accent1" w:themeShade="BF"/>
          <w:sz w:val="18"/>
          <w:szCs w:val="23"/>
        </w:rPr>
        <w:t>”</w:t>
      </w:r>
    </w:p>
    <w:p w14:paraId="044BEBDD" w14:textId="77777777" w:rsidR="0082395A" w:rsidRPr="0082395A" w:rsidRDefault="0082395A" w:rsidP="0082395A">
      <w:pPr>
        <w:pStyle w:val="corte4fondo"/>
        <w:tabs>
          <w:tab w:val="left" w:pos="567"/>
        </w:tabs>
        <w:spacing w:line="240" w:lineRule="auto"/>
        <w:rPr>
          <w:rFonts w:cs="Arial"/>
          <w:color w:val="2F5496" w:themeColor="accent1" w:themeShade="BF"/>
          <w:sz w:val="18"/>
          <w:szCs w:val="23"/>
        </w:rPr>
      </w:pPr>
      <w:r w:rsidRPr="0082395A">
        <w:rPr>
          <w:rFonts w:cs="Arial"/>
          <w:color w:val="2F5496" w:themeColor="accent1" w:themeShade="BF"/>
          <w:sz w:val="18"/>
          <w:szCs w:val="23"/>
        </w:rPr>
        <w:t>Derivado de lo anterior, el sujeto obligado, por conducto del Director de Construcción y Conservación, emitió una nueva respuesta en los siguientes términos:</w:t>
      </w:r>
    </w:p>
    <w:p w14:paraId="6FA4255F"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8"/>
          <w:szCs w:val="23"/>
        </w:rPr>
        <w:t>“</w:t>
      </w:r>
      <w:r w:rsidRPr="0082395A">
        <w:rPr>
          <w:rFonts w:cs="Arial"/>
          <w:i/>
          <w:color w:val="2F5496" w:themeColor="accent1" w:themeShade="BF"/>
          <w:sz w:val="14"/>
        </w:rPr>
        <w:t>[…]</w:t>
      </w:r>
    </w:p>
    <w:p w14:paraId="073A8E2C"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En estricto cumplimiento de la Resolución emitida dentro del Recurso de Revisión 910/2025-1, y en atención a la solicitud de información registrada con número de folio 241485425000010, interpuesta a través de la Plataforma Nacional de Transparencia, y por medio del presente se emite la nueva respuesta a su requerimiento.</w:t>
      </w:r>
    </w:p>
    <w:p w14:paraId="6C6CEDBF"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"De conformidad a la ley de Transparencia solicitamos El nombre completo de la persona titular del Instituto, Su currículo vitae en versión pública, Su nombramiento como responsable, titular o directora".</w:t>
      </w:r>
    </w:p>
    <w:p w14:paraId="29E9A855"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A fin de dar respuesta a su solicitud ya expuesta, se le hace de su conocimiento:</w:t>
      </w:r>
    </w:p>
    <w:p w14:paraId="03EB86BF"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 xml:space="preserve">Al respecto, se reitera que el nombre completo de la encargada de despacho en representación del titular de este instituto es Perla </w:t>
      </w:r>
      <w:proofErr w:type="spellStart"/>
      <w:r w:rsidRPr="0082395A">
        <w:rPr>
          <w:rFonts w:cs="Arial"/>
          <w:i/>
          <w:color w:val="2F5496" w:themeColor="accent1" w:themeShade="BF"/>
          <w:sz w:val="14"/>
        </w:rPr>
        <w:t>Ashely</w:t>
      </w:r>
      <w:proofErr w:type="spellEnd"/>
      <w:r w:rsidRPr="0082395A">
        <w:rPr>
          <w:rFonts w:cs="Arial"/>
          <w:i/>
          <w:color w:val="2F5496" w:themeColor="accent1" w:themeShade="BF"/>
          <w:sz w:val="14"/>
        </w:rPr>
        <w:t xml:space="preserve"> Campos Martínez. Asimismo, el currículum vitae en versión pública fue debidamente adjuntado en la respuesta inicial. Por lo tanto, los puntos uno y dos de su solicitud han sido atendidos en su totalidad.</w:t>
      </w:r>
    </w:p>
    <w:p w14:paraId="7D9CF3E5"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En lo que respecta a la copia del nombramiento, se realizó una búsqueda exhaustiva en los archivos físicos y electrónicos de esta Unidad de Transparencia, determinando que documento solicitado aún no ha sido emitido y, por lo tanto, aún no se encuentra cargado en los registros institucionales.</w:t>
      </w:r>
    </w:p>
    <w:p w14:paraId="0945A656"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Lo anterior obedece a que la emisión y generación del nombramiento oficial no es competencia de la Unidad de transparencia ni de ninguna de las áreas o personal administrativo de este Instituto.</w:t>
      </w:r>
    </w:p>
    <w:p w14:paraId="500AD462"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En resultado de lo anterior la emisión y generación oficial del nombramiento no es, ni ha sido, una facultad o competencia inherente a las responsabilidades de la Unidad de Transparencia, de igual forma, ninguna de las áreas o el personal administrativo de este Instituto tiene la atribución legal para crear o emitir dicho documento. La generación y formalización definitiva del nombramiento oficial obedece a un proceso complejo que requiere la deliberación y aprobación de un Órgano Colegiado superior, cuyas resoluciones son la única fuente para su emisión.</w:t>
      </w:r>
    </w:p>
    <w:p w14:paraId="4A8294B5"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En consecuencia, la Unidad de Transparencia no puede entregar un documento que legal y materialmente aún no forma parte de los archivos institucionales por no haber concluido su proceso de emisión por la autoridad competente. Es un documento inexistente hasta la fecha de la presente búsqueda ya que aún no ha completado su proceso de emisión por el Órgano Colegiado.</w:t>
      </w:r>
    </w:p>
    <w:p w14:paraId="0E8FCD2E"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Por consiguiente, se declara la inexistencia temporal de la información con fundamento en el Criterio 14/17, emitido por el Instituto Nacional de Transparencia, Acceso a la Información y Protección de Datos Personales (INAI), que establece que "implica que la información requerida aún no se encuentra en nuestros archivos, no obstante que contamos con facultades para poseerla".</w:t>
      </w:r>
    </w:p>
    <w:p w14:paraId="3DBF26FE"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4"/>
        </w:rPr>
      </w:pPr>
      <w:r w:rsidRPr="0082395A">
        <w:rPr>
          <w:rFonts w:cs="Arial"/>
          <w:i/>
          <w:color w:val="2F5496" w:themeColor="accent1" w:themeShade="BF"/>
          <w:sz w:val="14"/>
        </w:rPr>
        <w:t>Acorde con lo mandatado en el punto resolutivo 5.3 del Recurso de Revisión número 910/2025-1, la información requerida ha sido notificada y remitida formalmente a la dirección de correo electrónico […], proporcionada por la parte interesada en estricto cumplimiento.</w:t>
      </w:r>
    </w:p>
    <w:p w14:paraId="6947AA79" w14:textId="77777777" w:rsidR="0082395A" w:rsidRPr="0082395A" w:rsidRDefault="0082395A" w:rsidP="0082395A">
      <w:pPr>
        <w:pStyle w:val="corte4fondo"/>
        <w:tabs>
          <w:tab w:val="left" w:pos="567"/>
        </w:tabs>
        <w:spacing w:line="240" w:lineRule="auto"/>
        <w:ind w:left="680" w:right="680" w:firstLine="0"/>
        <w:rPr>
          <w:rFonts w:cs="Arial"/>
          <w:i/>
          <w:color w:val="2F5496" w:themeColor="accent1" w:themeShade="BF"/>
          <w:sz w:val="18"/>
          <w:szCs w:val="23"/>
        </w:rPr>
      </w:pPr>
      <w:r w:rsidRPr="0082395A">
        <w:rPr>
          <w:rFonts w:cs="Arial"/>
          <w:i/>
          <w:color w:val="2F5496" w:themeColor="accent1" w:themeShade="BF"/>
          <w:sz w:val="14"/>
        </w:rPr>
        <w:t>[…].”</w:t>
      </w:r>
    </w:p>
    <w:p w14:paraId="7D63D9BE"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 xml:space="preserve">Ahora, conforme a las constancias que integran los autos, se desprende que la respuesta emitida en cumplimiento a la resolución dictada el </w:t>
      </w:r>
      <w:r w:rsidRPr="0082395A">
        <w:rPr>
          <w:rFonts w:cs="Arial"/>
          <w:bCs/>
          <w:color w:val="2F5496" w:themeColor="accent1" w:themeShade="BF"/>
          <w:sz w:val="18"/>
          <w:szCs w:val="23"/>
          <w:lang w:eastAsia="es-ES"/>
        </w:rPr>
        <w:t xml:space="preserve">cinco de noviembre de dos mil veinticinco </w:t>
      </w:r>
      <w:r w:rsidRPr="0082395A">
        <w:rPr>
          <w:rFonts w:cs="Arial"/>
          <w:color w:val="2F5496" w:themeColor="accent1" w:themeShade="BF"/>
          <w:sz w:val="18"/>
          <w:szCs w:val="23"/>
        </w:rPr>
        <w:t>fue notificada al ahora recurrente el veinticuatro de noviembre de dos mil veinticinco a través de la dirección de correo electrónico señalada por la persona recurrente para efecto de oír y recibir notificaciones. (Visible a foja 47 de autos).</w:t>
      </w:r>
    </w:p>
    <w:p w14:paraId="7AA53C8A"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lastRenderedPageBreak/>
        <w:t xml:space="preserve">No </w:t>
      </w:r>
      <w:proofErr w:type="gramStart"/>
      <w:r w:rsidRPr="0082395A">
        <w:rPr>
          <w:rFonts w:cs="Arial"/>
          <w:color w:val="2F5496" w:themeColor="accent1" w:themeShade="BF"/>
          <w:sz w:val="18"/>
          <w:szCs w:val="23"/>
        </w:rPr>
        <w:t>obstante</w:t>
      </w:r>
      <w:proofErr w:type="gramEnd"/>
      <w:r w:rsidRPr="0082395A">
        <w:rPr>
          <w:rFonts w:cs="Arial"/>
          <w:color w:val="2F5496" w:themeColor="accent1" w:themeShade="BF"/>
          <w:sz w:val="18"/>
          <w:szCs w:val="23"/>
        </w:rPr>
        <w:t xml:space="preserve"> lo anterior, las constancias que integran los autos permiten demostrar que </w:t>
      </w:r>
      <w:r w:rsidRPr="0082395A">
        <w:rPr>
          <w:rFonts w:cs="Arial"/>
          <w:b/>
          <w:color w:val="2F5496" w:themeColor="accent1" w:themeShade="BF"/>
          <w:sz w:val="18"/>
          <w:szCs w:val="23"/>
          <w:u w:val="single"/>
        </w:rPr>
        <w:t>la nueva respuesta no puede tenerse como válida para efecto de cumplir con la resolución dictada dentro de los autos del recurso de revisión en que se actúa,</w:t>
      </w:r>
      <w:r w:rsidRPr="0082395A">
        <w:rPr>
          <w:rFonts w:cs="Arial"/>
          <w:color w:val="2F5496" w:themeColor="accent1" w:themeShade="BF"/>
          <w:sz w:val="18"/>
          <w:szCs w:val="23"/>
        </w:rPr>
        <w:t xml:space="preserve"> esto de acuerdo con las consideraciones siguientes.</w:t>
      </w:r>
    </w:p>
    <w:p w14:paraId="30107757"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En primer término, el sujeto obligado señaló que realizó la búsqueda exhaustiva de la información relacionada con el nombramiento de la persona titular de la Unidad de Transparencia del Instituto Estatal de Ciegos; sin embargo, dicha búsqueda no arrojó expresión documental alguna, pues el órgano colegiado superior encargado de generar el aludido documento no lo ha hecho, de ahí que no obre en los archivos físicos y bases de datos del Instituto.</w:t>
      </w:r>
    </w:p>
    <w:p w14:paraId="02BF0C2B"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 xml:space="preserve">Al respecto, resulta oportuno hacer la precisión de que, de acuerdo con la Ley de Transparencia y Acceso a la Información Pública del Estado, </w:t>
      </w:r>
      <w:r w:rsidRPr="0082395A">
        <w:rPr>
          <w:rFonts w:cs="Arial"/>
          <w:color w:val="2F5496" w:themeColor="accent1" w:themeShade="BF"/>
          <w:sz w:val="18"/>
          <w:szCs w:val="23"/>
          <w:u w:val="single"/>
        </w:rPr>
        <w:t>el ejercicio del derecho de acceso a la información permite a los gobernados solicitar</w:t>
      </w:r>
      <w:r w:rsidRPr="0082395A">
        <w:rPr>
          <w:rFonts w:cs="Arial"/>
          <w:color w:val="2F5496" w:themeColor="accent1" w:themeShade="BF"/>
          <w:sz w:val="18"/>
          <w:szCs w:val="23"/>
        </w:rPr>
        <w:t xml:space="preserve">, investigar, difundir, buscar y recibir </w:t>
      </w:r>
      <w:r w:rsidRPr="0082395A">
        <w:rPr>
          <w:rFonts w:cs="Arial"/>
          <w:color w:val="2F5496" w:themeColor="accent1" w:themeShade="BF"/>
          <w:sz w:val="18"/>
          <w:szCs w:val="23"/>
          <w:u w:val="single"/>
        </w:rPr>
        <w:t>información</w:t>
      </w:r>
      <w:r w:rsidRPr="0082395A">
        <w:rPr>
          <w:rFonts w:cs="Arial"/>
          <w:color w:val="2F5496" w:themeColor="accent1" w:themeShade="BF"/>
          <w:sz w:val="18"/>
          <w:szCs w:val="23"/>
        </w:rPr>
        <w:t xml:space="preserve"> generada, </w:t>
      </w:r>
      <w:r w:rsidRPr="0082395A">
        <w:rPr>
          <w:rFonts w:cs="Arial"/>
          <w:color w:val="2F5496" w:themeColor="accent1" w:themeShade="BF"/>
          <w:sz w:val="18"/>
          <w:szCs w:val="23"/>
          <w:u w:val="single"/>
        </w:rPr>
        <w:t>archivada y/o resguardada por los sujetos obligados en el ejercicio de sus funciones</w:t>
      </w:r>
      <w:r w:rsidRPr="0082395A">
        <w:rPr>
          <w:rFonts w:cs="Arial"/>
          <w:color w:val="2F5496" w:themeColor="accent1" w:themeShade="BF"/>
          <w:sz w:val="18"/>
          <w:szCs w:val="23"/>
        </w:rPr>
        <w:t>.</w:t>
      </w:r>
      <w:r w:rsidRPr="0082395A">
        <w:rPr>
          <w:rStyle w:val="Refdenotaalpie"/>
          <w:rFonts w:cs="Arial"/>
          <w:color w:val="2F5496" w:themeColor="accent1" w:themeShade="BF"/>
          <w:sz w:val="18"/>
          <w:szCs w:val="23"/>
        </w:rPr>
        <w:footnoteReference w:id="1"/>
      </w:r>
    </w:p>
    <w:p w14:paraId="76426CA3"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De este modo, es evidente que cualquier persona puede solicitar información a cualquier entidad que ejerza recursos públicos, independientemente si ésta la generó o no, siempre y cuando se encuentre dentro de sus facultades la de contar con dicha información.</w:t>
      </w:r>
    </w:p>
    <w:p w14:paraId="6D4EB10F"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Ahora, puede darse el supuesto de que, por alguna circunstancia, la información requerida no se encuentre en los archivos físicos y/o bases de datos del sujeto obligado, pese a que cuenta con atribuciones ya sea para generarla, archivarla y/o resguardarla.</w:t>
      </w:r>
    </w:p>
    <w:p w14:paraId="7EEB895A"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Respecto de ese tópico, la Ley de la materia prescribe que el sujeto obligado, por conducto de su Comité de Transparencia, deberá:</w:t>
      </w:r>
    </w:p>
    <w:p w14:paraId="2D013A1B" w14:textId="77777777" w:rsidR="0082395A" w:rsidRPr="0082395A" w:rsidRDefault="0082395A" w:rsidP="0082395A">
      <w:pPr>
        <w:pStyle w:val="corte4fondo"/>
        <w:tabs>
          <w:tab w:val="left" w:pos="567"/>
        </w:tabs>
        <w:spacing w:line="240" w:lineRule="auto"/>
        <w:ind w:left="680" w:firstLine="0"/>
        <w:rPr>
          <w:rFonts w:cs="Arial"/>
          <w:color w:val="2F5496" w:themeColor="accent1" w:themeShade="BF"/>
          <w:sz w:val="18"/>
          <w:szCs w:val="23"/>
        </w:rPr>
      </w:pPr>
      <w:r w:rsidRPr="0082395A">
        <w:rPr>
          <w:rFonts w:cs="Arial"/>
          <w:color w:val="2F5496" w:themeColor="accent1" w:themeShade="BF"/>
          <w:sz w:val="18"/>
          <w:szCs w:val="23"/>
        </w:rPr>
        <w:t xml:space="preserve">a) Analizar el caso y tomar las medidas necesarias para localizar la información. </w:t>
      </w:r>
    </w:p>
    <w:p w14:paraId="231EF3C1" w14:textId="77777777" w:rsidR="0082395A" w:rsidRPr="0082395A" w:rsidRDefault="0082395A" w:rsidP="0082395A">
      <w:pPr>
        <w:pStyle w:val="corte4fondo"/>
        <w:tabs>
          <w:tab w:val="left" w:pos="567"/>
        </w:tabs>
        <w:spacing w:line="240" w:lineRule="auto"/>
        <w:ind w:left="680" w:firstLine="0"/>
        <w:rPr>
          <w:rFonts w:cs="Arial"/>
          <w:color w:val="2F5496" w:themeColor="accent1" w:themeShade="BF"/>
          <w:sz w:val="18"/>
          <w:szCs w:val="23"/>
        </w:rPr>
      </w:pPr>
      <w:r w:rsidRPr="0082395A">
        <w:rPr>
          <w:rFonts w:cs="Arial"/>
          <w:color w:val="2F5496" w:themeColor="accent1" w:themeShade="BF"/>
          <w:sz w:val="18"/>
          <w:szCs w:val="23"/>
        </w:rPr>
        <w:t>b) Expedir una resolución que confirme la inexisten</w:t>
      </w:r>
      <w:r w:rsidRPr="0082395A">
        <w:rPr>
          <w:rFonts w:cs="Arial"/>
          <w:color w:val="2F5496" w:themeColor="accent1" w:themeShade="BF"/>
          <w:sz w:val="18"/>
          <w:szCs w:val="23"/>
        </w:rPr>
        <w:softHyphen/>
        <w:t xml:space="preserve">cia del documento requerido. </w:t>
      </w:r>
    </w:p>
    <w:p w14:paraId="7579F3B3" w14:textId="77777777" w:rsidR="0082395A" w:rsidRPr="0082395A" w:rsidRDefault="0082395A" w:rsidP="0082395A">
      <w:pPr>
        <w:pStyle w:val="corte4fondo"/>
        <w:tabs>
          <w:tab w:val="left" w:pos="567"/>
        </w:tabs>
        <w:spacing w:line="240" w:lineRule="auto"/>
        <w:ind w:left="680" w:firstLine="0"/>
        <w:rPr>
          <w:rFonts w:cs="Arial"/>
          <w:color w:val="2F5496" w:themeColor="accent1" w:themeShade="BF"/>
          <w:sz w:val="18"/>
          <w:szCs w:val="23"/>
        </w:rPr>
      </w:pPr>
      <w:r w:rsidRPr="0082395A">
        <w:rPr>
          <w:rFonts w:cs="Arial"/>
          <w:color w:val="2F5496" w:themeColor="accent1" w:themeShade="BF"/>
          <w:sz w:val="18"/>
          <w:szCs w:val="23"/>
        </w:rPr>
        <w:t>c) Ordenará que se genere o se reponga la información en caso de que ésta debiera haber existido por ser parte de las funciones, facultades o competencias del sujeto obligado o que en caso de que sea fehacientemente imposible generarla, exponga de forma fundada y motivada, las razones por las cuales no ejerció dichas faculta</w:t>
      </w:r>
      <w:r w:rsidRPr="0082395A">
        <w:rPr>
          <w:rFonts w:cs="Arial"/>
          <w:color w:val="2F5496" w:themeColor="accent1" w:themeShade="BF"/>
          <w:sz w:val="18"/>
          <w:szCs w:val="23"/>
        </w:rPr>
        <w:softHyphen/>
        <w:t>des, competencias o funciones.</w:t>
      </w:r>
    </w:p>
    <w:p w14:paraId="628709E5" w14:textId="77777777" w:rsidR="0082395A" w:rsidRPr="0082395A" w:rsidRDefault="0082395A" w:rsidP="0082395A">
      <w:pPr>
        <w:pStyle w:val="corte4fondo"/>
        <w:spacing w:line="240" w:lineRule="auto"/>
        <w:ind w:left="680" w:firstLine="0"/>
        <w:rPr>
          <w:rFonts w:cs="Arial"/>
          <w:color w:val="2F5496" w:themeColor="accent1" w:themeShade="BF"/>
          <w:sz w:val="18"/>
          <w:szCs w:val="23"/>
        </w:rPr>
      </w:pPr>
      <w:r w:rsidRPr="0082395A">
        <w:rPr>
          <w:rFonts w:cs="Arial"/>
          <w:color w:val="2F5496" w:themeColor="accent1" w:themeShade="BF"/>
          <w:sz w:val="18"/>
          <w:szCs w:val="23"/>
        </w:rPr>
        <w:t>d) Notificará al órgano interno de control, para que, en caso de ser necesario, inicie el procedimiento de responsabilidad administrativa que corresponda.</w:t>
      </w:r>
      <w:r w:rsidRPr="0082395A">
        <w:rPr>
          <w:rStyle w:val="Refdenotaalpie"/>
          <w:rFonts w:cs="Arial"/>
          <w:color w:val="2F5496" w:themeColor="accent1" w:themeShade="BF"/>
          <w:sz w:val="18"/>
          <w:szCs w:val="23"/>
        </w:rPr>
        <w:footnoteReference w:id="2"/>
      </w:r>
    </w:p>
    <w:p w14:paraId="7193775F"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Asimismo, la Ley de Transparencia Local prescribe que la resolución expedida por Comité de Transparencia que confirme la inexistencia de la información deberá de contar con los elementos mínimos que permitan a la persona solicitante tener la certeza de que se utilizó un criterio de búsqueda exhaustivo y señalar las circunstancias de tiempo, modo y lugar que generaron la inexistencia, además de señalará al servidor público responsable.</w:t>
      </w:r>
      <w:r w:rsidRPr="0082395A">
        <w:rPr>
          <w:rStyle w:val="Refdenotaalpie"/>
          <w:rFonts w:cs="Arial"/>
          <w:color w:val="2F5496" w:themeColor="accent1" w:themeShade="BF"/>
          <w:sz w:val="18"/>
          <w:szCs w:val="23"/>
        </w:rPr>
        <w:footnoteReference w:id="3"/>
      </w:r>
    </w:p>
    <w:p w14:paraId="415767E8"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De acuerdo con la normativa que antecede, resulta evidente que la respuesta emitida por el sujeto obligado no puede tenerse como válida para efecto de dar cumplimiento a la resolución dictada dentro del recurso de revisión en que se actúa, pues no obstante que la autoridad responsable de la respuesta manifestó que realizó la búsqueda exhaustiva del nombramiento de la Titular de la Unidad de Transparencia, no se apegó al procedimiento previsto en la Ley de la materia para efecto de declarar formalmente la inexistencia de la información.</w:t>
      </w:r>
    </w:p>
    <w:p w14:paraId="5139F470"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Sobre esta directriz, es dable precisar que el Comité de Transparencia del sujeto obligado cuenta con competencia exclusiva para poder declarar formalmente la inexistencia de la información, esto en términos del artículo 52 fracción II de la Ley de Transparencia y Acceso a la Información Pública del Estado.</w:t>
      </w:r>
      <w:r w:rsidRPr="0082395A">
        <w:rPr>
          <w:rStyle w:val="Refdenotaalpie"/>
          <w:rFonts w:cs="Arial"/>
          <w:color w:val="2F5496" w:themeColor="accent1" w:themeShade="BF"/>
          <w:sz w:val="18"/>
          <w:szCs w:val="23"/>
        </w:rPr>
        <w:footnoteReference w:id="4"/>
      </w:r>
    </w:p>
    <w:p w14:paraId="37635FA1"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lastRenderedPageBreak/>
        <w:t>De este modo, lo correcto debió ser que una vez agotado el procedimiento ordinario de búsqueda de la información, sin que se localizara el documento requerido, el Titular de la Unidad de Transparencia hiciera de conocimiento del Comité de Transparencia dicha circunstancia, esto para efecto de que el aludido órgano colegiado procediera en términos del artículo 160 de la Ley de Transparencia local.</w:t>
      </w:r>
    </w:p>
    <w:p w14:paraId="7A586F63"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Sobre la base de las consideraciones previamente anotadas</w:t>
      </w:r>
      <w:r w:rsidRPr="0082395A">
        <w:rPr>
          <w:rFonts w:cs="Arial"/>
          <w:b/>
          <w:color w:val="2F5496" w:themeColor="accent1" w:themeShade="BF"/>
          <w:sz w:val="18"/>
          <w:szCs w:val="23"/>
        </w:rPr>
        <w:t>, se puede colegir válidamente que</w:t>
      </w:r>
      <w:r w:rsidRPr="0082395A">
        <w:rPr>
          <w:rFonts w:cs="Arial"/>
          <w:color w:val="2F5496" w:themeColor="accent1" w:themeShade="BF"/>
          <w:sz w:val="18"/>
          <w:szCs w:val="23"/>
        </w:rPr>
        <w:t xml:space="preserve"> </w:t>
      </w:r>
      <w:r w:rsidRPr="0082395A">
        <w:rPr>
          <w:rFonts w:cs="Arial"/>
          <w:b/>
          <w:color w:val="2F5496" w:themeColor="accent1" w:themeShade="BF"/>
          <w:sz w:val="18"/>
          <w:szCs w:val="23"/>
        </w:rPr>
        <w:t>nueva respuesta emitida por el sujeto obligado no es apta para cumplir con los extremos de la resolución</w:t>
      </w:r>
      <w:r w:rsidRPr="0082395A">
        <w:rPr>
          <w:rFonts w:cs="Arial"/>
          <w:color w:val="2F5496" w:themeColor="accent1" w:themeShade="BF"/>
          <w:sz w:val="18"/>
          <w:szCs w:val="23"/>
        </w:rPr>
        <w:t xml:space="preserve"> dictada dentro del recurso de revisión en que se actúa.</w:t>
      </w:r>
    </w:p>
    <w:p w14:paraId="2DB6293E"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 xml:space="preserve">En este orden ideas y por los razonamientos antes expuestos, </w:t>
      </w:r>
      <w:r w:rsidRPr="0082395A">
        <w:rPr>
          <w:rFonts w:cs="Arial"/>
          <w:b/>
          <w:color w:val="2F5496" w:themeColor="accent1" w:themeShade="BF"/>
          <w:sz w:val="18"/>
          <w:szCs w:val="23"/>
          <w:u w:val="single"/>
        </w:rPr>
        <w:t>se tiene por incumplida la resolución del Recurso de Revisión RR-910/2025-1</w:t>
      </w:r>
      <w:r w:rsidRPr="0082395A">
        <w:rPr>
          <w:rFonts w:cs="Arial"/>
          <w:color w:val="2F5496" w:themeColor="accent1" w:themeShade="BF"/>
          <w:sz w:val="18"/>
          <w:szCs w:val="23"/>
        </w:rPr>
        <w:t>.</w:t>
      </w:r>
    </w:p>
    <w:p w14:paraId="4059082A"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color w:val="2F5496" w:themeColor="accent1" w:themeShade="BF"/>
          <w:sz w:val="18"/>
          <w:szCs w:val="23"/>
        </w:rPr>
        <w:t xml:space="preserve">Consecuentemente, </w:t>
      </w:r>
      <w:r w:rsidRPr="0082395A">
        <w:rPr>
          <w:rFonts w:cs="Arial"/>
          <w:b/>
          <w:color w:val="2F5496" w:themeColor="accent1" w:themeShade="BF"/>
          <w:sz w:val="18"/>
          <w:szCs w:val="23"/>
        </w:rPr>
        <w:t>se instruye</w:t>
      </w:r>
      <w:r w:rsidRPr="0082395A">
        <w:rPr>
          <w:rFonts w:cs="Arial"/>
          <w:color w:val="2F5496" w:themeColor="accent1" w:themeShade="BF"/>
          <w:sz w:val="18"/>
          <w:szCs w:val="23"/>
        </w:rPr>
        <w:t xml:space="preserve"> al sujeto obligado para que:</w:t>
      </w:r>
    </w:p>
    <w:p w14:paraId="329B0887" w14:textId="77777777" w:rsidR="0082395A" w:rsidRPr="0082395A" w:rsidRDefault="0082395A" w:rsidP="0082395A">
      <w:pPr>
        <w:pStyle w:val="Prrafodelista"/>
        <w:numPr>
          <w:ilvl w:val="0"/>
          <w:numId w:val="42"/>
        </w:numPr>
        <w:spacing w:after="0" w:line="240" w:lineRule="auto"/>
        <w:rPr>
          <w:rFonts w:ascii="Arial" w:eastAsia="Times New Roman" w:hAnsi="Arial" w:cs="Arial"/>
          <w:color w:val="2F5496" w:themeColor="accent1" w:themeShade="BF"/>
          <w:sz w:val="18"/>
          <w:szCs w:val="23"/>
        </w:rPr>
      </w:pPr>
      <w:r w:rsidRPr="0082395A">
        <w:rPr>
          <w:rFonts w:ascii="Arial" w:eastAsia="Times New Roman" w:hAnsi="Arial" w:cs="Arial"/>
          <w:color w:val="2F5496" w:themeColor="accent1" w:themeShade="BF"/>
          <w:sz w:val="18"/>
          <w:szCs w:val="23"/>
        </w:rPr>
        <w:t>Entregue el nombramiento de la Encargada de Despacho del Instituto Estatal de Ciegos.</w:t>
      </w:r>
    </w:p>
    <w:p w14:paraId="00A2F1A6" w14:textId="77777777" w:rsidR="0082395A" w:rsidRPr="0082395A" w:rsidRDefault="0082395A" w:rsidP="0082395A">
      <w:pPr>
        <w:pStyle w:val="corte4fondo"/>
        <w:tabs>
          <w:tab w:val="left" w:pos="567"/>
        </w:tabs>
        <w:spacing w:line="240" w:lineRule="auto"/>
        <w:ind w:left="1040" w:firstLine="0"/>
        <w:rPr>
          <w:rFonts w:cs="Arial"/>
          <w:color w:val="2F5496" w:themeColor="accent1" w:themeShade="BF"/>
          <w:sz w:val="18"/>
          <w:szCs w:val="23"/>
        </w:rPr>
      </w:pPr>
      <w:r w:rsidRPr="0082395A">
        <w:rPr>
          <w:rFonts w:cs="Arial"/>
          <w:color w:val="2F5496" w:themeColor="accent1" w:themeShade="BF"/>
          <w:sz w:val="18"/>
          <w:szCs w:val="23"/>
        </w:rPr>
        <w:t xml:space="preserve">En caso de que aún no se encuentre generado, emita una nueva respuesta en la cual, se apegue al procedimiento previsto en el artículo 160 de la Ley de Transparencia y Acceso a la Información Pública del Estado y declare formalmente la inexistencia de la información por conducto del Comité de Transparencia.  </w:t>
      </w:r>
    </w:p>
    <w:p w14:paraId="061D0F2D"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b/>
          <w:color w:val="2F5496" w:themeColor="accent1" w:themeShade="BF"/>
          <w:sz w:val="18"/>
          <w:szCs w:val="23"/>
        </w:rPr>
        <w:t xml:space="preserve">SEGUNDO. </w:t>
      </w:r>
      <w:r w:rsidRPr="0082395A">
        <w:rPr>
          <w:rFonts w:cs="Arial"/>
          <w:color w:val="2F5496" w:themeColor="accent1" w:themeShade="BF"/>
          <w:sz w:val="18"/>
          <w:szCs w:val="23"/>
        </w:rPr>
        <w:t xml:space="preserve">Igualmente,  con fundamento en lo dispuesto por el artículo 185 fracción II de la Ley de Transparencia, así como en el lineamiento Trigésimo de los Lineamientos para la Recepción, Substanciación, Resolución y Cumplimiento de los Recursos de Revisión que rigen a las Unidades de Ponencia, </w:t>
      </w:r>
      <w:r w:rsidRPr="0082395A">
        <w:rPr>
          <w:rFonts w:cs="Arial"/>
          <w:b/>
          <w:color w:val="2F5496" w:themeColor="accent1" w:themeShade="BF"/>
          <w:sz w:val="18"/>
          <w:szCs w:val="23"/>
          <w:u w:val="single"/>
        </w:rPr>
        <w:t>se requiere al Titular del Instituto Estatal de Ciegos, en su carácter de superior jerárquico del Titular de la Unidad de Transparencia, para que dentro del término de 10 diez días hábiles contados a partir del día siguiente en que se practique la respectiva notificación, acompañe las constancias necesarias que acrediten el cumplimiento dado a la resolución dictada dentro del recurso de revisión en que se actúa</w:t>
      </w:r>
      <w:r w:rsidRPr="0082395A">
        <w:rPr>
          <w:rFonts w:cs="Arial"/>
          <w:color w:val="2F5496" w:themeColor="accent1" w:themeShade="BF"/>
          <w:sz w:val="18"/>
          <w:szCs w:val="23"/>
        </w:rPr>
        <w:t xml:space="preserve">, tomando en cuenta las consideraciones contenidas en el presente proveído, </w:t>
      </w:r>
      <w:r w:rsidRPr="0082395A">
        <w:rPr>
          <w:rFonts w:cs="Arial"/>
          <w:b/>
          <w:color w:val="2F5496" w:themeColor="accent1" w:themeShade="BF"/>
          <w:sz w:val="18"/>
          <w:szCs w:val="23"/>
          <w:u w:val="single"/>
        </w:rPr>
        <w:t>apercibido</w:t>
      </w:r>
      <w:r w:rsidRPr="0082395A">
        <w:rPr>
          <w:rFonts w:cs="Arial"/>
          <w:color w:val="2F5496" w:themeColor="accent1" w:themeShade="BF"/>
          <w:sz w:val="18"/>
          <w:szCs w:val="23"/>
        </w:rPr>
        <w:t xml:space="preserve"> de que de no hacerlo, se impondrá en su contra la medida de apremio consistente en una </w:t>
      </w:r>
      <w:r w:rsidRPr="0082395A">
        <w:rPr>
          <w:rFonts w:cs="Arial"/>
          <w:b/>
          <w:color w:val="2F5496" w:themeColor="accent1" w:themeShade="BF"/>
          <w:sz w:val="18"/>
          <w:szCs w:val="23"/>
          <w:u w:val="single"/>
        </w:rPr>
        <w:t>MULTA</w:t>
      </w:r>
      <w:r w:rsidRPr="0082395A">
        <w:rPr>
          <w:rFonts w:cs="Arial"/>
          <w:color w:val="2F5496" w:themeColor="accent1" w:themeShade="BF"/>
          <w:sz w:val="18"/>
          <w:szCs w:val="23"/>
        </w:rPr>
        <w:t xml:space="preserve">, de conformidad con el artículo 190 fracción II y 197 fracción XV de la Ley de Transparencia y Acceso a la Información Pública del Estado. </w:t>
      </w:r>
    </w:p>
    <w:p w14:paraId="23DBE8B9" w14:textId="77777777" w:rsidR="0082395A" w:rsidRPr="0082395A" w:rsidRDefault="0082395A" w:rsidP="0082395A">
      <w:pPr>
        <w:pStyle w:val="corte4fondo"/>
        <w:tabs>
          <w:tab w:val="left" w:pos="567"/>
        </w:tabs>
        <w:spacing w:line="240" w:lineRule="auto"/>
        <w:ind w:firstLine="680"/>
        <w:rPr>
          <w:rFonts w:cs="Arial"/>
          <w:color w:val="2F5496" w:themeColor="accent1" w:themeShade="BF"/>
          <w:sz w:val="18"/>
          <w:szCs w:val="23"/>
        </w:rPr>
      </w:pPr>
      <w:r w:rsidRPr="0082395A">
        <w:rPr>
          <w:rFonts w:cs="Arial"/>
          <w:b/>
          <w:color w:val="2F5496" w:themeColor="accent1" w:themeShade="BF"/>
          <w:sz w:val="18"/>
          <w:szCs w:val="23"/>
        </w:rPr>
        <w:t>TERCERO. Notifíquese por lista y personalmente a las partes</w:t>
      </w:r>
      <w:r w:rsidRPr="0082395A">
        <w:rPr>
          <w:rFonts w:cs="Arial"/>
          <w:color w:val="2F5496" w:themeColor="accent1" w:themeShade="BF"/>
          <w:sz w:val="18"/>
          <w:szCs w:val="23"/>
        </w:rPr>
        <w:t>.</w:t>
      </w:r>
    </w:p>
    <w:p w14:paraId="39360514" w14:textId="77398FA8" w:rsidR="00BE2F75" w:rsidRPr="00F90278" w:rsidRDefault="0082395A" w:rsidP="0082395A">
      <w:pPr>
        <w:tabs>
          <w:tab w:val="left" w:pos="6840"/>
        </w:tabs>
        <w:spacing w:after="0" w:line="240" w:lineRule="auto"/>
        <w:ind w:firstLine="680"/>
        <w:jc w:val="both"/>
        <w:outlineLvl w:val="5"/>
        <w:rPr>
          <w:rFonts w:ascii="Arial" w:eastAsia="Times New Roman" w:hAnsi="Arial" w:cs="Arial"/>
          <w:color w:val="2F5496" w:themeColor="accent1" w:themeShade="BF"/>
          <w:sz w:val="23"/>
          <w:szCs w:val="23"/>
          <w:lang w:val="es-MX" w:eastAsia="es-MX"/>
        </w:rPr>
      </w:pPr>
      <w:bookmarkStart w:id="1" w:name="_GoBack"/>
      <w:bookmarkEnd w:id="1"/>
      <w:r w:rsidRPr="0082395A">
        <w:rPr>
          <w:rFonts w:cs="Arial"/>
          <w:color w:val="2F5496" w:themeColor="accent1" w:themeShade="BF"/>
          <w:sz w:val="18"/>
          <w:szCs w:val="23"/>
        </w:rPr>
        <w:t>Así lo proveyó y firma la Licenciada Marcela Acosta Ibáñez, Proyectista adscrita a la Ponencia 1 de esta Comisión Estatal de Garantía de Ac</w:t>
      </w:r>
      <w:r w:rsidRPr="0082395A">
        <w:rPr>
          <w:rFonts w:cs="Arial"/>
          <w:color w:val="2F5496" w:themeColor="accent1" w:themeShade="BF"/>
          <w:sz w:val="18"/>
          <w:szCs w:val="23"/>
        </w:rPr>
        <w:t>ceso a la Información Pública</w:t>
      </w:r>
      <w:r w:rsidR="00D60BC4" w:rsidRPr="00D60BC4">
        <w:rPr>
          <w:rFonts w:cs="Arial"/>
          <w:color w:val="2F5496" w:themeColor="accent1" w:themeShade="BF"/>
          <w:sz w:val="18"/>
          <w:szCs w:val="23"/>
        </w:rPr>
        <w:t>.</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4D856C46"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18C2F1" w14:textId="77777777" w:rsidR="008471D1" w:rsidRDefault="008471D1" w:rsidP="00BB58C4">
      <w:pPr>
        <w:spacing w:after="0" w:line="240" w:lineRule="auto"/>
      </w:pPr>
      <w:r>
        <w:separator/>
      </w:r>
    </w:p>
  </w:endnote>
  <w:endnote w:type="continuationSeparator" w:id="0">
    <w:p w14:paraId="4DCC48E5" w14:textId="77777777" w:rsidR="008471D1" w:rsidRDefault="008471D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4078E7" w14:textId="77777777" w:rsidR="008471D1" w:rsidRDefault="008471D1" w:rsidP="00BB58C4">
      <w:pPr>
        <w:spacing w:after="0" w:line="240" w:lineRule="auto"/>
      </w:pPr>
      <w:r>
        <w:separator/>
      </w:r>
    </w:p>
  </w:footnote>
  <w:footnote w:type="continuationSeparator" w:id="0">
    <w:p w14:paraId="2E873D49" w14:textId="77777777" w:rsidR="008471D1" w:rsidRDefault="008471D1" w:rsidP="00BB58C4">
      <w:pPr>
        <w:spacing w:after="0" w:line="240" w:lineRule="auto"/>
      </w:pPr>
      <w:r>
        <w:continuationSeparator/>
      </w:r>
    </w:p>
  </w:footnote>
  <w:footnote w:id="1">
    <w:p w14:paraId="15DE8E00" w14:textId="77777777" w:rsidR="0082395A" w:rsidRPr="00F83FE1" w:rsidRDefault="0082395A" w:rsidP="0082395A">
      <w:pPr>
        <w:pStyle w:val="Textonotapie"/>
        <w:jc w:val="both"/>
        <w:rPr>
          <w:sz w:val="16"/>
          <w:szCs w:val="16"/>
        </w:rPr>
      </w:pPr>
      <w:r w:rsidRPr="00F83FE1">
        <w:rPr>
          <w:rStyle w:val="Refdenotaalpie"/>
          <w:sz w:val="16"/>
          <w:szCs w:val="16"/>
        </w:rPr>
        <w:footnoteRef/>
      </w:r>
      <w:r w:rsidRPr="00F83FE1">
        <w:rPr>
          <w:sz w:val="16"/>
          <w:szCs w:val="16"/>
        </w:rPr>
        <w:t xml:space="preserve"> </w:t>
      </w:r>
      <w:r w:rsidRPr="00F83FE1">
        <w:rPr>
          <w:b/>
          <w:sz w:val="16"/>
          <w:szCs w:val="16"/>
        </w:rPr>
        <w:t>ARTÍCULO 3°.</w:t>
      </w:r>
      <w:r w:rsidRPr="00F83FE1">
        <w:rPr>
          <w:sz w:val="16"/>
          <w:szCs w:val="16"/>
        </w:rPr>
        <w:t xml:space="preserve"> Para los efectos de la presente Ley se entenderá por:</w:t>
      </w:r>
    </w:p>
    <w:p w14:paraId="15FA63EE" w14:textId="77777777" w:rsidR="0082395A" w:rsidRPr="00F83FE1" w:rsidRDefault="0082395A" w:rsidP="0082395A">
      <w:pPr>
        <w:pStyle w:val="Textonotapie"/>
        <w:jc w:val="both"/>
        <w:rPr>
          <w:sz w:val="16"/>
          <w:szCs w:val="16"/>
        </w:rPr>
      </w:pPr>
      <w:r w:rsidRPr="00F83FE1">
        <w:rPr>
          <w:sz w:val="16"/>
          <w:szCs w:val="16"/>
        </w:rPr>
        <w:t>[…]</w:t>
      </w:r>
    </w:p>
    <w:p w14:paraId="41D85157" w14:textId="77777777" w:rsidR="0082395A" w:rsidRPr="00F83FE1" w:rsidRDefault="0082395A" w:rsidP="0082395A">
      <w:pPr>
        <w:pStyle w:val="Textonotapie"/>
        <w:jc w:val="both"/>
        <w:rPr>
          <w:sz w:val="16"/>
          <w:szCs w:val="16"/>
        </w:rPr>
      </w:pPr>
      <w:r w:rsidRPr="00F83FE1">
        <w:rPr>
          <w:sz w:val="16"/>
          <w:szCs w:val="16"/>
        </w:rPr>
        <w:t>XII. Derecho de Acceso a la información pública: derecho humano de las personas para acceder a la información pública en posesión de los sujetos obligados, en los términos de esta Ley;</w:t>
      </w:r>
    </w:p>
    <w:p w14:paraId="22B55312" w14:textId="77777777" w:rsidR="0082395A" w:rsidRPr="00F83FE1" w:rsidRDefault="0082395A" w:rsidP="0082395A">
      <w:pPr>
        <w:pStyle w:val="Textonotapie"/>
        <w:jc w:val="both"/>
        <w:rPr>
          <w:sz w:val="16"/>
          <w:szCs w:val="16"/>
        </w:rPr>
      </w:pPr>
      <w:r w:rsidRPr="00F83FE1">
        <w:rPr>
          <w:sz w:val="16"/>
          <w:szCs w:val="16"/>
        </w:rPr>
        <w:t>[…].</w:t>
      </w:r>
    </w:p>
    <w:p w14:paraId="21409290" w14:textId="77777777" w:rsidR="0082395A" w:rsidRPr="00F83FE1" w:rsidRDefault="0082395A" w:rsidP="0082395A">
      <w:pPr>
        <w:pStyle w:val="Textonotapie"/>
        <w:jc w:val="both"/>
        <w:rPr>
          <w:sz w:val="16"/>
          <w:szCs w:val="16"/>
        </w:rPr>
      </w:pPr>
      <w:r w:rsidRPr="00F83FE1">
        <w:rPr>
          <w:b/>
          <w:sz w:val="16"/>
          <w:szCs w:val="16"/>
        </w:rPr>
        <w:t>ARTÍCULO 4°.</w:t>
      </w:r>
      <w:r w:rsidRPr="00F83FE1">
        <w:rPr>
          <w:sz w:val="16"/>
          <w:szCs w:val="16"/>
        </w:rPr>
        <w:t xml:space="preserve"> El derecho humano de acceso a la información comprende solicitar, investigar, difundir, buscar y recibir información. </w:t>
      </w:r>
    </w:p>
    <w:p w14:paraId="45435A8E" w14:textId="77777777" w:rsidR="0082395A" w:rsidRPr="00F83FE1" w:rsidRDefault="0082395A" w:rsidP="0082395A">
      <w:pPr>
        <w:pStyle w:val="Textonotapie"/>
        <w:jc w:val="both"/>
        <w:rPr>
          <w:sz w:val="16"/>
          <w:szCs w:val="16"/>
        </w:rPr>
      </w:pPr>
      <w:r w:rsidRPr="00F83FE1">
        <w:rPr>
          <w:sz w:val="16"/>
          <w:szCs w:val="16"/>
        </w:rPr>
        <w:t>Toda la información generada, obtenida, adquirida, transformada o en posesión de los sujetos obligados es pública y accesible a cualquier persona en los términos y condiciones que se establezcan en la Ley General; en los tratados internacionales de los que el Estado mexicano sea parte; la esta Ley; y la normatividad aplicable en sus respectivas competencias, sólo podrá ser clasificada excepcionalmente en los términos que fija la ley.</w:t>
      </w:r>
    </w:p>
    <w:p w14:paraId="43F5D4EC" w14:textId="77777777" w:rsidR="0082395A" w:rsidRPr="00F83FE1" w:rsidRDefault="0082395A" w:rsidP="0082395A">
      <w:pPr>
        <w:pStyle w:val="Textonotapie"/>
        <w:jc w:val="both"/>
        <w:rPr>
          <w:sz w:val="16"/>
          <w:szCs w:val="16"/>
        </w:rPr>
      </w:pPr>
      <w:r w:rsidRPr="00F83FE1">
        <w:rPr>
          <w:b/>
          <w:sz w:val="16"/>
          <w:szCs w:val="16"/>
        </w:rPr>
        <w:t>ARTÍCULO 151.</w:t>
      </w:r>
      <w:r w:rsidRPr="00F83FE1">
        <w:rPr>
          <w:sz w:val="16"/>
          <w:szCs w:val="16"/>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14:paraId="48F64BAF" w14:textId="77777777" w:rsidR="0082395A" w:rsidRPr="00F83FE1" w:rsidRDefault="0082395A" w:rsidP="0082395A">
      <w:pPr>
        <w:pStyle w:val="Textonotapie"/>
        <w:jc w:val="both"/>
        <w:rPr>
          <w:sz w:val="16"/>
          <w:szCs w:val="16"/>
        </w:rPr>
      </w:pPr>
      <w:r w:rsidRPr="00F83FE1">
        <w:rPr>
          <w:sz w:val="16"/>
          <w:szCs w:val="16"/>
        </w:rPr>
        <w:t>[…].</w:t>
      </w:r>
    </w:p>
  </w:footnote>
  <w:footnote w:id="2">
    <w:p w14:paraId="2BC24C45" w14:textId="77777777" w:rsidR="0082395A" w:rsidRPr="00F83FE1" w:rsidRDefault="0082395A" w:rsidP="0082395A">
      <w:pPr>
        <w:pStyle w:val="Textonotapie"/>
        <w:jc w:val="both"/>
        <w:rPr>
          <w:sz w:val="16"/>
          <w:szCs w:val="16"/>
        </w:rPr>
      </w:pPr>
      <w:r w:rsidRPr="00F83FE1">
        <w:rPr>
          <w:rStyle w:val="Refdenotaalpie"/>
          <w:sz w:val="16"/>
          <w:szCs w:val="16"/>
        </w:rPr>
        <w:footnoteRef/>
      </w:r>
      <w:r w:rsidRPr="00F83FE1">
        <w:rPr>
          <w:sz w:val="16"/>
          <w:szCs w:val="16"/>
        </w:rPr>
        <w:t xml:space="preserve"> ARTÍCULO 160. Cuando la información no se encuentre en los archivos del sujeto obligado, el Comité de Transparencia: I. Analizará el caso y tomará las medidas necesarias para localizar la información; II. Expedirá una resolución que confirme la inexistencia del Documento; III. Ordenará, siempre que sea materialmente posible, que se genere o se reponga la información en caso de que ésta tuviera que existir en la medida que deriva del ejercicio de sus facultades, competencias o funciones, o que previa acreditación de la imposibilidad de su generación, exponga de forma fundada y motivada, las razones por las cuales en el caso particular no ejerció dichas facultades, competencias o funciones, lo cual notificará al solicitante a través de la Unidad de Transparencia, y IV. Notificará al órgano interno de control o equivalente del sujeto obligado quien, en su caso, deberá iniciar el procedimiento de responsabilidad administrativa que corresponda.</w:t>
      </w:r>
    </w:p>
  </w:footnote>
  <w:footnote w:id="3">
    <w:p w14:paraId="57F4C8C9" w14:textId="77777777" w:rsidR="0082395A" w:rsidRPr="00F83FE1" w:rsidRDefault="0082395A" w:rsidP="0082395A">
      <w:pPr>
        <w:pStyle w:val="Textonotapie"/>
        <w:jc w:val="both"/>
        <w:rPr>
          <w:sz w:val="16"/>
          <w:szCs w:val="16"/>
        </w:rPr>
      </w:pPr>
      <w:r w:rsidRPr="00F83FE1">
        <w:rPr>
          <w:rStyle w:val="Refdenotaalpie"/>
          <w:sz w:val="16"/>
          <w:szCs w:val="16"/>
        </w:rPr>
        <w:footnoteRef/>
      </w:r>
      <w:r w:rsidRPr="00F83FE1">
        <w:rPr>
          <w:sz w:val="16"/>
          <w:szCs w:val="16"/>
        </w:rPr>
        <w:t xml:space="preserve"> ARTÍCULO 161. La resolución del Comité de Transparencia que confirme la inexistencia de la información solicitada contendrá los elementos mínimos que permitan al solicitante tener la certeza de que se utilizó un criterio de búsqueda exhaustivo, además de señalar las circunstancias de tiempo, modo y lugar que generaron la inexistencia en cuestión y señalará al servidor público responsable de contar con la misma.</w:t>
      </w:r>
    </w:p>
  </w:footnote>
  <w:footnote w:id="4">
    <w:p w14:paraId="64C79910" w14:textId="77777777" w:rsidR="0082395A" w:rsidRPr="00F83FE1" w:rsidRDefault="0082395A" w:rsidP="0082395A">
      <w:pPr>
        <w:pStyle w:val="Textonotapie"/>
        <w:rPr>
          <w:sz w:val="16"/>
          <w:szCs w:val="16"/>
        </w:rPr>
      </w:pPr>
      <w:r w:rsidRPr="00F83FE1">
        <w:rPr>
          <w:rStyle w:val="Refdenotaalpie"/>
          <w:sz w:val="16"/>
          <w:szCs w:val="16"/>
        </w:rPr>
        <w:footnoteRef/>
      </w:r>
      <w:r w:rsidRPr="00F83FE1">
        <w:rPr>
          <w:sz w:val="16"/>
          <w:szCs w:val="16"/>
        </w:rPr>
        <w:t xml:space="preserve"> ARTÍCULO 52. Cada Comité de Transparencia tendrá las siguientes funciones:</w:t>
      </w:r>
    </w:p>
    <w:p w14:paraId="5847F70B" w14:textId="77777777" w:rsidR="0082395A" w:rsidRPr="00F83FE1" w:rsidRDefault="0082395A" w:rsidP="0082395A">
      <w:pPr>
        <w:pStyle w:val="Textonotapie"/>
        <w:rPr>
          <w:sz w:val="16"/>
          <w:szCs w:val="16"/>
        </w:rPr>
      </w:pPr>
      <w:r w:rsidRPr="00F83FE1">
        <w:rPr>
          <w:sz w:val="16"/>
          <w:szCs w:val="16"/>
        </w:rPr>
        <w:t>[…]</w:t>
      </w:r>
    </w:p>
    <w:p w14:paraId="5BDD40FA" w14:textId="77777777" w:rsidR="0082395A" w:rsidRPr="00F83FE1" w:rsidRDefault="0082395A" w:rsidP="0082395A">
      <w:pPr>
        <w:pStyle w:val="Textonotapie"/>
        <w:rPr>
          <w:sz w:val="16"/>
          <w:szCs w:val="16"/>
        </w:rPr>
      </w:pPr>
      <w:r w:rsidRPr="00F83FE1">
        <w:rPr>
          <w:sz w:val="16"/>
          <w:szCs w:val="16"/>
        </w:rPr>
        <w:t xml:space="preserve">II. Confirmar, modificar o revocar las determinaciones </w:t>
      </w:r>
      <w:proofErr w:type="gramStart"/>
      <w:r w:rsidRPr="00F83FE1">
        <w:rPr>
          <w:sz w:val="16"/>
          <w:szCs w:val="16"/>
        </w:rPr>
        <w:t>que</w:t>
      </w:r>
      <w:proofErr w:type="gramEnd"/>
      <w:r w:rsidRPr="00F83FE1">
        <w:rPr>
          <w:sz w:val="16"/>
          <w:szCs w:val="16"/>
        </w:rPr>
        <w:t xml:space="preserve"> en materia de ampliación del plazo de respuesta, clasificación de la información y </w:t>
      </w:r>
      <w:r w:rsidRPr="00F83FE1">
        <w:rPr>
          <w:b/>
          <w:sz w:val="16"/>
          <w:szCs w:val="16"/>
          <w:u w:val="single"/>
        </w:rPr>
        <w:t>declaración de inexistencia</w:t>
      </w:r>
      <w:r w:rsidRPr="00F83FE1">
        <w:rPr>
          <w:sz w:val="16"/>
          <w:szCs w:val="16"/>
        </w:rPr>
        <w:t xml:space="preserve"> o de incompetencia realicen los titulares de las áreas de los sujetos obligados;</w:t>
      </w:r>
    </w:p>
    <w:p w14:paraId="5212AACF" w14:textId="77777777" w:rsidR="0082395A" w:rsidRPr="00F83FE1" w:rsidRDefault="0082395A" w:rsidP="0082395A">
      <w:pPr>
        <w:pStyle w:val="Textonotapie"/>
        <w:rPr>
          <w:sz w:val="16"/>
          <w:szCs w:val="16"/>
        </w:rPr>
      </w:pPr>
      <w:r w:rsidRPr="00F83FE1">
        <w:rPr>
          <w:sz w:val="16"/>
          <w:szCs w:val="16"/>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2D19000B" w:rsidR="00600D37" w:rsidRDefault="00600D37">
        <w:pPr>
          <w:pStyle w:val="Encabezado"/>
          <w:jc w:val="center"/>
        </w:pPr>
        <w:r>
          <w:fldChar w:fldCharType="begin"/>
        </w:r>
        <w:r>
          <w:instrText>PAGE   \* MERGEFORMAT</w:instrText>
        </w:r>
        <w:r>
          <w:fldChar w:fldCharType="separate"/>
        </w:r>
        <w:r w:rsidR="0082395A">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221E83BA"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2395A">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3"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0F1848"/>
    <w:multiLevelType w:val="hybridMultilevel"/>
    <w:tmpl w:val="5650C92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9"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40"/>
  </w:num>
  <w:num w:numId="5">
    <w:abstractNumId w:val="15"/>
  </w:num>
  <w:num w:numId="6">
    <w:abstractNumId w:val="11"/>
  </w:num>
  <w:num w:numId="7">
    <w:abstractNumId w:val="32"/>
  </w:num>
  <w:num w:numId="8">
    <w:abstractNumId w:val="5"/>
  </w:num>
  <w:num w:numId="9">
    <w:abstractNumId w:val="34"/>
  </w:num>
  <w:num w:numId="10">
    <w:abstractNumId w:val="36"/>
  </w:num>
  <w:num w:numId="11">
    <w:abstractNumId w:val="0"/>
  </w:num>
  <w:num w:numId="12">
    <w:abstractNumId w:val="45"/>
  </w:num>
  <w:num w:numId="13">
    <w:abstractNumId w:val="37"/>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46"/>
  </w:num>
  <w:num w:numId="17">
    <w:abstractNumId w:val="7"/>
  </w:num>
  <w:num w:numId="18">
    <w:abstractNumId w:val="44"/>
  </w:num>
  <w:num w:numId="19">
    <w:abstractNumId w:val="18"/>
  </w:num>
  <w:num w:numId="20">
    <w:abstractNumId w:val="26"/>
  </w:num>
  <w:num w:numId="21">
    <w:abstractNumId w:val="31"/>
  </w:num>
  <w:num w:numId="22">
    <w:abstractNumId w:val="21"/>
  </w:num>
  <w:num w:numId="23">
    <w:abstractNumId w:val="4"/>
  </w:num>
  <w:num w:numId="24">
    <w:abstractNumId w:val="29"/>
  </w:num>
  <w:num w:numId="25">
    <w:abstractNumId w:val="19"/>
  </w:num>
  <w:num w:numId="26">
    <w:abstractNumId w:val="38"/>
  </w:num>
  <w:num w:numId="27">
    <w:abstractNumId w:val="23"/>
  </w:num>
  <w:num w:numId="28">
    <w:abstractNumId w:val="39"/>
  </w:num>
  <w:num w:numId="29">
    <w:abstractNumId w:val="41"/>
  </w:num>
  <w:num w:numId="30">
    <w:abstractNumId w:val="30"/>
  </w:num>
  <w:num w:numId="31">
    <w:abstractNumId w:val="33"/>
  </w:num>
  <w:num w:numId="32">
    <w:abstractNumId w:val="22"/>
  </w:num>
  <w:num w:numId="33">
    <w:abstractNumId w:val="8"/>
  </w:num>
  <w:num w:numId="34">
    <w:abstractNumId w:val="28"/>
  </w:num>
  <w:num w:numId="35">
    <w:abstractNumId w:val="43"/>
  </w:num>
  <w:num w:numId="36">
    <w:abstractNumId w:val="35"/>
  </w:num>
  <w:num w:numId="37">
    <w:abstractNumId w:val="6"/>
  </w:num>
  <w:num w:numId="38">
    <w:abstractNumId w:val="24"/>
  </w:num>
  <w:num w:numId="39">
    <w:abstractNumId w:val="27"/>
  </w:num>
  <w:num w:numId="40">
    <w:abstractNumId w:val="3"/>
  </w:num>
  <w:num w:numId="41">
    <w:abstractNumId w:val="13"/>
  </w:num>
  <w:num w:numId="42">
    <w:abstractNumId w:val="14"/>
  </w:num>
  <w:num w:numId="43">
    <w:abstractNumId w:val="12"/>
  </w:num>
  <w:num w:numId="44">
    <w:abstractNumId w:val="16"/>
  </w:num>
  <w:num w:numId="45">
    <w:abstractNumId w:val="25"/>
  </w:num>
  <w:num w:numId="46">
    <w:abstractNumId w:val="17"/>
  </w:num>
  <w:num w:numId="47">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6325"/>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B70F4"/>
    <w:rsid w:val="001C59A1"/>
    <w:rsid w:val="001C6CF3"/>
    <w:rsid w:val="001D6B3A"/>
    <w:rsid w:val="001E2F0D"/>
    <w:rsid w:val="001F3DC1"/>
    <w:rsid w:val="001F5CE3"/>
    <w:rsid w:val="002004D9"/>
    <w:rsid w:val="002107F7"/>
    <w:rsid w:val="00210A34"/>
    <w:rsid w:val="00210D6C"/>
    <w:rsid w:val="00212692"/>
    <w:rsid w:val="002167B0"/>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11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7A9A"/>
    <w:rsid w:val="0056227D"/>
    <w:rsid w:val="00572106"/>
    <w:rsid w:val="00577F14"/>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4B7"/>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C2A61"/>
    <w:rsid w:val="006C2D30"/>
    <w:rsid w:val="006C506B"/>
    <w:rsid w:val="006C761C"/>
    <w:rsid w:val="006D40CC"/>
    <w:rsid w:val="006E08F1"/>
    <w:rsid w:val="006E0998"/>
    <w:rsid w:val="006E0C6E"/>
    <w:rsid w:val="006E362D"/>
    <w:rsid w:val="006E4573"/>
    <w:rsid w:val="006E45C8"/>
    <w:rsid w:val="006F069E"/>
    <w:rsid w:val="006F0D0D"/>
    <w:rsid w:val="006F605C"/>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4480"/>
    <w:rsid w:val="00816508"/>
    <w:rsid w:val="008175B5"/>
    <w:rsid w:val="00823386"/>
    <w:rsid w:val="0082395A"/>
    <w:rsid w:val="00827B29"/>
    <w:rsid w:val="00830AA5"/>
    <w:rsid w:val="00834A31"/>
    <w:rsid w:val="00842486"/>
    <w:rsid w:val="00846625"/>
    <w:rsid w:val="008471D1"/>
    <w:rsid w:val="008530DC"/>
    <w:rsid w:val="00870884"/>
    <w:rsid w:val="0087210E"/>
    <w:rsid w:val="00874410"/>
    <w:rsid w:val="008805B1"/>
    <w:rsid w:val="00883DD3"/>
    <w:rsid w:val="00886BE2"/>
    <w:rsid w:val="008872F0"/>
    <w:rsid w:val="008A2114"/>
    <w:rsid w:val="008A268A"/>
    <w:rsid w:val="008A62CD"/>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7595"/>
    <w:rsid w:val="00997A42"/>
    <w:rsid w:val="009A347A"/>
    <w:rsid w:val="009B2C9F"/>
    <w:rsid w:val="009B7EF7"/>
    <w:rsid w:val="009C672C"/>
    <w:rsid w:val="009D2FBB"/>
    <w:rsid w:val="009D5EF8"/>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437E"/>
    <w:rsid w:val="00A54DA5"/>
    <w:rsid w:val="00A552EC"/>
    <w:rsid w:val="00A60C7E"/>
    <w:rsid w:val="00A62613"/>
    <w:rsid w:val="00A67960"/>
    <w:rsid w:val="00A7075C"/>
    <w:rsid w:val="00A82260"/>
    <w:rsid w:val="00A875A9"/>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D20D8"/>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4243"/>
    <w:rsid w:val="00CE22B8"/>
    <w:rsid w:val="00CE311E"/>
    <w:rsid w:val="00CF0B76"/>
    <w:rsid w:val="00CF19DD"/>
    <w:rsid w:val="00CF5772"/>
    <w:rsid w:val="00CF74EB"/>
    <w:rsid w:val="00D074F2"/>
    <w:rsid w:val="00D1273C"/>
    <w:rsid w:val="00D13438"/>
    <w:rsid w:val="00D1351D"/>
    <w:rsid w:val="00D23514"/>
    <w:rsid w:val="00D3178B"/>
    <w:rsid w:val="00D34014"/>
    <w:rsid w:val="00D40269"/>
    <w:rsid w:val="00D42DAE"/>
    <w:rsid w:val="00D60BC4"/>
    <w:rsid w:val="00D611F6"/>
    <w:rsid w:val="00D61B07"/>
    <w:rsid w:val="00D66B17"/>
    <w:rsid w:val="00D80AE3"/>
    <w:rsid w:val="00D80CD3"/>
    <w:rsid w:val="00D811A2"/>
    <w:rsid w:val="00D87927"/>
    <w:rsid w:val="00D90EA0"/>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7968"/>
    <w:rsid w:val="00E37641"/>
    <w:rsid w:val="00E37F55"/>
    <w:rsid w:val="00E44350"/>
    <w:rsid w:val="00E46E00"/>
    <w:rsid w:val="00E50AF6"/>
    <w:rsid w:val="00E54AE2"/>
    <w:rsid w:val="00E5641E"/>
    <w:rsid w:val="00E60246"/>
    <w:rsid w:val="00E60781"/>
    <w:rsid w:val="00E61026"/>
    <w:rsid w:val="00E61803"/>
    <w:rsid w:val="00E64565"/>
    <w:rsid w:val="00E76A14"/>
    <w:rsid w:val="00E80E8D"/>
    <w:rsid w:val="00E8214A"/>
    <w:rsid w:val="00E83B4D"/>
    <w:rsid w:val="00E84928"/>
    <w:rsid w:val="00E93818"/>
    <w:rsid w:val="00E962E2"/>
    <w:rsid w:val="00EA0470"/>
    <w:rsid w:val="00EB355E"/>
    <w:rsid w:val="00EC59E0"/>
    <w:rsid w:val="00EC678F"/>
    <w:rsid w:val="00ED1ED9"/>
    <w:rsid w:val="00ED3D3A"/>
    <w:rsid w:val="00ED7DA5"/>
    <w:rsid w:val="00EE5E33"/>
    <w:rsid w:val="00EF2DB5"/>
    <w:rsid w:val="00EF5322"/>
    <w:rsid w:val="00F03A67"/>
    <w:rsid w:val="00F04330"/>
    <w:rsid w:val="00F04FFC"/>
    <w:rsid w:val="00F13A7C"/>
    <w:rsid w:val="00F16696"/>
    <w:rsid w:val="00F22EA4"/>
    <w:rsid w:val="00F322E5"/>
    <w:rsid w:val="00F43666"/>
    <w:rsid w:val="00F44BB5"/>
    <w:rsid w:val="00F46E08"/>
    <w:rsid w:val="00F51B7C"/>
    <w:rsid w:val="00F537DA"/>
    <w:rsid w:val="00F611D6"/>
    <w:rsid w:val="00F63827"/>
    <w:rsid w:val="00F65EE6"/>
    <w:rsid w:val="00F76D80"/>
    <w:rsid w:val="00F80BC4"/>
    <w:rsid w:val="00F84EEA"/>
    <w:rsid w:val="00F8560F"/>
    <w:rsid w:val="00F90278"/>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5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1811</Words>
  <Characters>9961</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2025-12-10T19:24:00Z</cp:lastPrinted>
  <dcterms:created xsi:type="dcterms:W3CDTF">2025-12-10T19:24:00Z</dcterms:created>
  <dcterms:modified xsi:type="dcterms:W3CDTF">2025-12-10T19:26:00Z</dcterms:modified>
</cp:coreProperties>
</file>