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F1" w:rsidRPr="009F1ACC" w:rsidRDefault="00FC04F1" w:rsidP="00FC04F1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DDAD63C" wp14:editId="0F5998F0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FC04F1" w:rsidRDefault="00FC04F1" w:rsidP="00FC04F1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FC04F1" w:rsidRDefault="00FC04F1" w:rsidP="00FC04F1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FC04F1" w:rsidRDefault="00FC04F1" w:rsidP="00FC04F1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FC04F1" w:rsidRDefault="00FC04F1" w:rsidP="00FC04F1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FC04F1" w:rsidRPr="00EC7F30" w:rsidRDefault="00FC04F1" w:rsidP="00FC04F1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</w:pPr>
      <w:r w:rsidRPr="00BC0167"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  <w:t xml:space="preserve">Una vez concluida la evaluación de la manifestación de impacto ambiental, la Secretaría deberá emitir, fundada y motivada, la resolución correspondiente en la que podrá: </w:t>
      </w:r>
    </w:p>
    <w:p w:rsidR="00FC04F1" w:rsidRPr="00EC7F30" w:rsidRDefault="00FC04F1" w:rsidP="00FC04F1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</w:pPr>
      <w:r w:rsidRPr="00BC0167"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  <w:t xml:space="preserve">I. Autorizar la realización de la obra o actividad en los términos y condiciones manifestados; </w:t>
      </w:r>
    </w:p>
    <w:p w:rsidR="00FC04F1" w:rsidRDefault="00FC04F1" w:rsidP="00FC04F1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</w:pPr>
      <w:r w:rsidRPr="00BC0167"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  <w:t xml:space="preserve">II. Autorizar total o parcialmente la realización de la obra o actividad de manera condicionada. En este caso la Secretaría podrá sujetar la realización de la obra o actividad a la modificación del proyecto o al establecimiento de medidas adicionales de prevención y mitigación que tengan por objeto evitar, atenuar o compensar los impactos ambientales adversos susceptibles de ser producidos en la construcción, operación normal, etapa de abandono, término de vida útil del proyecto, o en caso de accidente, o </w:t>
      </w:r>
    </w:p>
    <w:p w:rsidR="00FC04F1" w:rsidRPr="00BC0167" w:rsidRDefault="00FC04F1" w:rsidP="00FC04F1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</w:pPr>
      <w:r w:rsidRPr="00BC0167">
        <w:rPr>
          <w:rFonts w:ascii="Montserrat" w:eastAsia="Times New Roman" w:hAnsi="Montserrat" w:cs="Times New Roman"/>
          <w:color w:val="404041"/>
          <w:kern w:val="0"/>
          <w:sz w:val="24"/>
          <w:szCs w:val="24"/>
          <w:lang w:eastAsia="es-MX"/>
          <w14:ligatures w14:val="none"/>
        </w:rPr>
        <w:t>III. Negar la autorización en los términos de la fracción III del artículo 35 de la Ley General del Equilibrio Ecológico y la Protección al Ambiente (LGEEPA).</w:t>
      </w:r>
    </w:p>
    <w:p w:rsidR="00FC04F1" w:rsidRDefault="00FC04F1" w:rsidP="00FC04F1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.</w:t>
      </w:r>
    </w:p>
    <w:p w:rsidR="00530DBA" w:rsidRDefault="00530DBA"/>
    <w:p w:rsidR="00FC04F1" w:rsidRDefault="00FC04F1"/>
    <w:p w:rsidR="00FC04F1" w:rsidRDefault="00FC04F1" w:rsidP="00FC04F1">
      <w:pPr>
        <w:jc w:val="center"/>
      </w:pPr>
      <w:r>
        <w:t>C.P. CLAUDIA NOHEMI LOZA QUIROZ</w:t>
      </w:r>
      <w:bookmarkStart w:id="0" w:name="_GoBack"/>
      <w:bookmarkEnd w:id="0"/>
    </w:p>
    <w:p w:rsidR="00FC04F1" w:rsidRDefault="00FC04F1" w:rsidP="00FC04F1">
      <w:pPr>
        <w:jc w:val="center"/>
      </w:pPr>
      <w:r>
        <w:t>DIRECTORA DEL DEPARTAMENTO DE ECOLOGIA</w:t>
      </w:r>
    </w:p>
    <w:sectPr w:rsidR="00FC04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476F2E"/>
    <w:multiLevelType w:val="multilevel"/>
    <w:tmpl w:val="185CC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4F1"/>
    <w:rsid w:val="00530DBA"/>
    <w:rsid w:val="00D30330"/>
    <w:rsid w:val="00FC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CDA31"/>
  <w15:chartTrackingRefBased/>
  <w15:docId w15:val="{5039BED7-E4EE-4774-84B0-FC460771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4F1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FC0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2025-09-05T15:58:00Z</dcterms:created>
  <dcterms:modified xsi:type="dcterms:W3CDTF">2025-09-05T15:59:00Z</dcterms:modified>
</cp:coreProperties>
</file>