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8764AA">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8764AA">
        <w:rPr>
          <w:rFonts w:ascii="Arial" w:hAnsi="Arial" w:cs="Arial"/>
          <w:b/>
          <w:sz w:val="24"/>
          <w:szCs w:val="24"/>
        </w:rPr>
        <w:t>septiembre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8764AA">
        <w:rPr>
          <w:rFonts w:ascii="Arial" w:hAnsi="Arial" w:cs="Arial"/>
          <w:b/>
          <w:sz w:val="24"/>
          <w:szCs w:val="24"/>
        </w:rPr>
        <w:t>novena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6E0A39"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2C0021">
        <w:rPr>
          <w:rFonts w:ascii="Arial" w:hAnsi="Arial" w:cs="Arial"/>
          <w:sz w:val="24"/>
          <w:szCs w:val="24"/>
        </w:rPr>
        <w:t xml:space="preserve">La </w:t>
      </w:r>
      <w:r w:rsidR="00D52EEE">
        <w:rPr>
          <w:rFonts w:ascii="Arial" w:hAnsi="Arial" w:cs="Arial"/>
          <w:sz w:val="24"/>
          <w:szCs w:val="24"/>
        </w:rPr>
        <w:t>Directora General del Instituto Universitario de Ciencias Penales y Forenses</w:t>
      </w:r>
      <w:r w:rsidR="001435A4">
        <w:rPr>
          <w:rFonts w:ascii="Arial" w:hAnsi="Arial" w:cs="Arial"/>
          <w:sz w:val="24"/>
          <w:szCs w:val="24"/>
        </w:rPr>
        <w:t xml:space="preserve">, y Secretaria Técnica del Consejo de Carrera de Procuración de Justicia </w:t>
      </w:r>
      <w:r w:rsidR="00D52EEE">
        <w:rPr>
          <w:rFonts w:ascii="Arial" w:hAnsi="Arial" w:cs="Arial"/>
          <w:sz w:val="24"/>
          <w:szCs w:val="24"/>
        </w:rPr>
        <w:t>Rita Santillán Guzmán</w:t>
      </w:r>
      <w:r w:rsidR="00D4742A" w:rsidRPr="00115CE3">
        <w:rPr>
          <w:rFonts w:ascii="Arial" w:hAnsi="Arial" w:cs="Arial"/>
          <w:sz w:val="24"/>
          <w:szCs w:val="24"/>
        </w:rPr>
        <w:t>,</w:t>
      </w:r>
      <w:r w:rsidRPr="00115CE3">
        <w:rPr>
          <w:rFonts w:ascii="Arial" w:hAnsi="Arial" w:cs="Arial"/>
          <w:sz w:val="24"/>
          <w:szCs w:val="24"/>
        </w:rPr>
        <w:t xml:space="preserve"> mediante oficio </w:t>
      </w:r>
      <w:r w:rsidR="004430F4">
        <w:rPr>
          <w:rFonts w:ascii="Arial" w:hAnsi="Arial" w:cs="Arial"/>
          <w:b/>
          <w:sz w:val="24"/>
          <w:szCs w:val="24"/>
        </w:rPr>
        <w:t>CCPJ/040</w:t>
      </w:r>
      <w:r w:rsidR="00C63668">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4430F4">
        <w:rPr>
          <w:rFonts w:ascii="Arial" w:hAnsi="Arial" w:cs="Arial"/>
          <w:b/>
          <w:sz w:val="24"/>
          <w:szCs w:val="24"/>
        </w:rPr>
        <w:t>CC</w:t>
      </w:r>
      <w:r w:rsidR="009402BD">
        <w:rPr>
          <w:rFonts w:ascii="Arial" w:hAnsi="Arial" w:cs="Arial"/>
          <w:b/>
          <w:sz w:val="24"/>
          <w:szCs w:val="24"/>
        </w:rPr>
        <w:t>P</w:t>
      </w:r>
      <w:r w:rsidR="004430F4">
        <w:rPr>
          <w:rFonts w:ascii="Arial" w:hAnsi="Arial" w:cs="Arial"/>
          <w:b/>
          <w:sz w:val="24"/>
          <w:szCs w:val="24"/>
        </w:rPr>
        <w:t>J/AR/01</w:t>
      </w:r>
      <w:r w:rsidR="002C0021">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5F0249">
        <w:rPr>
          <w:rFonts w:ascii="Arial" w:hAnsi="Arial" w:cs="Arial"/>
          <w:b/>
          <w:sz w:val="24"/>
          <w:szCs w:val="24"/>
        </w:rPr>
        <w:t>3</w:t>
      </w:r>
      <w:r w:rsidR="008764AA">
        <w:rPr>
          <w:rFonts w:ascii="Arial" w:hAnsi="Arial" w:cs="Arial"/>
          <w:b/>
          <w:sz w:val="24"/>
          <w:szCs w:val="24"/>
        </w:rPr>
        <w:t>7</w:t>
      </w:r>
      <w:r w:rsidR="009402BD">
        <w:rPr>
          <w:rFonts w:ascii="Arial" w:hAnsi="Arial" w:cs="Arial"/>
          <w:b/>
          <w:sz w:val="24"/>
          <w:szCs w:val="24"/>
        </w:rPr>
        <w:t>5</w:t>
      </w:r>
      <w:r w:rsidR="0053156B" w:rsidRPr="00115CE3">
        <w:rPr>
          <w:rFonts w:ascii="Arial" w:hAnsi="Arial" w:cs="Arial"/>
          <w:sz w:val="24"/>
          <w:szCs w:val="24"/>
        </w:rPr>
        <w:t>-240469825000</w:t>
      </w:r>
      <w:r w:rsidR="005F0249">
        <w:rPr>
          <w:rFonts w:ascii="Arial" w:hAnsi="Arial" w:cs="Arial"/>
          <w:b/>
          <w:sz w:val="24"/>
          <w:szCs w:val="24"/>
        </w:rPr>
        <w:t>3</w:t>
      </w:r>
      <w:r w:rsidR="008764AA">
        <w:rPr>
          <w:rFonts w:ascii="Arial" w:hAnsi="Arial" w:cs="Arial"/>
          <w:b/>
          <w:sz w:val="24"/>
          <w:szCs w:val="24"/>
        </w:rPr>
        <w:t>7</w:t>
      </w:r>
      <w:r w:rsidR="009402BD">
        <w:rPr>
          <w:rFonts w:ascii="Arial" w:hAnsi="Arial" w:cs="Arial"/>
          <w:b/>
          <w:sz w:val="24"/>
          <w:szCs w:val="24"/>
        </w:rPr>
        <w:t>5</w:t>
      </w:r>
      <w:r w:rsidR="0053156B" w:rsidRPr="00115CE3">
        <w:rPr>
          <w:rFonts w:ascii="Arial" w:hAnsi="Arial" w:cs="Arial"/>
          <w:sz w:val="24"/>
          <w:szCs w:val="24"/>
        </w:rPr>
        <w:t xml:space="preserve">-2025 realizada por </w:t>
      </w:r>
      <w:r w:rsidR="005F0249">
        <w:rPr>
          <w:rFonts w:ascii="Arial" w:hAnsi="Arial" w:cs="Arial"/>
          <w:sz w:val="24"/>
          <w:szCs w:val="24"/>
        </w:rPr>
        <w:t xml:space="preserve">un usuario </w:t>
      </w:r>
      <w:r w:rsidR="009402BD" w:rsidRPr="009402BD">
        <w:rPr>
          <w:rFonts w:ascii="Arial" w:hAnsi="Arial" w:cs="Arial"/>
          <w:b/>
          <w:sz w:val="24"/>
          <w:szCs w:val="24"/>
        </w:rPr>
        <w:t>María Cervantes</w:t>
      </w:r>
      <w:r w:rsidR="006E0A39">
        <w:rPr>
          <w:rFonts w:ascii="Arial" w:hAnsi="Arial" w:cs="Arial"/>
          <w:b/>
          <w:sz w:val="24"/>
          <w:szCs w:val="24"/>
        </w:rPr>
        <w:t xml:space="preserve">, </w:t>
      </w:r>
      <w:r w:rsidR="006E0A39">
        <w:rPr>
          <w:rFonts w:ascii="Arial" w:hAnsi="Arial" w:cs="Arial"/>
          <w:sz w:val="24"/>
          <w:szCs w:val="24"/>
        </w:rPr>
        <w:t xml:space="preserve"> quien manifiesta su deseo de acceder a:</w:t>
      </w:r>
    </w:p>
    <w:p w:rsidR="006E0A39" w:rsidRPr="006E0A39" w:rsidRDefault="006E0A39" w:rsidP="006E0A39">
      <w:pPr>
        <w:spacing w:after="0" w:line="240" w:lineRule="auto"/>
        <w:jc w:val="both"/>
        <w:rPr>
          <w:rFonts w:ascii="Arial" w:hAnsi="Arial" w:cs="Arial"/>
          <w:sz w:val="24"/>
          <w:szCs w:val="24"/>
        </w:rPr>
      </w:pPr>
      <w:r>
        <w:rPr>
          <w:rFonts w:ascii="Arial" w:hAnsi="Arial" w:cs="Arial"/>
          <w:sz w:val="24"/>
          <w:szCs w:val="24"/>
        </w:rPr>
        <w:t>L</w:t>
      </w:r>
      <w:r w:rsidRPr="006E0A39">
        <w:rPr>
          <w:rFonts w:ascii="Arial" w:hAnsi="Arial" w:cs="Arial"/>
          <w:sz w:val="24"/>
          <w:szCs w:val="24"/>
        </w:rPr>
        <w:t xml:space="preserve">a información que genera el consejo de Carrera de Procuración de justicia, para lo cual solicito: </w:t>
      </w:r>
    </w:p>
    <w:p w:rsidR="006E0A39" w:rsidRPr="006E0A39" w:rsidRDefault="006E0A39" w:rsidP="006E0A39">
      <w:pPr>
        <w:spacing w:after="0" w:line="240" w:lineRule="auto"/>
        <w:jc w:val="both"/>
        <w:rPr>
          <w:rFonts w:ascii="Arial" w:hAnsi="Arial" w:cs="Arial"/>
          <w:sz w:val="24"/>
          <w:szCs w:val="24"/>
        </w:rPr>
      </w:pPr>
      <w:r w:rsidRPr="006E0A39">
        <w:rPr>
          <w:rFonts w:ascii="Arial" w:hAnsi="Arial" w:cs="Arial"/>
          <w:sz w:val="24"/>
          <w:szCs w:val="24"/>
        </w:rPr>
        <w:t xml:space="preserve">1. Que función tiene dicho consejo. </w:t>
      </w:r>
    </w:p>
    <w:p w:rsidR="006E0A39" w:rsidRPr="006E0A39" w:rsidRDefault="006E0A39" w:rsidP="006E0A39">
      <w:pPr>
        <w:spacing w:after="0" w:line="240" w:lineRule="auto"/>
        <w:jc w:val="both"/>
        <w:rPr>
          <w:rFonts w:ascii="Arial" w:hAnsi="Arial" w:cs="Arial"/>
          <w:sz w:val="24"/>
          <w:szCs w:val="24"/>
        </w:rPr>
      </w:pPr>
      <w:r w:rsidRPr="006E0A39">
        <w:rPr>
          <w:rFonts w:ascii="Arial" w:hAnsi="Arial" w:cs="Arial"/>
          <w:sz w:val="24"/>
          <w:szCs w:val="24"/>
        </w:rPr>
        <w:t xml:space="preserve">2. Quienes lo integran, nombre y cargo. </w:t>
      </w:r>
    </w:p>
    <w:p w:rsidR="006E0A39" w:rsidRPr="006E0A39" w:rsidRDefault="006E0A39" w:rsidP="006E0A39">
      <w:pPr>
        <w:spacing w:after="0" w:line="240" w:lineRule="auto"/>
        <w:jc w:val="both"/>
        <w:rPr>
          <w:rFonts w:ascii="Arial" w:hAnsi="Arial" w:cs="Arial"/>
          <w:sz w:val="24"/>
          <w:szCs w:val="24"/>
        </w:rPr>
      </w:pPr>
      <w:r w:rsidRPr="006E0A39">
        <w:rPr>
          <w:rFonts w:ascii="Arial" w:hAnsi="Arial" w:cs="Arial"/>
          <w:sz w:val="24"/>
          <w:szCs w:val="24"/>
        </w:rPr>
        <w:t xml:space="preserve">3. Calendario de sesiones 2025. </w:t>
      </w:r>
    </w:p>
    <w:p w:rsidR="006E0A39" w:rsidRPr="006E0A39" w:rsidRDefault="006E0A39" w:rsidP="006E0A39">
      <w:pPr>
        <w:spacing w:after="0" w:line="240" w:lineRule="auto"/>
        <w:jc w:val="both"/>
        <w:rPr>
          <w:rFonts w:ascii="Arial" w:hAnsi="Arial" w:cs="Arial"/>
          <w:sz w:val="24"/>
          <w:szCs w:val="24"/>
        </w:rPr>
      </w:pPr>
      <w:r w:rsidRPr="006E0A39">
        <w:rPr>
          <w:rFonts w:ascii="Arial" w:hAnsi="Arial" w:cs="Arial"/>
          <w:sz w:val="24"/>
          <w:szCs w:val="24"/>
        </w:rPr>
        <w:t xml:space="preserve">4. Convocatorias para las sesiones ordinarias y extraordinarias 2025. </w:t>
      </w:r>
    </w:p>
    <w:p w:rsidR="006E0A39" w:rsidRPr="006E0A39" w:rsidRDefault="006E0A39" w:rsidP="006E0A39">
      <w:pPr>
        <w:spacing w:after="0" w:line="240" w:lineRule="auto"/>
        <w:jc w:val="both"/>
        <w:rPr>
          <w:rFonts w:ascii="Arial" w:hAnsi="Arial" w:cs="Arial"/>
          <w:sz w:val="24"/>
          <w:szCs w:val="24"/>
        </w:rPr>
      </w:pPr>
      <w:r w:rsidRPr="006E0A39">
        <w:rPr>
          <w:rFonts w:ascii="Arial" w:hAnsi="Arial" w:cs="Arial"/>
          <w:sz w:val="24"/>
          <w:szCs w:val="24"/>
        </w:rPr>
        <w:t xml:space="preserve">5. Acta del desarrollo de las sesiones ordinarias y extraordinarias 2025. </w:t>
      </w:r>
    </w:p>
    <w:p w:rsidR="006E0A39" w:rsidRPr="006E0A39" w:rsidRDefault="006E0A39" w:rsidP="006E0A39">
      <w:pPr>
        <w:spacing w:after="0" w:line="240" w:lineRule="auto"/>
        <w:jc w:val="both"/>
        <w:rPr>
          <w:rFonts w:ascii="Arial" w:hAnsi="Arial" w:cs="Arial"/>
          <w:sz w:val="24"/>
          <w:szCs w:val="24"/>
        </w:rPr>
      </w:pPr>
      <w:r w:rsidRPr="006E0A39">
        <w:rPr>
          <w:rFonts w:ascii="Arial" w:hAnsi="Arial" w:cs="Arial"/>
          <w:sz w:val="24"/>
          <w:szCs w:val="24"/>
        </w:rPr>
        <w:t xml:space="preserve">6. Puntos de acuerdo tomados en cada sesión ordinarias y extraordinarias 2025. </w:t>
      </w:r>
    </w:p>
    <w:p w:rsidR="00BF3665" w:rsidRDefault="006E0A39" w:rsidP="006E0A39">
      <w:pPr>
        <w:spacing w:after="0" w:line="240" w:lineRule="auto"/>
        <w:jc w:val="both"/>
        <w:rPr>
          <w:rFonts w:ascii="Arial" w:hAnsi="Arial" w:cs="Arial"/>
          <w:sz w:val="24"/>
          <w:szCs w:val="24"/>
        </w:rPr>
      </w:pPr>
      <w:r w:rsidRPr="006E0A39">
        <w:rPr>
          <w:rFonts w:ascii="Arial" w:hAnsi="Arial" w:cs="Arial"/>
          <w:sz w:val="24"/>
          <w:szCs w:val="24"/>
        </w:rPr>
        <w:t>7. Listas de asistencia de los integrantes del consejo de cada sesión ordinarias y extraordinarias 2025</w:t>
      </w:r>
      <w:r>
        <w:rPr>
          <w:rFonts w:ascii="Arial" w:hAnsi="Arial" w:cs="Arial"/>
          <w:sz w:val="24"/>
          <w:szCs w:val="24"/>
        </w:rPr>
        <w:t>.</w:t>
      </w:r>
    </w:p>
    <w:p w:rsidR="006E0A39" w:rsidRPr="00115CE3" w:rsidRDefault="006E0A39" w:rsidP="006E0A39">
      <w:pPr>
        <w:spacing w:after="0" w:line="240" w:lineRule="auto"/>
        <w:jc w:val="both"/>
        <w:rPr>
          <w:rFonts w:ascii="Arial" w:hAnsi="Arial" w:cs="Arial"/>
          <w:sz w:val="24"/>
          <w:szCs w:val="24"/>
        </w:rPr>
      </w:pP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1435A4">
        <w:rPr>
          <w:rFonts w:ascii="Arial" w:hAnsi="Arial" w:cs="Arial"/>
          <w:sz w:val="24"/>
          <w:szCs w:val="24"/>
        </w:rPr>
        <w:t>La Directora General del Instituto Universitario de Ciencias Penales y Forenses, y Secretaria Técnica del Consejo de Carrera de Procuración de Justicia Rita Santillán Guzmán</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información requerida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1435A4">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1435A4">
        <w:rPr>
          <w:rFonts w:ascii="Arial" w:hAnsi="Arial" w:cs="Arial"/>
          <w:sz w:val="24"/>
          <w:szCs w:val="24"/>
        </w:rPr>
        <w:t>La Directora General del Instituto Universitario de Ciencias Penales y Forenses, y Secretaria Técnica del Consejo de Carrera de Procuración de Justicia Rita Santillán Guzmán</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4430F4">
        <w:rPr>
          <w:rFonts w:ascii="Arial" w:hAnsi="Arial" w:cs="Arial"/>
          <w:b/>
          <w:sz w:val="24"/>
          <w:szCs w:val="24"/>
        </w:rPr>
        <w:t>CC</w:t>
      </w:r>
      <w:r w:rsidR="009402BD">
        <w:rPr>
          <w:rFonts w:ascii="Arial" w:hAnsi="Arial" w:cs="Arial"/>
          <w:b/>
          <w:sz w:val="24"/>
          <w:szCs w:val="24"/>
        </w:rPr>
        <w:t>P</w:t>
      </w:r>
      <w:r w:rsidR="004430F4">
        <w:rPr>
          <w:rFonts w:ascii="Arial" w:hAnsi="Arial" w:cs="Arial"/>
          <w:b/>
          <w:sz w:val="24"/>
          <w:szCs w:val="24"/>
        </w:rPr>
        <w:t>J/AR/01/2025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lastRenderedPageBreak/>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4430F4">
        <w:rPr>
          <w:rFonts w:ascii="Arial" w:hAnsi="Arial" w:cs="Arial"/>
          <w:b/>
          <w:sz w:val="24"/>
          <w:szCs w:val="24"/>
        </w:rPr>
        <w:t>CC</w:t>
      </w:r>
      <w:r w:rsidR="009402BD">
        <w:rPr>
          <w:rFonts w:ascii="Arial" w:hAnsi="Arial" w:cs="Arial"/>
          <w:b/>
          <w:sz w:val="24"/>
          <w:szCs w:val="24"/>
        </w:rPr>
        <w:t>P</w:t>
      </w:r>
      <w:r w:rsidR="004430F4">
        <w:rPr>
          <w:rFonts w:ascii="Arial" w:hAnsi="Arial" w:cs="Arial"/>
          <w:b/>
          <w:sz w:val="24"/>
          <w:szCs w:val="24"/>
        </w:rPr>
        <w:t>J/AR/01/2025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4430F4">
        <w:rPr>
          <w:rFonts w:ascii="Arial" w:hAnsi="Arial" w:cs="Arial"/>
          <w:b/>
          <w:sz w:val="24"/>
          <w:szCs w:val="24"/>
        </w:rPr>
        <w:t>CC</w:t>
      </w:r>
      <w:r w:rsidR="009402BD">
        <w:rPr>
          <w:rFonts w:ascii="Arial" w:hAnsi="Arial" w:cs="Arial"/>
          <w:b/>
          <w:sz w:val="24"/>
          <w:szCs w:val="24"/>
        </w:rPr>
        <w:t>P</w:t>
      </w:r>
      <w:r w:rsidR="004430F4">
        <w:rPr>
          <w:rFonts w:ascii="Arial" w:hAnsi="Arial" w:cs="Arial"/>
          <w:b/>
          <w:sz w:val="24"/>
          <w:szCs w:val="24"/>
        </w:rPr>
        <w:t>J/AR/01/2025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C63668" w:rsidRDefault="00C63668" w:rsidP="005F0249">
      <w:pPr>
        <w:spacing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Default="005621F2" w:rsidP="005F0249">
      <w:pPr>
        <w:pStyle w:val="Prrafodelista"/>
        <w:ind w:left="1080"/>
        <w:jc w:val="both"/>
        <w:rPr>
          <w:rFonts w:ascii="Arial" w:hAnsi="Arial" w:cs="Arial"/>
          <w:b/>
        </w:rPr>
      </w:pPr>
    </w:p>
    <w:p w:rsidR="009402BD" w:rsidRPr="009402BD" w:rsidRDefault="007336C3" w:rsidP="009402BD">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9402BD" w:rsidRPr="009402BD">
        <w:rPr>
          <w:rFonts w:ascii="Arial" w:hAnsi="Arial" w:cs="Arial"/>
          <w:sz w:val="24"/>
          <w:szCs w:val="24"/>
        </w:rPr>
        <w:t xml:space="preserve">En el caso que nos ocupa en referencia a la Solicitud de Acceso a la Información con No UT-SI-P-375-240469825000375-2025, en la que se recurrió </w:t>
      </w:r>
      <w:r w:rsidR="006E0A39" w:rsidRPr="009402BD">
        <w:rPr>
          <w:rFonts w:ascii="Arial" w:hAnsi="Arial" w:cs="Arial"/>
          <w:sz w:val="24"/>
          <w:szCs w:val="24"/>
        </w:rPr>
        <w:t>María Cervantes</w:t>
      </w:r>
      <w:r w:rsidR="009402BD" w:rsidRPr="009402BD">
        <w:rPr>
          <w:rFonts w:ascii="Arial" w:hAnsi="Arial" w:cs="Arial"/>
          <w:sz w:val="24"/>
          <w:szCs w:val="24"/>
        </w:rPr>
        <w:t xml:space="preserve">: Relacionada con la información pública del Acta de la Primer Sesión Ordinaria del Consejo de Carrera de Procuración de Justicia, llevada a cabo en dos reuniones de trabajo, los días 15 y 23 de enero del año 2025, y los puntos de acuerdo tomados en sesión, relativo a: nombre completo, cargo, edad, incidencias de permiso prejubilatorio, edad avanzada y renuncia voluntaria, fecha que solicita, fecha de presentación de solicitud, fecha de ingreso, antigüedad, fecha de cómputo pensiones, resolución de Ministerios Públicos, policías investigadores y peritos. Participación general, canalización a evaluaciones de control de confianza, resultados de formación inicial, resultados de examen de oposición, lo anterior de Ministerios Públicos, policías investigadores y peritos. Plan de ingreso para nuevos integrantes para Ministerios Públicos, policías investigadores y peritos. Aprobación de número (listados) de Ministerios Públicos, policías investigadores y peritos. Vigencia de la lista de reserva. Aprobación del plan </w:t>
      </w:r>
      <w:r w:rsidR="009402BD" w:rsidRPr="009402BD">
        <w:rPr>
          <w:rFonts w:ascii="Arial" w:hAnsi="Arial" w:cs="Arial"/>
          <w:sz w:val="24"/>
          <w:szCs w:val="24"/>
        </w:rPr>
        <w:lastRenderedPageBreak/>
        <w:t>de ingreso de Ministerios Públicos, policías investigadores y peritos. Proceso de migración de contratos trimestrales a contratos por tiempo indeterminado.</w:t>
      </w:r>
    </w:p>
    <w:p w:rsidR="009402BD" w:rsidRPr="009402BD" w:rsidRDefault="009402BD" w:rsidP="009402BD">
      <w:pPr>
        <w:autoSpaceDE w:val="0"/>
        <w:autoSpaceDN w:val="0"/>
        <w:adjustRightInd w:val="0"/>
        <w:spacing w:line="240" w:lineRule="auto"/>
        <w:jc w:val="both"/>
        <w:rPr>
          <w:rFonts w:ascii="Arial" w:hAnsi="Arial" w:cs="Arial"/>
          <w:sz w:val="24"/>
          <w:szCs w:val="24"/>
        </w:rPr>
      </w:pPr>
      <w:r w:rsidRPr="009402BD">
        <w:rPr>
          <w:rFonts w:ascii="Arial" w:hAnsi="Arial" w:cs="Arial"/>
          <w:sz w:val="24"/>
          <w:szCs w:val="24"/>
        </w:rPr>
        <w:t xml:space="preserve">Información, que corresponde a esta Fiscalía, es procedente puesto que el darla a conocer contraviene lo dispuesto en el Artículo 129 fracciones I y </w:t>
      </w:r>
      <w:proofErr w:type="spellStart"/>
      <w:r w:rsidRPr="009402BD">
        <w:rPr>
          <w:rFonts w:ascii="Arial" w:hAnsi="Arial" w:cs="Arial"/>
          <w:sz w:val="24"/>
          <w:szCs w:val="24"/>
        </w:rPr>
        <w:t>XIl</w:t>
      </w:r>
      <w:proofErr w:type="spellEnd"/>
      <w:r w:rsidRPr="009402BD">
        <w:rPr>
          <w:rFonts w:ascii="Arial" w:hAnsi="Arial" w:cs="Arial"/>
          <w:sz w:val="24"/>
          <w:szCs w:val="24"/>
        </w:rPr>
        <w:t>, de la Ley de Transparencia y Acceso a la Información Pública del Estado, en el que se considera "Artículo 129. Como información reservada podrá clasificarse aquella cuya publicación, I. Comprometa la seguridad pública y cuente con un propósito genuino y un efecto demostrable; y XII. Las que por disposición expresa de una ley tengan tal carácter, siempre que sean acordes con las bases, principios y disposiciones establecidos en esta Ley y no la contravengan; así como las previstas en tratados internacionales."</w:t>
      </w:r>
    </w:p>
    <w:p w:rsidR="009402BD" w:rsidRPr="009402BD" w:rsidRDefault="009402BD" w:rsidP="009402BD">
      <w:pPr>
        <w:autoSpaceDE w:val="0"/>
        <w:autoSpaceDN w:val="0"/>
        <w:adjustRightInd w:val="0"/>
        <w:spacing w:line="240" w:lineRule="auto"/>
        <w:jc w:val="both"/>
        <w:rPr>
          <w:rFonts w:ascii="Arial" w:hAnsi="Arial" w:cs="Arial"/>
          <w:sz w:val="24"/>
          <w:szCs w:val="24"/>
        </w:rPr>
      </w:pPr>
      <w:r w:rsidRPr="009402BD">
        <w:rPr>
          <w:rFonts w:ascii="Arial" w:hAnsi="Arial" w:cs="Arial"/>
          <w:sz w:val="24"/>
          <w:szCs w:val="24"/>
        </w:rPr>
        <w:t>Atendiendo a que la seguridad pública es un bien jurídico tutelado por el Estado, de la mayor prioridad en su agenda. La obligación gubernamental de proveer a los ciudadanos de seguridad, tranquilidad y certeza sobre su integridad personal, patrimonial y social, es un deber no sólo alusivo a los fines deseables que debe cumplir todo el orden social, sino más profundamente, se reconoce como una precondición fundacional de los estados modernos y, la base esencial, sobre la cual pueden ejercerse la totalidad de los derechos.</w:t>
      </w:r>
    </w:p>
    <w:p w:rsidR="009402BD" w:rsidRPr="009402BD" w:rsidRDefault="009402BD" w:rsidP="009402BD">
      <w:pPr>
        <w:autoSpaceDE w:val="0"/>
        <w:autoSpaceDN w:val="0"/>
        <w:adjustRightInd w:val="0"/>
        <w:spacing w:line="240" w:lineRule="auto"/>
        <w:jc w:val="both"/>
        <w:rPr>
          <w:rFonts w:ascii="Arial" w:hAnsi="Arial" w:cs="Arial"/>
          <w:sz w:val="24"/>
          <w:szCs w:val="24"/>
        </w:rPr>
      </w:pPr>
      <w:r w:rsidRPr="009402BD">
        <w:rPr>
          <w:rFonts w:ascii="Arial" w:hAnsi="Arial" w:cs="Arial"/>
          <w:sz w:val="24"/>
          <w:szCs w:val="24"/>
        </w:rPr>
        <w:t>Sin embargo, la entrega de información de interés deja al descubierto de la delincuencia organizada en su primer momento establecería información del personal que forma parte del Servicio Profesional de Carrera, con datos personales suficientes para ser identificado, así como se conocería con claridad información del estado de fuerza que ingresa y una parte porcentual y que en suma forman parte del personal designado de las áreas tácticas operativas de este Órgano Autónomo.</w:t>
      </w:r>
    </w:p>
    <w:p w:rsidR="009402BD" w:rsidRPr="009402BD" w:rsidRDefault="009402BD" w:rsidP="009402BD">
      <w:pPr>
        <w:autoSpaceDE w:val="0"/>
        <w:autoSpaceDN w:val="0"/>
        <w:adjustRightInd w:val="0"/>
        <w:spacing w:line="240" w:lineRule="auto"/>
        <w:jc w:val="both"/>
        <w:rPr>
          <w:rFonts w:ascii="Arial" w:hAnsi="Arial" w:cs="Arial"/>
          <w:sz w:val="24"/>
          <w:szCs w:val="24"/>
        </w:rPr>
      </w:pPr>
      <w:r w:rsidRPr="009402BD">
        <w:rPr>
          <w:rFonts w:ascii="Arial" w:hAnsi="Arial" w:cs="Arial"/>
          <w:sz w:val="24"/>
          <w:szCs w:val="24"/>
        </w:rPr>
        <w:t>Siendo que en segundo momento, se contraviene a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considerando que la base de datos del sistema a la que se refiere el artículo citado, se integra con datos descritos en su Artículo 99, "El Registro de Personal de Seguridad Pública contendrá la información actualizada, relativa a los integrantes de las instituciones de seguridad pública del Estado el cual contendrá. por lo menos I Los datos que permitan identificar plenamente y localizar al servidor público, III Cualquier cambio de adscripción, actividad o rango del servidor público...”</w:t>
      </w:r>
    </w:p>
    <w:p w:rsidR="009402BD" w:rsidRPr="009402BD" w:rsidRDefault="009402BD" w:rsidP="009402BD">
      <w:pPr>
        <w:autoSpaceDE w:val="0"/>
        <w:autoSpaceDN w:val="0"/>
        <w:adjustRightInd w:val="0"/>
        <w:spacing w:line="240" w:lineRule="auto"/>
        <w:jc w:val="both"/>
        <w:rPr>
          <w:rFonts w:ascii="Arial" w:hAnsi="Arial" w:cs="Arial"/>
          <w:sz w:val="24"/>
          <w:szCs w:val="24"/>
        </w:rPr>
      </w:pPr>
      <w:r w:rsidRPr="009402BD">
        <w:rPr>
          <w:rFonts w:ascii="Arial" w:hAnsi="Arial" w:cs="Arial"/>
          <w:sz w:val="24"/>
          <w:szCs w:val="24"/>
        </w:rPr>
        <w:t xml:space="preserve">Por lo cual, la entrega de la información consistente en: La información personal y la integridad del Acta de la Primer Sesión Ordinaria de Consejo de Carrera de Procuración de Justicia, llevada a cabo en dos reuniones de trabajo, los días 15 y 23 de enero del año 2025, y los puntos de acuerdo tomados en sesión, establecería brechas en las que la investigación de hechos delictivos, menoscabando la seguridad pública y en la integridad de los Ministerios </w:t>
      </w:r>
      <w:r w:rsidRPr="009402BD">
        <w:rPr>
          <w:rFonts w:ascii="Arial" w:hAnsi="Arial" w:cs="Arial"/>
          <w:sz w:val="24"/>
          <w:szCs w:val="24"/>
        </w:rPr>
        <w:lastRenderedPageBreak/>
        <w:t xml:space="preserve">Públicos, Peritos y Policías de Investigación que en el cuerpo de las actas son mencionados, así como de los datos que entrando en un análisis, den rastro a identificar a algún elemento, dejándolos vulnerables ante cualquier evento frente a personas con fines ilícitos, y en desventaja en operativos, programas de vigilancia, incluso, en su vida privada, por lo que implica un compromiso de orden prioritario salvaguardar la seguridad del personal de investigación, toda vez que la difusión puede poner en riesgo la vida, la integridad y salud del personal en cita, al ser entregada la información a un tercero podría llegar a ser del conocimiento de los grupos delincuenciales y estos obstaculizar las investigaciones, estrategias y acciones, afectando el orden público y la seguridad pública estatal. </w:t>
      </w:r>
    </w:p>
    <w:p w:rsidR="009402BD" w:rsidRPr="009402BD" w:rsidRDefault="009402BD" w:rsidP="009402BD">
      <w:pPr>
        <w:autoSpaceDE w:val="0"/>
        <w:autoSpaceDN w:val="0"/>
        <w:adjustRightInd w:val="0"/>
        <w:spacing w:line="240" w:lineRule="auto"/>
        <w:jc w:val="both"/>
        <w:rPr>
          <w:rFonts w:ascii="Arial" w:hAnsi="Arial" w:cs="Arial"/>
          <w:sz w:val="24"/>
          <w:szCs w:val="24"/>
        </w:rPr>
      </w:pPr>
      <w:r w:rsidRPr="009402BD">
        <w:rPr>
          <w:rFonts w:ascii="Arial" w:hAnsi="Arial" w:cs="Arial"/>
          <w:sz w:val="24"/>
          <w:szCs w:val="24"/>
        </w:rPr>
        <w:t>A sabiendas que la información de interés, la función pública a la que está ligada directamente a la investigación y seguridad, al realizar las investigaciones sobre hechos que pueden constituir delitos, dictaminar sobre los hechos que se le encomiendan, comparecer ante Autoridades Judiciales que los requieren. cumplimientos de mandamientos judiciales, propiciando la identificación de los servidores públicos operativos y con ello se compromete su seguridad y la de su familia, dejando además en un grave estado de vulnerabilidad a la institución debido a que sería fácilmente determinar la capacidad de reacción de la corporación ante hechos delictivos y la delincuencia organizada, además de haber una obstrucción en la persecución de delitos.</w:t>
      </w:r>
    </w:p>
    <w:p w:rsidR="009402BD" w:rsidRPr="009402BD" w:rsidRDefault="009402BD" w:rsidP="009402BD">
      <w:pPr>
        <w:autoSpaceDE w:val="0"/>
        <w:autoSpaceDN w:val="0"/>
        <w:adjustRightInd w:val="0"/>
        <w:spacing w:line="240" w:lineRule="auto"/>
        <w:jc w:val="both"/>
        <w:rPr>
          <w:rFonts w:ascii="Arial" w:hAnsi="Arial" w:cs="Arial"/>
          <w:sz w:val="24"/>
          <w:szCs w:val="24"/>
        </w:rPr>
      </w:pPr>
      <w:r w:rsidRPr="009402BD">
        <w:rPr>
          <w:rFonts w:ascii="Arial" w:hAnsi="Arial" w:cs="Arial"/>
          <w:sz w:val="24"/>
          <w:szCs w:val="24"/>
        </w:rPr>
        <w:t>Así también, los datos que hacen identificables a quienes participan dejando características peculiares como nombre completo, cargo, edad, incidencias de permiso prejubilatorio, edad avanzada y renuncia voluntaria, fecha que solicita, fecha de presentación de solicitud, fecha de ingreso, antigüedad, fecha de cómputo pensiones, resolución de Ministerios Públicos, policías investigadores y peritos. de la Fiscalía General del Estado, es información que los hacen ubicables para las partes imputadas. incrementando la posibilidad cuando pertenecen a grupos delincuenciales, quienes podrían localizarlos a fin de amedrentar, agredir o sobornar a los servidores públicos. Situaciones previstas en los lineamientos citados, así como en el artículo 126 fracción III de la Ley del Sistema de Seguridad Pública Del Estado de San Luis Potosí y en la Resolución de la Suprema Corte de Justicia de la Nación emitida dentro de la Controversia Constitucional Numero 325/2019;</w:t>
      </w:r>
    </w:p>
    <w:p w:rsidR="009402BD" w:rsidRPr="009402BD" w:rsidRDefault="009402BD" w:rsidP="009402BD">
      <w:pPr>
        <w:autoSpaceDE w:val="0"/>
        <w:autoSpaceDN w:val="0"/>
        <w:adjustRightInd w:val="0"/>
        <w:spacing w:line="240" w:lineRule="auto"/>
        <w:jc w:val="both"/>
        <w:rPr>
          <w:rFonts w:ascii="Arial" w:hAnsi="Arial" w:cs="Arial"/>
          <w:sz w:val="24"/>
          <w:szCs w:val="24"/>
        </w:rPr>
      </w:pPr>
      <w:r w:rsidRPr="009402BD">
        <w:rPr>
          <w:rFonts w:ascii="Arial" w:hAnsi="Arial" w:cs="Arial"/>
          <w:sz w:val="24"/>
          <w:szCs w:val="24"/>
        </w:rPr>
        <w:t>La información que se reserva parcialmente y válidamente puede formar parte de los registros de la investigación, independientemente de su contenido o naturaleza, y que son estrictamente reservados; la información que sobre la que se emite a reserva, forma parte de la base de datos del Sistema de Seguridad Pública cuya información se señala como reserva en la Ley del Sistema de Seguridad Pública del Estado de San Luis Potosí en los artículos 93, 93 bis, 94, fracciones l y ll, 95 fracción Vl, 97 fracciones I y II, 99, fracciones I y Ill.</w:t>
      </w:r>
    </w:p>
    <w:p w:rsidR="009402BD" w:rsidRPr="009402BD" w:rsidRDefault="009402BD" w:rsidP="009402BD">
      <w:pPr>
        <w:autoSpaceDE w:val="0"/>
        <w:autoSpaceDN w:val="0"/>
        <w:adjustRightInd w:val="0"/>
        <w:spacing w:line="240" w:lineRule="auto"/>
        <w:jc w:val="both"/>
        <w:rPr>
          <w:rFonts w:ascii="Arial" w:hAnsi="Arial" w:cs="Arial"/>
          <w:sz w:val="24"/>
          <w:szCs w:val="24"/>
        </w:rPr>
      </w:pPr>
      <w:r w:rsidRPr="009402BD">
        <w:rPr>
          <w:rFonts w:ascii="Arial" w:hAnsi="Arial" w:cs="Arial"/>
          <w:sz w:val="24"/>
          <w:szCs w:val="24"/>
        </w:rPr>
        <w:t xml:space="preserve">En suma, se advierte que el realizar la divulgación de la información materia del presente Acuerdo de Reserva parcial dejaría en estado de vulnerabilidad ante hechos delictivos y ante la delincuencia organizada, y por qué no incluso exponer a los servidores públicos a </w:t>
      </w:r>
      <w:r w:rsidRPr="009402BD">
        <w:rPr>
          <w:rFonts w:ascii="Arial" w:hAnsi="Arial" w:cs="Arial"/>
          <w:sz w:val="24"/>
          <w:szCs w:val="24"/>
        </w:rPr>
        <w:lastRenderedPageBreak/>
        <w:t>corrupción, toda vez que se daría a conocer la capacidad de reacción que tiene la Fiscalía General del Estado, como parte de las estrategias de las organizaciones criminales para seguir perpetuando sus conductas antijurídicas, por lo que la propia reglamentación señala que esta consulta es exclusiva de las instituciones de seguridad pública que estén facultadas en cada caso, a través de los servidores públicos que cada institución designe, por lo que el público no tendrá acceso a la información que en ellos se contenga. Pues, se establece que el personal de esta institución es adscrito a puntos estratégicos, con la finalidad de garantizar los derechos humanos consagrados en el numeral 20 fracción l aparado A) apegándose a diversos principios de corte político criminal, establece que el proceso penal será acusatorio y oral en México y tendrá como objeto:</w:t>
      </w:r>
    </w:p>
    <w:p w:rsidR="009402BD" w:rsidRPr="009402BD" w:rsidRDefault="009402BD" w:rsidP="0010632C">
      <w:pPr>
        <w:autoSpaceDE w:val="0"/>
        <w:autoSpaceDN w:val="0"/>
        <w:adjustRightInd w:val="0"/>
        <w:spacing w:after="0" w:line="240" w:lineRule="auto"/>
        <w:jc w:val="both"/>
        <w:rPr>
          <w:rFonts w:ascii="Arial" w:hAnsi="Arial" w:cs="Arial"/>
          <w:sz w:val="24"/>
          <w:szCs w:val="24"/>
        </w:rPr>
      </w:pPr>
      <w:r w:rsidRPr="009402BD">
        <w:rPr>
          <w:rFonts w:ascii="Arial" w:hAnsi="Arial" w:cs="Arial"/>
          <w:sz w:val="24"/>
          <w:szCs w:val="24"/>
        </w:rPr>
        <w:t>1) El esclarecimiento de los hechos</w:t>
      </w:r>
    </w:p>
    <w:p w:rsidR="009402BD" w:rsidRPr="009402BD" w:rsidRDefault="009402BD" w:rsidP="0010632C">
      <w:pPr>
        <w:autoSpaceDE w:val="0"/>
        <w:autoSpaceDN w:val="0"/>
        <w:adjustRightInd w:val="0"/>
        <w:spacing w:after="0" w:line="240" w:lineRule="auto"/>
        <w:jc w:val="both"/>
        <w:rPr>
          <w:rFonts w:ascii="Arial" w:hAnsi="Arial" w:cs="Arial"/>
          <w:sz w:val="24"/>
          <w:szCs w:val="24"/>
        </w:rPr>
      </w:pPr>
      <w:r w:rsidRPr="009402BD">
        <w:rPr>
          <w:rFonts w:ascii="Arial" w:hAnsi="Arial" w:cs="Arial"/>
          <w:sz w:val="24"/>
          <w:szCs w:val="24"/>
        </w:rPr>
        <w:t>2) Proteger al inocente.</w:t>
      </w:r>
    </w:p>
    <w:p w:rsidR="009402BD" w:rsidRPr="009402BD" w:rsidRDefault="009402BD" w:rsidP="0010632C">
      <w:pPr>
        <w:autoSpaceDE w:val="0"/>
        <w:autoSpaceDN w:val="0"/>
        <w:adjustRightInd w:val="0"/>
        <w:spacing w:after="0" w:line="240" w:lineRule="auto"/>
        <w:jc w:val="both"/>
        <w:rPr>
          <w:rFonts w:ascii="Arial" w:hAnsi="Arial" w:cs="Arial"/>
          <w:sz w:val="24"/>
          <w:szCs w:val="24"/>
        </w:rPr>
      </w:pPr>
      <w:r w:rsidRPr="009402BD">
        <w:rPr>
          <w:rFonts w:ascii="Arial" w:hAnsi="Arial" w:cs="Arial"/>
          <w:sz w:val="24"/>
          <w:szCs w:val="24"/>
        </w:rPr>
        <w:t>3) Procurar que el culpable no quede impune.</w:t>
      </w:r>
    </w:p>
    <w:p w:rsidR="007359E9" w:rsidRPr="009E1D25" w:rsidRDefault="009402BD" w:rsidP="0010632C">
      <w:pPr>
        <w:autoSpaceDE w:val="0"/>
        <w:autoSpaceDN w:val="0"/>
        <w:adjustRightInd w:val="0"/>
        <w:spacing w:after="0" w:line="240" w:lineRule="auto"/>
        <w:jc w:val="both"/>
        <w:rPr>
          <w:rFonts w:ascii="Arial" w:hAnsi="Arial" w:cs="Arial"/>
          <w:sz w:val="24"/>
          <w:szCs w:val="24"/>
        </w:rPr>
      </w:pPr>
      <w:r w:rsidRPr="009402BD">
        <w:rPr>
          <w:rFonts w:ascii="Arial" w:hAnsi="Arial" w:cs="Arial"/>
          <w:sz w:val="24"/>
          <w:szCs w:val="24"/>
        </w:rPr>
        <w:t>4) Que los daños causados por el delito se reparen.</w:t>
      </w:r>
    </w:p>
    <w:p w:rsidR="00BD2602" w:rsidRDefault="00BD2602" w:rsidP="003474AB">
      <w:pPr>
        <w:autoSpaceDE w:val="0"/>
        <w:autoSpaceDN w:val="0"/>
        <w:adjustRightInd w:val="0"/>
        <w:spacing w:line="240" w:lineRule="auto"/>
        <w:jc w:val="both"/>
        <w:rPr>
          <w:rFonts w:ascii="Arial" w:hAnsi="Arial" w:cs="Arial"/>
          <w:sz w:val="24"/>
          <w:szCs w:val="24"/>
          <w:u w:val="single"/>
        </w:rPr>
      </w:pPr>
    </w:p>
    <w:p w:rsidR="00F97B38" w:rsidRDefault="00045C57"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fracciones X</w:t>
      </w:r>
      <w:r w:rsidR="00C63668">
        <w:rPr>
          <w:rFonts w:ascii="Arial" w:hAnsi="Arial" w:cs="Arial"/>
          <w:sz w:val="24"/>
          <w:szCs w:val="24"/>
        </w:rPr>
        <w:t>I</w:t>
      </w:r>
      <w:r w:rsidR="00F97B38" w:rsidRPr="00E26106">
        <w:rPr>
          <w:rFonts w:ascii="Arial" w:hAnsi="Arial" w:cs="Arial"/>
          <w:sz w:val="24"/>
          <w:szCs w:val="24"/>
        </w:rPr>
        <w:t>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1435A4">
        <w:rPr>
          <w:rFonts w:ascii="Arial" w:hAnsi="Arial" w:cs="Arial"/>
          <w:sz w:val="24"/>
          <w:szCs w:val="24"/>
        </w:rPr>
        <w:t>La Directora General del Instituto Universitario de Ciencias Penales y Forenses, y Secretaria Técnica del Consejo de Carrera de Procuración de Justicia Rita Santillán Guzmán</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Artículo 118.</w:t>
      </w:r>
      <w:r w:rsidRPr="00604782">
        <w:rPr>
          <w:rFonts w:ascii="Arial" w:hAnsi="Arial" w:cs="Arial"/>
          <w:i/>
        </w:rPr>
        <w:t xml:space="preserve"> En la aplicación de la prueba de daño, el sujeto obligado deberá justificar que:</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lastRenderedPageBreak/>
        <w:t>I. La divulgación de la información representa un riesgo real, demostrable e identificable de perjuicio significativo al interés público;</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 El riesgo de perjuicio que supondría la divulgación supera el interés público general de que se difunda, y</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III. La limitación se adecua al principio de proporcionalidad y representa el medio menos restrictivo disponible para evitar el perjuicio.</w:t>
      </w:r>
    </w:p>
    <w:p w:rsidR="003474AB" w:rsidRPr="00604782" w:rsidRDefault="003474AB" w:rsidP="003474AB">
      <w:pPr>
        <w:spacing w:after="0" w:line="240" w:lineRule="auto"/>
        <w:ind w:left="142" w:right="-93"/>
        <w:jc w:val="both"/>
        <w:rPr>
          <w:rFonts w:ascii="Arial" w:hAnsi="Arial" w:cs="Arial"/>
          <w:b/>
          <w:i/>
        </w:rPr>
      </w:pP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Trigésimo tercero</w:t>
      </w:r>
      <w:r w:rsidRPr="00604782">
        <w:rPr>
          <w:rFonts w:ascii="Arial" w:hAnsi="Arial" w:cs="Arial"/>
          <w:i/>
        </w:rPr>
        <w:t>. Para la aplicación de la prueba de daño a la que hace referencia el artículo 104 de la Ley General, los sujetos obligados atenderán lo siguiente: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BD2602" w:rsidRDefault="00BD2602"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2C0021">
        <w:rPr>
          <w:rFonts w:ascii="Arial" w:eastAsia="Times New Roman" w:hAnsi="Arial" w:cs="Arial"/>
          <w:sz w:val="24"/>
          <w:szCs w:val="24"/>
          <w:lang w:val="es-ES"/>
        </w:rPr>
        <w:t>l</w:t>
      </w:r>
      <w:r w:rsidR="002C0021">
        <w:rPr>
          <w:rFonts w:ascii="Arial" w:hAnsi="Arial" w:cs="Arial"/>
          <w:sz w:val="24"/>
          <w:szCs w:val="24"/>
        </w:rPr>
        <w:t xml:space="preserve">a </w:t>
      </w:r>
      <w:r w:rsidR="00D52EEE">
        <w:rPr>
          <w:rFonts w:ascii="Arial" w:hAnsi="Arial" w:cs="Arial"/>
          <w:sz w:val="24"/>
          <w:szCs w:val="24"/>
        </w:rPr>
        <w:t xml:space="preserve">Directora General del Instituto Universitario de Ciencias Penales y Forenses </w:t>
      </w:r>
      <w:r w:rsidR="00583C1E">
        <w:rPr>
          <w:rFonts w:ascii="Arial" w:hAnsi="Arial" w:cs="Arial"/>
          <w:sz w:val="24"/>
          <w:szCs w:val="24"/>
        </w:rPr>
        <w:t xml:space="preserve">y Secretaria Técnica del Consejo de Carrera de Procuración de Justicia </w:t>
      </w:r>
      <w:r w:rsidR="00D52EEE">
        <w:rPr>
          <w:rFonts w:ascii="Arial" w:hAnsi="Arial" w:cs="Arial"/>
          <w:sz w:val="24"/>
          <w:szCs w:val="24"/>
        </w:rPr>
        <w:t xml:space="preserve">Rita Santillán Guzmán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w:t>
      </w:r>
      <w:r w:rsidR="00263864">
        <w:rPr>
          <w:rFonts w:ascii="Arial" w:hAnsi="Arial" w:cs="Arial"/>
          <w:sz w:val="24"/>
          <w:szCs w:val="24"/>
        </w:rPr>
        <w:lastRenderedPageBreak/>
        <w:t>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C63668" w:rsidRPr="008169B6" w:rsidRDefault="007D0511" w:rsidP="003474AB">
      <w:pPr>
        <w:jc w:val="both"/>
        <w:rPr>
          <w:rFonts w:ascii="Arial" w:eastAsia="Times New Roman" w:hAnsi="Arial" w:cs="Arial"/>
          <w:sz w:val="24"/>
          <w:szCs w:val="24"/>
          <w:lang w:eastAsia="es-ES"/>
        </w:rPr>
      </w:pPr>
      <w:r>
        <w:rPr>
          <w:rFonts w:ascii="Arial" w:eastAsia="Times New Roman" w:hAnsi="Arial" w:cs="Arial"/>
          <w:sz w:val="24"/>
          <w:szCs w:val="24"/>
          <w:lang w:eastAsia="es-ES"/>
        </w:rPr>
        <w:lastRenderedPageBreak/>
        <w:t>Ú</w:t>
      </w:r>
      <w:r w:rsidRPr="007D0511">
        <w:rPr>
          <w:rFonts w:ascii="Arial" w:eastAsia="Times New Roman" w:hAnsi="Arial" w:cs="Arial"/>
          <w:sz w:val="24"/>
          <w:szCs w:val="24"/>
          <w:lang w:eastAsia="es-ES"/>
        </w:rPr>
        <w:t>nicamente en lo correspondiente al Acta de la Primer Sesión Ordinaria de Consejo de Carrera de Procuración de Justicia, llevada a cabo en dos reuniones de trabajo, los días 15 y 23 de enero del año 2025, y los puntos de acuerdo tomados en sesión, relativo a: nombre completo, cargo, edad, incidencias de permiso prejubilatorio, edad avanzada y renuncia voluntaria, fecha que solicita, fecha de presentación de solicitud, fecha de ingreso, antigüedad, fecha de cómputo pensiones, resolución de Ministerios Públicos, policías investigadores y peritos. Participación general, canalización a evaluaciones de control de confianza, resultados de formación inicial, resultados de examen de oposición, lo anterior de Ministerios Públicos, policías investigadores y peritos. Plan de ingreso para nuevos integrantes para Ministerios Públicos, policías investigadores y peritos. Aprobación de número (listados) de Ministerios Públicos, policías investigadores y peritos. Vigencia de la lista de reserva. Aprobación del plan de ingreso de Ministerios Públicos, policías investigadores y peritos. Proceso de migración de contratos trimestrales a contratos por tiempo indeterminado.</w:t>
      </w: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427CA6">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427CA6">
        <w:rPr>
          <w:rFonts w:ascii="Arial" w:eastAsia="Times New Roman" w:hAnsi="Arial" w:cs="Arial"/>
          <w:b/>
          <w:sz w:val="24"/>
          <w:szCs w:val="24"/>
        </w:rPr>
        <w:t>septiembre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4430F4">
        <w:rPr>
          <w:rFonts w:ascii="Arial" w:hAnsi="Arial" w:cs="Arial"/>
          <w:b/>
          <w:sz w:val="24"/>
          <w:szCs w:val="24"/>
        </w:rPr>
        <w:t>CC</w:t>
      </w:r>
      <w:r w:rsidR="00583C1E">
        <w:rPr>
          <w:rFonts w:ascii="Arial" w:hAnsi="Arial" w:cs="Arial"/>
          <w:b/>
          <w:sz w:val="24"/>
          <w:szCs w:val="24"/>
        </w:rPr>
        <w:t>P</w:t>
      </w:r>
      <w:r w:rsidR="004430F4">
        <w:rPr>
          <w:rFonts w:ascii="Arial" w:hAnsi="Arial" w:cs="Arial"/>
          <w:b/>
          <w:sz w:val="24"/>
          <w:szCs w:val="24"/>
        </w:rPr>
        <w:t>J/AR/01/2025</w:t>
      </w:r>
      <w:r w:rsidR="004430F4"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2C0021">
        <w:rPr>
          <w:rFonts w:ascii="Arial" w:hAnsi="Arial" w:cs="Arial"/>
          <w:sz w:val="24"/>
          <w:szCs w:val="24"/>
        </w:rPr>
        <w:t>la</w:t>
      </w:r>
      <w:r w:rsidR="00C63668">
        <w:rPr>
          <w:rFonts w:ascii="Arial" w:hAnsi="Arial" w:cs="Arial"/>
          <w:sz w:val="24"/>
          <w:szCs w:val="24"/>
        </w:rPr>
        <w:t xml:space="preserve"> Directora General del Instituto Universitario de Ciencias Penales y Forenses Rita Santillán Guzmán</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2C0021">
        <w:rPr>
          <w:rFonts w:ascii="Arial" w:hAnsi="Arial" w:cs="Arial"/>
          <w:sz w:val="24"/>
          <w:szCs w:val="24"/>
        </w:rPr>
        <w:t xml:space="preserve"> la</w:t>
      </w:r>
      <w:r w:rsidR="00C63668">
        <w:rPr>
          <w:rFonts w:ascii="Arial" w:hAnsi="Arial" w:cs="Arial"/>
          <w:sz w:val="24"/>
          <w:szCs w:val="24"/>
        </w:rPr>
        <w:t xml:space="preserve"> </w:t>
      </w:r>
      <w:r w:rsidR="001435A4">
        <w:rPr>
          <w:rFonts w:ascii="Arial" w:hAnsi="Arial" w:cs="Arial"/>
          <w:sz w:val="24"/>
          <w:szCs w:val="24"/>
        </w:rPr>
        <w:t>Directora General del Instituto Universitario de Ciencias Penales y Forenses, y Secretaria Técnica del Consejo de Carrera de Procuración de Justicia Rita Santillán Guzmán</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7D0511"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 la</w:t>
      </w:r>
      <w:r w:rsidR="001435A4">
        <w:rPr>
          <w:rFonts w:ascii="Arial" w:hAnsi="Arial" w:cs="Arial"/>
          <w:sz w:val="24"/>
          <w:szCs w:val="24"/>
        </w:rPr>
        <w:t xml:space="preserve"> Directora General del Instituto Universitario de Ciencias Penales y Forenses, y Secretaria Técnica del Consejo de Carrera de Procuración de Justicia Rita Santillán Guzmán</w:t>
      </w:r>
      <w:r w:rsidR="00672FE8"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lastRenderedPageBreak/>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7D0511" w:rsidRDefault="007D0511" w:rsidP="005F0249">
      <w:pPr>
        <w:spacing w:line="240" w:lineRule="auto"/>
        <w:jc w:val="center"/>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5F0249">
      <w:pPr>
        <w:spacing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4430F4">
        <w:rPr>
          <w:rFonts w:ascii="Arial" w:hAnsi="Arial" w:cs="Arial"/>
          <w:b/>
          <w:sz w:val="24"/>
          <w:szCs w:val="24"/>
        </w:rPr>
        <w:t>CC</w:t>
      </w:r>
      <w:r w:rsidR="0010632C">
        <w:rPr>
          <w:rFonts w:ascii="Arial" w:hAnsi="Arial" w:cs="Arial"/>
          <w:b/>
          <w:sz w:val="24"/>
          <w:szCs w:val="24"/>
        </w:rPr>
        <w:t>P</w:t>
      </w:r>
      <w:r w:rsidR="004430F4">
        <w:rPr>
          <w:rFonts w:ascii="Arial" w:hAnsi="Arial" w:cs="Arial"/>
          <w:b/>
          <w:sz w:val="24"/>
          <w:szCs w:val="24"/>
        </w:rPr>
        <w:t>J/AR/01/2025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2C0021">
        <w:rPr>
          <w:rFonts w:ascii="Arial" w:hAnsi="Arial" w:cs="Arial"/>
          <w:sz w:val="24"/>
          <w:szCs w:val="24"/>
        </w:rPr>
        <w:t>la</w:t>
      </w:r>
      <w:r w:rsidR="001435A4">
        <w:rPr>
          <w:rFonts w:ascii="Arial" w:hAnsi="Arial" w:cs="Arial"/>
          <w:sz w:val="24"/>
          <w:szCs w:val="24"/>
        </w:rPr>
        <w:t xml:space="preserve"> Directora General del Instituto Universitario de Ciencias Penales y Forenses, y Secretaria Técnica del Consejo de Carrera de Procuración de Justicia Rita Santillán Guzmán</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6E0A39" w:rsidRDefault="00476EF2" w:rsidP="006E0A39">
      <w:pPr>
        <w:spacing w:line="240" w:lineRule="auto"/>
        <w:jc w:val="both"/>
        <w:rPr>
          <w:rFonts w:ascii="Arial" w:hAnsi="Arial" w:cs="Arial"/>
          <w:sz w:val="24"/>
          <w:szCs w:val="24"/>
        </w:rPr>
      </w:pPr>
      <w:r w:rsidRPr="00115CE3">
        <w:rPr>
          <w:rFonts w:ascii="Arial" w:hAnsi="Arial" w:cs="Arial"/>
          <w:b/>
          <w:sz w:val="24"/>
          <w:szCs w:val="24"/>
        </w:rPr>
        <w:t xml:space="preserve">SEGUNDO. </w:t>
      </w:r>
      <w:r w:rsidR="006E0A39">
        <w:rPr>
          <w:rFonts w:ascii="Arial" w:hAnsi="Arial" w:cs="Arial"/>
          <w:sz w:val="24"/>
          <w:szCs w:val="24"/>
        </w:rPr>
        <w:t>La Directora General del Instituto Universitario de Ciencias Penales y Forenses, y Secretaria Técnica del Consejo de Carrera de Procuración de Justicia Rita Santillán Guzmán</w:t>
      </w:r>
      <w:r w:rsidR="006E0A39"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6E0A39" w:rsidRPr="00115CE3">
        <w:rPr>
          <w:rFonts w:ascii="Arial" w:hAnsi="Arial" w:cs="Arial"/>
          <w:i/>
          <w:sz w:val="24"/>
          <w:szCs w:val="24"/>
        </w:rPr>
        <w:t>tercero</w:t>
      </w:r>
      <w:r w:rsidR="006E0A39" w:rsidRPr="00115CE3">
        <w:rPr>
          <w:rFonts w:ascii="Arial" w:hAnsi="Arial" w:cs="Arial"/>
          <w:sz w:val="24"/>
          <w:szCs w:val="24"/>
        </w:rPr>
        <w:t xml:space="preserve"> fracción III de la presente resolución.</w:t>
      </w:r>
    </w:p>
    <w:p w:rsidR="006E0A39" w:rsidRDefault="00476EF2" w:rsidP="006E0A39">
      <w:pPr>
        <w:spacing w:line="240" w:lineRule="auto"/>
        <w:jc w:val="both"/>
        <w:rPr>
          <w:rFonts w:ascii="Arial" w:hAnsi="Arial" w:cs="Arial"/>
          <w:sz w:val="24"/>
          <w:szCs w:val="24"/>
        </w:rPr>
      </w:pPr>
      <w:r w:rsidRPr="00115CE3">
        <w:rPr>
          <w:rFonts w:ascii="Arial" w:hAnsi="Arial" w:cs="Arial"/>
          <w:b/>
          <w:sz w:val="24"/>
          <w:szCs w:val="24"/>
        </w:rPr>
        <w:t xml:space="preserve">TERCERO. </w:t>
      </w:r>
      <w:r w:rsidR="006E0A39" w:rsidRPr="00115CE3">
        <w:rPr>
          <w:rFonts w:ascii="Arial" w:hAnsi="Arial" w:cs="Arial"/>
          <w:sz w:val="24"/>
          <w:szCs w:val="24"/>
        </w:rPr>
        <w:t>Se instruye</w:t>
      </w:r>
      <w:r w:rsidR="006E0A39">
        <w:rPr>
          <w:rFonts w:ascii="Arial" w:hAnsi="Arial" w:cs="Arial"/>
          <w:sz w:val="24"/>
          <w:szCs w:val="24"/>
        </w:rPr>
        <w:t xml:space="preserve"> a</w:t>
      </w:r>
      <w:r w:rsidR="006E0A39" w:rsidRPr="00115CE3">
        <w:rPr>
          <w:rFonts w:ascii="Arial" w:hAnsi="Arial" w:cs="Arial"/>
          <w:sz w:val="24"/>
          <w:szCs w:val="24"/>
        </w:rPr>
        <w:t xml:space="preserve"> </w:t>
      </w:r>
      <w:r w:rsidR="006E0A39">
        <w:rPr>
          <w:rFonts w:ascii="Arial" w:hAnsi="Arial" w:cs="Arial"/>
          <w:sz w:val="24"/>
          <w:szCs w:val="24"/>
        </w:rPr>
        <w:t>la Directora General del Instituto Universitario de Ciencias Penales y Forenses, y Secretaria Técnica del Consejo de Carrera de Procuración de Justicia Rita Santillán Guzmán</w:t>
      </w:r>
      <w:r w:rsidR="006E0A39" w:rsidRPr="00115CE3">
        <w:rPr>
          <w:rFonts w:ascii="Arial" w:hAnsi="Arial" w:cs="Arial"/>
          <w:sz w:val="24"/>
          <w:szCs w:val="24"/>
        </w:rPr>
        <w:t xml:space="preserve">, para que dé cumplimiento a los efectos de la presente resolución establecidos en el considerando </w:t>
      </w:r>
      <w:r w:rsidR="006E0A39" w:rsidRPr="00115CE3">
        <w:rPr>
          <w:rFonts w:ascii="Arial" w:hAnsi="Arial" w:cs="Arial"/>
          <w:i/>
          <w:sz w:val="24"/>
          <w:szCs w:val="24"/>
        </w:rPr>
        <w:t>tercero</w:t>
      </w:r>
      <w:r w:rsidR="006E0A39" w:rsidRPr="00115CE3">
        <w:rPr>
          <w:rFonts w:ascii="Arial" w:hAnsi="Arial" w:cs="Arial"/>
          <w:sz w:val="24"/>
          <w:szCs w:val="24"/>
        </w:rPr>
        <w:t xml:space="preserve"> fracción V.</w:t>
      </w:r>
    </w:p>
    <w:bookmarkEnd w:id="1"/>
    <w:p w:rsidR="0064745D" w:rsidRDefault="009819AE" w:rsidP="005F0249">
      <w:pPr>
        <w:spacing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1435A4">
        <w:rPr>
          <w:rFonts w:ascii="Arial" w:hAnsi="Arial" w:cs="Arial"/>
          <w:b/>
          <w:sz w:val="24"/>
          <w:szCs w:val="24"/>
        </w:rPr>
        <w:t>70</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752543" w:rsidRDefault="00752543" w:rsidP="00EF1D58">
      <w:pPr>
        <w:spacing w:after="0"/>
        <w:rPr>
          <w:rFonts w:ascii="Arial" w:hAnsi="Arial" w:cs="Arial"/>
          <w:sz w:val="24"/>
          <w:szCs w:val="24"/>
        </w:rPr>
      </w:pPr>
    </w:p>
    <w:p w:rsidR="00C63668" w:rsidRDefault="00C63668" w:rsidP="00EF1D58">
      <w:pPr>
        <w:spacing w:after="0"/>
        <w:jc w:val="both"/>
        <w:rPr>
          <w:rFonts w:ascii="Arial" w:hAnsi="Arial" w:cs="Arial"/>
          <w:sz w:val="24"/>
          <w:szCs w:val="24"/>
          <w:highlight w:val="yellow"/>
        </w:rPr>
      </w:pPr>
    </w:p>
    <w:p w:rsidR="00C63668" w:rsidRPr="00115CE3" w:rsidRDefault="00C63668"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C63668" w:rsidRDefault="00C63668" w:rsidP="00EF1D58">
      <w:pPr>
        <w:tabs>
          <w:tab w:val="left" w:pos="8998"/>
          <w:tab w:val="left" w:pos="9932"/>
        </w:tabs>
        <w:spacing w:before="20" w:after="0"/>
        <w:rPr>
          <w:rFonts w:ascii="Arial" w:eastAsia="Arial" w:hAnsi="Arial" w:cs="Arial"/>
          <w:b/>
          <w:sz w:val="24"/>
          <w:szCs w:val="24"/>
        </w:rPr>
      </w:pPr>
    </w:p>
    <w:p w:rsidR="006E0A39" w:rsidRDefault="006E0A39" w:rsidP="00EF1D58">
      <w:pPr>
        <w:tabs>
          <w:tab w:val="left" w:pos="8998"/>
          <w:tab w:val="left" w:pos="9932"/>
        </w:tabs>
        <w:spacing w:before="20" w:after="0"/>
        <w:rPr>
          <w:rFonts w:ascii="Arial" w:eastAsia="Arial" w:hAnsi="Arial" w:cs="Arial"/>
          <w:b/>
          <w:sz w:val="24"/>
          <w:szCs w:val="24"/>
        </w:rPr>
      </w:pPr>
    </w:p>
    <w:p w:rsidR="006E0A39" w:rsidRDefault="006E0A39"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480799" w:rsidP="00EF1D58">
      <w:pPr>
        <w:spacing w:after="0"/>
        <w:rPr>
          <w:rFonts w:ascii="Arial" w:hAnsi="Arial" w:cs="Arial"/>
          <w:b/>
          <w:sz w:val="24"/>
          <w:szCs w:val="24"/>
        </w:rPr>
      </w:pPr>
      <w:r w:rsidRPr="00115CE3">
        <w:rPr>
          <w:rFonts w:ascii="Arial" w:hAnsi="Arial" w:cs="Arial"/>
          <w:b/>
          <w:sz w:val="24"/>
          <w:szCs w:val="24"/>
        </w:rPr>
        <w:t xml:space="preserve">LICENCIADO JOSÉ PEDRO GÓMEZ ÁVILA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2A169C" w:rsidRDefault="002A169C" w:rsidP="00EF1D58">
      <w:pPr>
        <w:spacing w:after="0"/>
        <w:rPr>
          <w:rFonts w:ascii="Arial" w:hAnsi="Arial" w:cs="Arial"/>
          <w:b/>
          <w:sz w:val="24"/>
          <w:szCs w:val="24"/>
        </w:rPr>
      </w:pPr>
    </w:p>
    <w:p w:rsidR="00C63668" w:rsidRDefault="00C63668" w:rsidP="00EF1D58">
      <w:pPr>
        <w:spacing w:after="0"/>
        <w:rPr>
          <w:rFonts w:ascii="Arial" w:hAnsi="Arial" w:cs="Arial"/>
          <w:b/>
          <w:sz w:val="24"/>
          <w:szCs w:val="24"/>
        </w:rPr>
      </w:pPr>
    </w:p>
    <w:p w:rsidR="006E0A39" w:rsidRDefault="006E0A39" w:rsidP="00EF1D58">
      <w:pPr>
        <w:spacing w:after="0"/>
        <w:rPr>
          <w:rFonts w:ascii="Arial" w:hAnsi="Arial" w:cs="Arial"/>
          <w:b/>
          <w:sz w:val="24"/>
          <w:szCs w:val="24"/>
        </w:rPr>
      </w:pPr>
    </w:p>
    <w:p w:rsidR="00C63668" w:rsidRDefault="00C63668"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10F78" w:rsidRDefault="00310F78">
      <w:r>
        <w:separator/>
      </w:r>
    </w:p>
  </w:endnote>
  <w:endnote w:type="continuationSeparator" w:id="0">
    <w:p w:rsidR="00310F78" w:rsidRDefault="00310F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C652A" w:rsidRDefault="00EC652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C652A" w:rsidRDefault="00EC652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10F78" w:rsidRDefault="00310F78">
      <w:r>
        <w:separator/>
      </w:r>
    </w:p>
  </w:footnote>
  <w:footnote w:type="continuationSeparator" w:id="0">
    <w:p w:rsidR="00310F78" w:rsidRDefault="00310F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C652A" w:rsidRDefault="00EC652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255016"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EC652A">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255017"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-59690</wp:posOffset>
              </wp:positionH>
              <wp:positionV relativeFrom="paragraph">
                <wp:posOffset>50165</wp:posOffset>
              </wp:positionV>
              <wp:extent cx="6484620" cy="558800"/>
              <wp:effectExtent l="19050" t="19050" r="11430" b="12700"/>
              <wp:wrapNone/>
              <wp:docPr id="2" name="2 Cuadro de texto"/>
              <wp:cNvGraphicFramePr/>
              <a:graphic xmlns:a="http://schemas.openxmlformats.org/drawingml/2006/main">
                <a:graphicData uri="http://schemas.microsoft.com/office/word/2010/wordprocessingShape">
                  <wps:wsp>
                    <wps:cNvSpPr txBox="1"/>
                    <wps:spPr>
                      <a:xfrm>
                        <a:off x="0" y="0"/>
                        <a:ext cx="6484620" cy="55880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A1409E">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377032">
                            <w:rPr>
                              <w:rFonts w:ascii="Arial" w:hAnsi="Arial" w:cs="Arial"/>
                              <w:b/>
                              <w:color w:val="FFFFFF" w:themeColor="background1"/>
                              <w:sz w:val="18"/>
                              <w:szCs w:val="18"/>
                              <w:lang w:val="es-ES"/>
                            </w:rPr>
                            <w:t>CCPJ/AR/01/2025</w:t>
                          </w:r>
                          <w:r w:rsidR="009819AE" w:rsidRPr="00D338A0">
                            <w:rPr>
                              <w:rFonts w:ascii="Arial" w:hAnsi="Arial" w:cs="Arial"/>
                              <w:color w:val="FFFFFF" w:themeColor="background1"/>
                              <w:sz w:val="18"/>
                              <w:szCs w:val="18"/>
                              <w:lang w:val="es-ES"/>
                            </w:rPr>
                            <w:t xml:space="preserve"> que emite </w:t>
                          </w:r>
                          <w:r w:rsidR="002C0021">
                            <w:rPr>
                              <w:rFonts w:ascii="Arial" w:hAnsi="Arial" w:cs="Arial"/>
                              <w:color w:val="FFFFFF" w:themeColor="background1"/>
                              <w:sz w:val="18"/>
                              <w:szCs w:val="18"/>
                              <w:lang w:val="es-ES"/>
                            </w:rPr>
                            <w:t xml:space="preserve">la </w:t>
                          </w:r>
                          <w:r w:rsidR="005E19DB">
                            <w:rPr>
                              <w:rFonts w:ascii="Arial" w:hAnsi="Arial" w:cs="Arial"/>
                              <w:color w:val="FFFFFF" w:themeColor="background1"/>
                              <w:sz w:val="18"/>
                              <w:szCs w:val="18"/>
                              <w:lang w:val="es-ES"/>
                            </w:rPr>
                            <w:t>Directora General del Instituto Universi</w:t>
                          </w:r>
                          <w:r w:rsidR="001435A4">
                            <w:rPr>
                              <w:rFonts w:ascii="Arial" w:hAnsi="Arial" w:cs="Arial"/>
                              <w:color w:val="FFFFFF" w:themeColor="background1"/>
                              <w:sz w:val="18"/>
                              <w:szCs w:val="18"/>
                              <w:lang w:val="es-ES"/>
                            </w:rPr>
                            <w:t>tario de Ciencias Penales y Forenses y Secretaria Técnica del Consejo de Carrera de Procuración de Justicia.</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7pt;margin-top:3.95pt;width:510.6pt;height:44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hFRowIAAOoFAAAOAAAAZHJzL2Uyb0RvYy54bWysVE1vEzEQvSPxHyzf6SZR0oaomyqkKkIq&#10;tKIgzo7Xbixsj7Gd7IZfz9jOJilUSEVcdsczz/PxZjyXV53RZCt8UGBrOjwbUCIsh0bZx5p+/XLz&#10;ZkpJiMw2TIMVNd2JQK/mr19dtm4mRrAG3QhP0IkNs9bVdB2jm1VV4GthWDgDJywaJXjDIh79Y9V4&#10;1qJ3o6vRYHBeteAb54GLEFB7XYx0nv1LKXi8kzKISHRNMbeYvz5/V+lbzS/Z7NEzt1Z8nwb7hywM&#10;UxaDHlxds8jIxqs/XBnFPQSQ8YyDqUBKxUWuAasZDn6r5mHNnMi1IDnBHWgK/88t/7S990Q1NR1R&#10;YpnBFo3IcsMaD6QRJIouQiKpdWGG2AeH6Ni9gw6b3esDKlPtnfQm/bEqgnake3egGP0Qjsrz8XR8&#10;PkITR9tkMp0Ocg+q423nQ3wvwJAk1NRjCzOzbHsbImaC0B6SggXQqrlRWudDGhux1J5sGTY8dsN8&#10;VW/MR2iK7mIyKCHZDNU4HEU96tXoPg9f8pKDPQmgLWmRoenkYpI9PzEe7hWXjHNhY8E9m8HfQqFN&#10;21SSyEO8Lz11obCdpbjTImG0/SwkNjGT/gwPJZPcr+wX0QklkbWXXNzjj1m95HKpo48MNh4uG2XB&#10;Fzaftq/53qcsCx77cVJ3EmO36vL0HoZxBc0OZ9RDeerB8RuFg3TLQrxnHt82zh7uq3iHH6kBuwl7&#10;iZI1+J/P6RMenxxaKWlxV9Q0/NgwLyjRHyw+xrfD8Tgtl3wYTy7SfPtTy+rUYjdmCTidQ9yMjmcx&#10;4aPuRenBfMO1tkhR0cQsx9g4zr24jGWD4VrkYrHIIFwnjsVb++B4cp2aZGGxiSBVfjWJrcLNnkVc&#10;KHm+98svbazTc0YdV/T8FwAAAP//AwBQSwMEFAAGAAgAAAAhADdm6XrbAAAACAEAAA8AAABkcnMv&#10;ZG93bnJldi54bWxMj81OwzAQhO9IvIO1SFxQ6wQKNGk2FSBxRerPA2zjJYkar5PYbcPb457gOJrR&#10;zDfFerKdOvPoWycI6TwBxVI500qNsN99zpagfCAx1DlhhB/2sC5vbwrKjbvIhs/bUKtYIj4nhCaE&#10;PtfaVw1b8nPXs0Tv242WQpRjrc1Il1huO/2YJC/aUitxoaGePxqujtuTReifhp3fL5qvd1oOIsMD&#10;Se0J8f5ueluBCjyFvzBc8SM6lJHp4E5ivOoQZtkiJhFeM1BXO0nTeOWAkD1noMtC/z9Q/gIAAP//&#10;AwBQSwECLQAUAAYACAAAACEAtoM4kv4AAADhAQAAEwAAAAAAAAAAAAAAAAAAAAAAW0NvbnRlbnRf&#10;VHlwZXNdLnhtbFBLAQItABQABgAIAAAAIQA4/SH/1gAAAJQBAAALAAAAAAAAAAAAAAAAAC8BAABf&#10;cmVscy8ucmVsc1BLAQItABQABgAIAAAAIQCvmhFRowIAAOoFAAAOAAAAAAAAAAAAAAAAAC4CAABk&#10;cnMvZTJvRG9jLnhtbFBLAQItABQABgAIAAAAIQA3Zul62wAAAAgBAAAPAAAAAAAAAAAAAAAAAP0E&#10;AABkcnMvZG93bnJldi54bWxQSwUGAAAAAAQABADzAAAABQY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A1409E">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377032">
                      <w:rPr>
                        <w:rFonts w:ascii="Arial" w:hAnsi="Arial" w:cs="Arial"/>
                        <w:b/>
                        <w:color w:val="FFFFFF" w:themeColor="background1"/>
                        <w:sz w:val="18"/>
                        <w:szCs w:val="18"/>
                        <w:lang w:val="es-ES"/>
                      </w:rPr>
                      <w:t>CCPJ/AR/01/2025</w:t>
                    </w:r>
                    <w:r w:rsidR="009819AE" w:rsidRPr="00D338A0">
                      <w:rPr>
                        <w:rFonts w:ascii="Arial" w:hAnsi="Arial" w:cs="Arial"/>
                        <w:color w:val="FFFFFF" w:themeColor="background1"/>
                        <w:sz w:val="18"/>
                        <w:szCs w:val="18"/>
                        <w:lang w:val="es-ES"/>
                      </w:rPr>
                      <w:t xml:space="preserve"> que emite </w:t>
                    </w:r>
                    <w:r w:rsidR="002C0021">
                      <w:rPr>
                        <w:rFonts w:ascii="Arial" w:hAnsi="Arial" w:cs="Arial"/>
                        <w:color w:val="FFFFFF" w:themeColor="background1"/>
                        <w:sz w:val="18"/>
                        <w:szCs w:val="18"/>
                        <w:lang w:val="es-ES"/>
                      </w:rPr>
                      <w:t xml:space="preserve">la </w:t>
                    </w:r>
                    <w:r w:rsidR="005E19DB">
                      <w:rPr>
                        <w:rFonts w:ascii="Arial" w:hAnsi="Arial" w:cs="Arial"/>
                        <w:color w:val="FFFFFF" w:themeColor="background1"/>
                        <w:sz w:val="18"/>
                        <w:szCs w:val="18"/>
                        <w:lang w:val="es-ES"/>
                      </w:rPr>
                      <w:t>Directora General del Instituto Universi</w:t>
                    </w:r>
                    <w:r w:rsidR="001435A4">
                      <w:rPr>
                        <w:rFonts w:ascii="Arial" w:hAnsi="Arial" w:cs="Arial"/>
                        <w:color w:val="FFFFFF" w:themeColor="background1"/>
                        <w:sz w:val="18"/>
                        <w:szCs w:val="18"/>
                        <w:lang w:val="es-ES"/>
                      </w:rPr>
                      <w:t>tario de Ciencias Penales y Forenses y Secretaria Técnica del Consejo de Carrera de Procuración de Justicia.</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C652A" w:rsidRDefault="00EC652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255015"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152F"/>
    <w:rsid w:val="00091F6F"/>
    <w:rsid w:val="00092311"/>
    <w:rsid w:val="00097461"/>
    <w:rsid w:val="000A001A"/>
    <w:rsid w:val="000B4E59"/>
    <w:rsid w:val="000B4E6F"/>
    <w:rsid w:val="000B5998"/>
    <w:rsid w:val="000C04FF"/>
    <w:rsid w:val="000C09C1"/>
    <w:rsid w:val="000C3B69"/>
    <w:rsid w:val="000C4F3A"/>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632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35A4"/>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0F78"/>
    <w:rsid w:val="00311032"/>
    <w:rsid w:val="00311B65"/>
    <w:rsid w:val="00314F14"/>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617AB"/>
    <w:rsid w:val="00364780"/>
    <w:rsid w:val="00374F51"/>
    <w:rsid w:val="00375ED0"/>
    <w:rsid w:val="00376B01"/>
    <w:rsid w:val="00377032"/>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30F4"/>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3C1E"/>
    <w:rsid w:val="00584024"/>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19DB"/>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E0A39"/>
    <w:rsid w:val="006E21D7"/>
    <w:rsid w:val="006E6D1D"/>
    <w:rsid w:val="006F077F"/>
    <w:rsid w:val="006F086E"/>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9E9"/>
    <w:rsid w:val="00740F43"/>
    <w:rsid w:val="0074193F"/>
    <w:rsid w:val="0074476D"/>
    <w:rsid w:val="007450C6"/>
    <w:rsid w:val="007460DC"/>
    <w:rsid w:val="0074687D"/>
    <w:rsid w:val="00752543"/>
    <w:rsid w:val="00752DEA"/>
    <w:rsid w:val="0076137E"/>
    <w:rsid w:val="00761E70"/>
    <w:rsid w:val="007644EB"/>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0511"/>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02BD"/>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3675"/>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5574"/>
    <w:rsid w:val="00C760CF"/>
    <w:rsid w:val="00C76C0B"/>
    <w:rsid w:val="00C8519A"/>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F11DE"/>
    <w:rsid w:val="00CF5326"/>
    <w:rsid w:val="00CF5772"/>
    <w:rsid w:val="00D01046"/>
    <w:rsid w:val="00D024F4"/>
    <w:rsid w:val="00D0353D"/>
    <w:rsid w:val="00D06E6C"/>
    <w:rsid w:val="00D07876"/>
    <w:rsid w:val="00D123AA"/>
    <w:rsid w:val="00D14ED2"/>
    <w:rsid w:val="00D156E9"/>
    <w:rsid w:val="00D2520C"/>
    <w:rsid w:val="00D3222A"/>
    <w:rsid w:val="00D338A0"/>
    <w:rsid w:val="00D342D3"/>
    <w:rsid w:val="00D343CB"/>
    <w:rsid w:val="00D37E78"/>
    <w:rsid w:val="00D44519"/>
    <w:rsid w:val="00D44B8D"/>
    <w:rsid w:val="00D4742A"/>
    <w:rsid w:val="00D47683"/>
    <w:rsid w:val="00D511D2"/>
    <w:rsid w:val="00D516AB"/>
    <w:rsid w:val="00D52B99"/>
    <w:rsid w:val="00D52C0F"/>
    <w:rsid w:val="00D52EEE"/>
    <w:rsid w:val="00D534BA"/>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52A"/>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C5874D-D67D-4BBA-8947-1D8B379EFF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10</Pages>
  <Words>3961</Words>
  <Characters>21790</Characters>
  <Application>Microsoft Office Word</Application>
  <DocSecurity>0</DocSecurity>
  <Lines>181</Lines>
  <Paragraphs>51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25700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9</cp:revision>
  <cp:lastPrinted>2025-09-08T20:33:00Z</cp:lastPrinted>
  <dcterms:created xsi:type="dcterms:W3CDTF">2025-09-02T17:52:00Z</dcterms:created>
  <dcterms:modified xsi:type="dcterms:W3CDTF">2025-09-18T17:37:00Z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