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A49B05" w14:textId="77777777" w:rsidR="00624872" w:rsidRPr="00624872" w:rsidRDefault="00624872" w:rsidP="00624872">
      <w:pPr>
        <w:spacing w:line="360" w:lineRule="auto"/>
        <w:ind w:firstLine="708"/>
        <w:jc w:val="both"/>
        <w:rPr>
          <w:rFonts w:ascii="Arial" w:eastAsia="Batang" w:hAnsi="Arial" w:cs="Arial"/>
          <w:sz w:val="22"/>
        </w:rPr>
      </w:pPr>
      <w:r w:rsidRPr="00624872">
        <w:rPr>
          <w:rFonts w:ascii="Arial" w:eastAsia="Batang" w:hAnsi="Arial" w:cs="Arial"/>
          <w:b/>
          <w:sz w:val="22"/>
        </w:rPr>
        <w:t>Vistos. I.</w:t>
      </w:r>
      <w:r w:rsidRPr="00624872">
        <w:rPr>
          <w:rFonts w:ascii="Arial" w:eastAsia="Batang" w:hAnsi="Arial" w:cs="Arial"/>
          <w:sz w:val="22"/>
        </w:rPr>
        <w:t xml:space="preserve"> El estado procesal del expediente citado al rubro, se procede a realizar el acuerdo correspondiente conforme a los siguientes: </w:t>
      </w:r>
    </w:p>
    <w:p w14:paraId="08F278FF" w14:textId="7BE4FC0D" w:rsidR="006E3DBD" w:rsidRPr="00B93599" w:rsidRDefault="006E3DBD" w:rsidP="006E3DBD">
      <w:pPr>
        <w:spacing w:line="360" w:lineRule="auto"/>
        <w:ind w:right="111"/>
        <w:jc w:val="center"/>
        <w:rPr>
          <w:rFonts w:ascii="Arial" w:eastAsia="Arial" w:hAnsi="Arial" w:cs="Arial"/>
          <w:b/>
          <w:spacing w:val="1"/>
          <w:sz w:val="22"/>
          <w:szCs w:val="22"/>
          <w:lang w:eastAsia="en-US"/>
        </w:rPr>
      </w:pPr>
    </w:p>
    <w:p w14:paraId="1AA679FB" w14:textId="78973D29" w:rsidR="00A27C50" w:rsidRPr="00B93599" w:rsidRDefault="00A27C50" w:rsidP="006E3DBD">
      <w:pPr>
        <w:spacing w:line="360" w:lineRule="auto"/>
        <w:ind w:right="111"/>
        <w:jc w:val="center"/>
        <w:rPr>
          <w:rFonts w:ascii="Arial" w:eastAsia="Arial" w:hAnsi="Arial" w:cs="Arial"/>
          <w:b/>
          <w:spacing w:val="1"/>
          <w:sz w:val="22"/>
          <w:szCs w:val="22"/>
          <w:lang w:eastAsia="en-US"/>
        </w:rPr>
      </w:pPr>
      <w:r w:rsidRPr="00B93599">
        <w:rPr>
          <w:rFonts w:ascii="Arial" w:eastAsia="Arial" w:hAnsi="Arial" w:cs="Arial"/>
          <w:b/>
          <w:spacing w:val="1"/>
          <w:sz w:val="22"/>
          <w:szCs w:val="22"/>
          <w:lang w:eastAsia="en-US"/>
        </w:rPr>
        <w:t>ANTECEDENTES</w:t>
      </w:r>
    </w:p>
    <w:p w14:paraId="39481309" w14:textId="0C0721CF" w:rsidR="00A27C50" w:rsidRPr="00B93599" w:rsidRDefault="00A27C50" w:rsidP="006E3DBD">
      <w:pPr>
        <w:spacing w:line="360" w:lineRule="auto"/>
        <w:ind w:right="111"/>
        <w:jc w:val="center"/>
        <w:rPr>
          <w:rFonts w:ascii="Arial" w:eastAsia="Arial" w:hAnsi="Arial" w:cs="Arial"/>
          <w:b/>
          <w:spacing w:val="1"/>
          <w:sz w:val="22"/>
          <w:szCs w:val="22"/>
          <w:lang w:eastAsia="en-US"/>
        </w:rPr>
      </w:pPr>
    </w:p>
    <w:p w14:paraId="2D7137EE" w14:textId="77777777" w:rsidR="00EC3236" w:rsidRPr="00EC3236" w:rsidRDefault="00EC3236" w:rsidP="00EC3236">
      <w:pPr>
        <w:spacing w:line="360" w:lineRule="auto"/>
        <w:ind w:firstLine="709"/>
        <w:jc w:val="both"/>
        <w:rPr>
          <w:rFonts w:ascii="Arial" w:eastAsia="Arial Unicode MS" w:hAnsi="Arial" w:cs="Arial"/>
          <w:sz w:val="22"/>
        </w:rPr>
      </w:pPr>
      <w:r w:rsidRPr="00EC3236">
        <w:rPr>
          <w:rFonts w:ascii="Arial" w:eastAsia="Arial Unicode MS" w:hAnsi="Arial" w:cs="Arial"/>
          <w:b/>
          <w:sz w:val="22"/>
        </w:rPr>
        <w:t>PRIMERO.</w:t>
      </w:r>
      <w:r w:rsidRPr="00EC3236">
        <w:rPr>
          <w:rFonts w:ascii="Arial" w:eastAsia="Arial Unicode MS" w:hAnsi="Arial" w:cs="Arial"/>
          <w:sz w:val="22"/>
        </w:rPr>
        <w:t xml:space="preserve"> </w:t>
      </w:r>
      <w:r w:rsidRPr="00EC3236">
        <w:rPr>
          <w:rFonts w:ascii="Arial" w:eastAsia="Arial Unicode MS" w:hAnsi="Arial" w:cs="Arial"/>
          <w:b/>
          <w:sz w:val="22"/>
        </w:rPr>
        <w:t>Solicitud de acceso a la información pública.</w:t>
      </w:r>
      <w:r w:rsidRPr="00EC3236">
        <w:rPr>
          <w:rFonts w:ascii="Arial" w:eastAsia="Arial Unicode MS" w:hAnsi="Arial" w:cs="Arial"/>
          <w:sz w:val="22"/>
        </w:rPr>
        <w:t xml:space="preserve"> El</w:t>
      </w:r>
      <w:r w:rsidRPr="00EC3236">
        <w:rPr>
          <w:rFonts w:ascii="Arial" w:eastAsia="Arial Unicode MS" w:hAnsi="Arial" w:cs="Arial"/>
          <w:color w:val="FF0000"/>
          <w:sz w:val="22"/>
        </w:rPr>
        <w:t xml:space="preserve"> dos de julio de dos mil veinticinco</w:t>
      </w:r>
      <w:r w:rsidRPr="00EC3236">
        <w:rPr>
          <w:rFonts w:ascii="Arial" w:eastAsia="Arial Unicode MS" w:hAnsi="Arial" w:cs="Arial"/>
          <w:sz w:val="22"/>
        </w:rPr>
        <w:t xml:space="preserve">, la persona recurrente presentó una solicitud de acceso a la información, ante el </w:t>
      </w:r>
      <w:r w:rsidRPr="00EC3236">
        <w:rPr>
          <w:rFonts w:ascii="Arial" w:eastAsia="Arial Unicode MS" w:hAnsi="Arial" w:cs="Arial"/>
          <w:b/>
          <w:sz w:val="22"/>
        </w:rPr>
        <w:t>Consejo de la Judicatura del</w:t>
      </w:r>
      <w:r w:rsidRPr="00EC3236">
        <w:rPr>
          <w:rFonts w:ascii="Arial" w:eastAsia="Arial Unicode MS" w:hAnsi="Arial" w:cs="Arial"/>
          <w:sz w:val="22"/>
        </w:rPr>
        <w:t xml:space="preserve"> </w:t>
      </w:r>
      <w:r w:rsidRPr="00EC3236">
        <w:rPr>
          <w:rFonts w:ascii="Arial" w:eastAsia="Arial Unicode MS" w:hAnsi="Arial" w:cs="Arial"/>
          <w:b/>
          <w:sz w:val="22"/>
        </w:rPr>
        <w:t>Poder Judicial del Estado de San Luis Potosí</w:t>
      </w:r>
      <w:r w:rsidRPr="00EC3236">
        <w:rPr>
          <w:rFonts w:ascii="Arial" w:eastAsia="Arial Unicode MS" w:hAnsi="Arial" w:cs="Arial"/>
          <w:sz w:val="22"/>
        </w:rPr>
        <w:t xml:space="preserve">, en la que se requirió: </w:t>
      </w:r>
    </w:p>
    <w:p w14:paraId="6B7B837E" w14:textId="77777777" w:rsidR="00EC3236" w:rsidRPr="00EC3236" w:rsidRDefault="00EC3236" w:rsidP="00EC3236">
      <w:pPr>
        <w:spacing w:line="360" w:lineRule="auto"/>
        <w:ind w:firstLine="709"/>
        <w:jc w:val="both"/>
        <w:rPr>
          <w:rFonts w:ascii="Arial" w:eastAsia="Arial Unicode MS" w:hAnsi="Arial" w:cs="Arial"/>
          <w:sz w:val="22"/>
        </w:rPr>
      </w:pPr>
    </w:p>
    <w:p w14:paraId="7C707766" w14:textId="77777777" w:rsidR="00EC3236" w:rsidRPr="00EC3236" w:rsidRDefault="00EC3236" w:rsidP="00EC3236">
      <w:pPr>
        <w:ind w:left="1134" w:right="1183"/>
        <w:jc w:val="both"/>
        <w:rPr>
          <w:rFonts w:ascii="Arial" w:eastAsia="Arial Unicode MS" w:hAnsi="Arial" w:cs="Arial"/>
          <w:sz w:val="20"/>
        </w:rPr>
      </w:pPr>
      <w:r w:rsidRPr="00EC3236">
        <w:rPr>
          <w:rFonts w:ascii="Arial" w:eastAsia="Arial Unicode MS" w:hAnsi="Arial" w:cs="Arial"/>
          <w:sz w:val="20"/>
        </w:rPr>
        <w:t>“[…]Copia simple o versión electrónica de todos los convenios suscritos entre el Consejo de la Judicatura del Poder Judicial del Estado de San Luis Potosí y las personas que hayan laborado en dicho Poder Judicial, cuyo objeto consista en establecer los términos, condiciones o compromisos relativos al pago de los conceptos de “Estimulo por Años de Servicio” y “Liquidación por Jubilación”, ya sea de manera individual, colectiva o bien, a través de mecanismos extraordinarios, durante los años 2018, 2019, 2020 y 2021.</w:t>
      </w:r>
    </w:p>
    <w:p w14:paraId="2C392B47" w14:textId="77777777" w:rsidR="00EC3236" w:rsidRPr="00EC3236" w:rsidRDefault="00EC3236" w:rsidP="00EC3236">
      <w:pPr>
        <w:ind w:left="1134" w:right="1183"/>
        <w:jc w:val="both"/>
        <w:rPr>
          <w:rFonts w:ascii="Arial" w:eastAsia="Arial Unicode MS" w:hAnsi="Arial" w:cs="Arial"/>
          <w:sz w:val="20"/>
        </w:rPr>
      </w:pPr>
      <w:r w:rsidRPr="00EC3236">
        <w:rPr>
          <w:rFonts w:ascii="Arial" w:eastAsia="Arial Unicode MS" w:hAnsi="Arial" w:cs="Arial"/>
          <w:sz w:val="20"/>
        </w:rPr>
        <w:t>Finalidad del requerimiento: El propósito de esta solicitud es conocer el uso de recursos públicos en materia de estímulos por años de servicio y liquidaciones por jubilaciones, así como los compromisos establecidos por el Consejo de la Judicatura con ex empleados del Poder Judicial.</w:t>
      </w:r>
    </w:p>
    <w:p w14:paraId="6EC113D8" w14:textId="77777777" w:rsidR="00EC3236" w:rsidRPr="00EC3236" w:rsidRDefault="00EC3236" w:rsidP="00EC3236">
      <w:pPr>
        <w:ind w:left="1134" w:right="1183"/>
        <w:jc w:val="both"/>
        <w:rPr>
          <w:rFonts w:ascii="Arial" w:eastAsia="Arial Unicode MS" w:hAnsi="Arial" w:cs="Arial"/>
          <w:sz w:val="20"/>
        </w:rPr>
      </w:pPr>
      <w:r w:rsidRPr="00EC3236">
        <w:rPr>
          <w:rFonts w:ascii="Arial" w:eastAsia="Arial Unicode MS" w:hAnsi="Arial" w:cs="Arial"/>
          <w:sz w:val="20"/>
        </w:rPr>
        <w:t>Modalidad de entrega: solicito la entrega de información por correo electrónico. […]”.</w:t>
      </w:r>
    </w:p>
    <w:p w14:paraId="4081B72A" w14:textId="77777777" w:rsidR="00A27C50" w:rsidRPr="00B93599" w:rsidRDefault="00A27C50" w:rsidP="00A27C50">
      <w:pPr>
        <w:tabs>
          <w:tab w:val="left" w:pos="7230"/>
          <w:tab w:val="left" w:pos="7371"/>
        </w:tabs>
        <w:ind w:right="1072"/>
        <w:jc w:val="both"/>
        <w:rPr>
          <w:rFonts w:ascii="Arial" w:hAnsi="Arial" w:cs="Arial"/>
          <w:bCs/>
          <w:iCs/>
          <w:sz w:val="22"/>
          <w:szCs w:val="22"/>
          <w:lang w:val="es-MX"/>
        </w:rPr>
      </w:pPr>
      <w:r w:rsidRPr="00B93599">
        <w:rPr>
          <w:rFonts w:ascii="Arial" w:hAnsi="Arial" w:cs="Arial"/>
          <w:bCs/>
          <w:iCs/>
          <w:sz w:val="22"/>
          <w:szCs w:val="22"/>
          <w:lang w:val="es-MX"/>
        </w:rPr>
        <w:t xml:space="preserve">                                                                                                     </w:t>
      </w:r>
    </w:p>
    <w:p w14:paraId="7D14D173" w14:textId="54FAC827" w:rsidR="007B55B0" w:rsidRPr="00B93599" w:rsidRDefault="00A27C50" w:rsidP="00A27C50">
      <w:pPr>
        <w:spacing w:line="360" w:lineRule="auto"/>
        <w:ind w:right="-91" w:firstLine="708"/>
        <w:jc w:val="both"/>
        <w:rPr>
          <w:rFonts w:ascii="Arial" w:hAnsi="Arial" w:cs="Arial"/>
          <w:sz w:val="22"/>
          <w:szCs w:val="22"/>
          <w:lang w:val="es-MX"/>
        </w:rPr>
      </w:pPr>
      <w:r w:rsidRPr="00B93599">
        <w:rPr>
          <w:rFonts w:ascii="Arial" w:hAnsi="Arial" w:cs="Arial"/>
          <w:b/>
          <w:sz w:val="22"/>
          <w:szCs w:val="22"/>
        </w:rPr>
        <w:t>SEGUNDO.</w:t>
      </w:r>
      <w:r w:rsidRPr="00B93599">
        <w:rPr>
          <w:rFonts w:ascii="Arial" w:hAnsi="Arial" w:cs="Arial"/>
          <w:sz w:val="22"/>
          <w:szCs w:val="22"/>
        </w:rPr>
        <w:t xml:space="preserve"> </w:t>
      </w:r>
      <w:r w:rsidRPr="00B93599">
        <w:rPr>
          <w:rFonts w:ascii="Arial" w:hAnsi="Arial" w:cs="Arial"/>
          <w:sz w:val="22"/>
          <w:szCs w:val="22"/>
          <w:lang w:val="es-MX"/>
        </w:rPr>
        <w:t xml:space="preserve">El </w:t>
      </w:r>
      <w:r w:rsidR="00EC3236">
        <w:rPr>
          <w:rFonts w:ascii="Arial" w:hAnsi="Arial" w:cs="Arial"/>
          <w:sz w:val="22"/>
          <w:szCs w:val="22"/>
          <w:lang w:val="es-MX"/>
        </w:rPr>
        <w:t>diecinueve de agosto de dos mil veinticinco</w:t>
      </w:r>
      <w:r w:rsidR="002A20FF" w:rsidRPr="00B93599">
        <w:rPr>
          <w:rFonts w:ascii="Arial" w:hAnsi="Arial" w:cs="Arial"/>
          <w:sz w:val="22"/>
          <w:szCs w:val="22"/>
          <w:lang w:val="es-MX"/>
        </w:rPr>
        <w:t xml:space="preserve">, derivado de la </w:t>
      </w:r>
      <w:r w:rsidR="004310F2" w:rsidRPr="00B93599">
        <w:rPr>
          <w:rFonts w:ascii="Arial" w:hAnsi="Arial" w:cs="Arial"/>
          <w:sz w:val="22"/>
          <w:szCs w:val="22"/>
          <w:lang w:val="es-MX"/>
        </w:rPr>
        <w:t>inconformidad</w:t>
      </w:r>
      <w:r w:rsidR="002A20FF" w:rsidRPr="00B93599">
        <w:rPr>
          <w:rFonts w:ascii="Arial" w:hAnsi="Arial" w:cs="Arial"/>
          <w:sz w:val="22"/>
          <w:szCs w:val="22"/>
          <w:lang w:val="es-MX"/>
        </w:rPr>
        <w:t xml:space="preserve"> </w:t>
      </w:r>
      <w:r w:rsidR="004310F2" w:rsidRPr="00B93599">
        <w:rPr>
          <w:rFonts w:ascii="Arial" w:hAnsi="Arial" w:cs="Arial"/>
          <w:sz w:val="22"/>
          <w:szCs w:val="22"/>
          <w:lang w:val="es-MX"/>
        </w:rPr>
        <w:t>con la</w:t>
      </w:r>
      <w:r w:rsidR="002A20FF" w:rsidRPr="00B93599">
        <w:rPr>
          <w:rFonts w:ascii="Arial" w:hAnsi="Arial" w:cs="Arial"/>
          <w:sz w:val="22"/>
          <w:szCs w:val="22"/>
          <w:lang w:val="es-MX"/>
        </w:rPr>
        <w:t xml:space="preserve"> respuesta</w:t>
      </w:r>
      <w:r w:rsidR="004310F2" w:rsidRPr="00B93599">
        <w:rPr>
          <w:rFonts w:ascii="Arial" w:hAnsi="Arial" w:cs="Arial"/>
          <w:sz w:val="22"/>
          <w:szCs w:val="22"/>
          <w:lang w:val="es-MX"/>
        </w:rPr>
        <w:t xml:space="preserve"> otorgada</w:t>
      </w:r>
      <w:r w:rsidR="002A20FF" w:rsidRPr="00B93599">
        <w:rPr>
          <w:rFonts w:ascii="Arial" w:hAnsi="Arial" w:cs="Arial"/>
          <w:sz w:val="22"/>
          <w:szCs w:val="22"/>
          <w:lang w:val="es-MX"/>
        </w:rPr>
        <w:t xml:space="preserve"> por parte del sujeto obligado, la ahora parte recurrente ocurrió a esta Comisión, para efecto de interponer el recurso de revisión que hoy nos ocupa.</w:t>
      </w:r>
    </w:p>
    <w:p w14:paraId="2D2B6A1A" w14:textId="77777777" w:rsidR="007B55B0" w:rsidRPr="00B93599" w:rsidRDefault="007B55B0" w:rsidP="00A27C50">
      <w:pPr>
        <w:spacing w:line="360" w:lineRule="auto"/>
        <w:ind w:right="-91" w:firstLine="708"/>
        <w:jc w:val="both"/>
        <w:rPr>
          <w:rFonts w:ascii="Arial" w:hAnsi="Arial" w:cs="Arial"/>
          <w:sz w:val="22"/>
          <w:szCs w:val="22"/>
          <w:lang w:val="es-MX"/>
        </w:rPr>
      </w:pPr>
    </w:p>
    <w:p w14:paraId="4B5C9CCD" w14:textId="7B36365C" w:rsidR="00A27C50" w:rsidRPr="00B93599" w:rsidRDefault="007B55B0" w:rsidP="00A27C50">
      <w:pPr>
        <w:spacing w:line="360" w:lineRule="auto"/>
        <w:ind w:right="-91" w:firstLine="708"/>
        <w:jc w:val="both"/>
        <w:rPr>
          <w:rFonts w:ascii="Arial" w:hAnsi="Arial" w:cs="Arial"/>
          <w:sz w:val="22"/>
          <w:szCs w:val="22"/>
          <w:lang w:val="es-MX"/>
        </w:rPr>
      </w:pPr>
      <w:r w:rsidRPr="00B93599">
        <w:rPr>
          <w:rFonts w:ascii="Arial" w:hAnsi="Arial" w:cs="Arial"/>
          <w:b/>
          <w:sz w:val="22"/>
          <w:szCs w:val="22"/>
          <w:lang w:val="es-MX"/>
        </w:rPr>
        <w:t>TERCERO.</w:t>
      </w:r>
      <w:r w:rsidRPr="00B93599">
        <w:rPr>
          <w:rFonts w:ascii="Arial" w:hAnsi="Arial" w:cs="Arial"/>
          <w:sz w:val="22"/>
          <w:szCs w:val="22"/>
          <w:lang w:val="es-MX"/>
        </w:rPr>
        <w:t xml:space="preserve"> Con fecha </w:t>
      </w:r>
      <w:r w:rsidR="00EC3236">
        <w:rPr>
          <w:rFonts w:ascii="Arial" w:hAnsi="Arial" w:cs="Arial"/>
          <w:sz w:val="22"/>
          <w:szCs w:val="22"/>
          <w:lang w:val="es-MX"/>
        </w:rPr>
        <w:t>cinco de noviembre de dos mil veinticinco</w:t>
      </w:r>
      <w:r w:rsidR="00A27C50" w:rsidRPr="00B93599">
        <w:rPr>
          <w:rFonts w:ascii="Arial" w:hAnsi="Arial" w:cs="Arial"/>
          <w:sz w:val="22"/>
          <w:szCs w:val="22"/>
          <w:lang w:val="es-MX"/>
        </w:rPr>
        <w:t xml:space="preserve">, derivado de la interposición del presente recurso de revisión, este Órgano Garante determinó </w:t>
      </w:r>
      <w:r w:rsidR="00EC3236">
        <w:rPr>
          <w:rFonts w:ascii="Arial" w:hAnsi="Arial" w:cs="Arial"/>
          <w:b/>
          <w:sz w:val="22"/>
          <w:szCs w:val="22"/>
          <w:lang w:val="es-MX"/>
        </w:rPr>
        <w:t>revocar</w:t>
      </w:r>
      <w:r w:rsidRPr="00B93599">
        <w:rPr>
          <w:rFonts w:ascii="Arial" w:hAnsi="Arial" w:cs="Arial"/>
          <w:sz w:val="22"/>
          <w:szCs w:val="22"/>
          <w:lang w:val="es-MX"/>
        </w:rPr>
        <w:t xml:space="preserve"> la</w:t>
      </w:r>
      <w:r w:rsidR="00A27C50" w:rsidRPr="00B93599">
        <w:rPr>
          <w:rFonts w:ascii="Arial" w:hAnsi="Arial" w:cs="Arial"/>
          <w:sz w:val="22"/>
          <w:szCs w:val="22"/>
          <w:lang w:val="es-MX"/>
        </w:rPr>
        <w:t xml:space="preserve"> respuesta del Sujeto Obligado, por lo que se le conminó para efecto de </w:t>
      </w:r>
      <w:r w:rsidR="004310F2" w:rsidRPr="00B93599">
        <w:rPr>
          <w:rFonts w:ascii="Arial" w:hAnsi="Arial" w:cs="Arial"/>
          <w:sz w:val="22"/>
          <w:szCs w:val="22"/>
          <w:lang w:val="es-MX"/>
        </w:rPr>
        <w:t>que</w:t>
      </w:r>
      <w:r w:rsidR="00A27C50" w:rsidRPr="00B93599">
        <w:rPr>
          <w:rFonts w:ascii="Arial" w:hAnsi="Arial" w:cs="Arial"/>
          <w:sz w:val="22"/>
          <w:szCs w:val="22"/>
          <w:lang w:val="es-MX"/>
        </w:rPr>
        <w:t xml:space="preserve">:  </w:t>
      </w:r>
    </w:p>
    <w:p w14:paraId="3AF83672" w14:textId="77777777" w:rsidR="00A27C50" w:rsidRPr="00B93599" w:rsidRDefault="00A27C50" w:rsidP="00A27C50">
      <w:pPr>
        <w:ind w:left="1134" w:right="1183"/>
        <w:jc w:val="both"/>
        <w:rPr>
          <w:rFonts w:ascii="Arial" w:hAnsi="Arial" w:cs="Arial"/>
          <w:sz w:val="22"/>
          <w:szCs w:val="22"/>
          <w:shd w:val="clear" w:color="auto" w:fill="FFFFFF"/>
          <w:lang w:val="es-MX" w:eastAsia="es-MX"/>
        </w:rPr>
      </w:pPr>
    </w:p>
    <w:p w14:paraId="4F082EB1" w14:textId="77777777" w:rsidR="00EC3236" w:rsidRPr="00EC3236" w:rsidRDefault="00EC3236" w:rsidP="00EC3236">
      <w:pPr>
        <w:pStyle w:val="Estilo"/>
        <w:ind w:left="1134" w:right="1183"/>
        <w:rPr>
          <w:rFonts w:cs="Arial"/>
          <w:sz w:val="20"/>
          <w:szCs w:val="24"/>
        </w:rPr>
      </w:pPr>
      <w:r w:rsidRPr="00EC3236">
        <w:rPr>
          <w:rFonts w:cs="Arial"/>
          <w:b/>
          <w:sz w:val="20"/>
          <w:szCs w:val="24"/>
        </w:rPr>
        <w:t xml:space="preserve">8.1. Precisiones de esta resolución. </w:t>
      </w:r>
      <w:r w:rsidRPr="00EC3236">
        <w:rPr>
          <w:rFonts w:cs="Arial"/>
          <w:sz w:val="20"/>
          <w:szCs w:val="24"/>
        </w:rPr>
        <w:t xml:space="preserve">El Sujeto Obligado </w:t>
      </w:r>
      <w:r w:rsidRPr="00EC3236">
        <w:rPr>
          <w:rFonts w:cs="Arial"/>
          <w:bCs/>
          <w:sz w:val="20"/>
          <w:szCs w:val="24"/>
        </w:rPr>
        <w:t>deberá realizar la entrega de la información solicitada por la ahora parte recurrente, con excepción de aquella que actualice alguna de las causales de restricción del ejercicio del derecho de acceso a la información pública precisadas en la Ley de la materia</w:t>
      </w:r>
      <w:r w:rsidRPr="00EC3236">
        <w:rPr>
          <w:rFonts w:cs="Arial"/>
          <w:sz w:val="20"/>
          <w:szCs w:val="24"/>
          <w:lang w:val="es-ES_tradnl"/>
        </w:rPr>
        <w:t xml:space="preserve">. </w:t>
      </w:r>
    </w:p>
    <w:p w14:paraId="3BEADEC4" w14:textId="77777777" w:rsidR="00EC3236" w:rsidRPr="00EC3236" w:rsidRDefault="00EC3236" w:rsidP="00EC3236">
      <w:pPr>
        <w:pStyle w:val="Textoindependienteprimerasangra"/>
        <w:numPr>
          <w:ilvl w:val="0"/>
          <w:numId w:val="5"/>
        </w:numPr>
        <w:spacing w:after="0" w:line="240" w:lineRule="auto"/>
        <w:ind w:left="1134" w:right="1183" w:firstLine="0"/>
        <w:rPr>
          <w:rFonts w:ascii="Arial" w:hAnsi="Arial" w:cs="Arial"/>
          <w:sz w:val="20"/>
        </w:rPr>
      </w:pPr>
      <w:r w:rsidRPr="00EC3236">
        <w:rPr>
          <w:rFonts w:ascii="Arial" w:hAnsi="Arial" w:cs="Arial"/>
          <w:sz w:val="20"/>
        </w:rPr>
        <w:t>En caso de que se actualice la figura de excepción al derecho de acceso a la información de confidencialidad, el Obligado deberá proceder conforme a lo establecido en el artículo 159 de la Ley de Transparencia y Acceso a la Información Pública del Estado es decir, que en caso de que los sujetos obligados consideren que los documentos o la información deba ser clasificada, el Comité de Transparencia, deberá resolver sobre si es procedente la clasificación y notificar la resolución al particular, en los términos señalados en el considerando cuarto.</w:t>
      </w:r>
    </w:p>
    <w:p w14:paraId="3C70D48D" w14:textId="77777777" w:rsidR="00EC3236" w:rsidRPr="00EC3236" w:rsidRDefault="00EC3236" w:rsidP="00EC3236">
      <w:pPr>
        <w:pStyle w:val="Textoindependienteprimerasangra"/>
        <w:spacing w:after="0" w:line="240" w:lineRule="auto"/>
        <w:ind w:left="1134" w:right="1183" w:firstLine="0"/>
        <w:rPr>
          <w:rFonts w:ascii="Arial" w:hAnsi="Arial" w:cs="Arial"/>
          <w:sz w:val="20"/>
        </w:rPr>
      </w:pPr>
      <w:r w:rsidRPr="00EC3236">
        <w:rPr>
          <w:rFonts w:ascii="Arial" w:hAnsi="Arial" w:cs="Arial"/>
          <w:sz w:val="20"/>
        </w:rPr>
        <w:lastRenderedPageBreak/>
        <w:t>Asimismo, el Obligado deberá realizar la versión pública que corresponda conforme lo establecido en el artículo 125 de la Ley de Transparencia Local, observando para su elaboración lo establecido en el artículo sexagésimo de los Lineamientos de Clasificación Desclasificación de la Información, así como para la Elaboración de Versiones Públicas.</w:t>
      </w:r>
    </w:p>
    <w:p w14:paraId="133292CF" w14:textId="77777777" w:rsidR="00DD32E0" w:rsidRPr="00B93599" w:rsidRDefault="00DD32E0" w:rsidP="00DD32E0">
      <w:pPr>
        <w:tabs>
          <w:tab w:val="left" w:pos="7371"/>
        </w:tabs>
        <w:ind w:left="1134" w:right="1070"/>
        <w:contextualSpacing/>
        <w:jc w:val="both"/>
        <w:rPr>
          <w:rFonts w:ascii="Arial" w:hAnsi="Arial" w:cs="Arial"/>
          <w:sz w:val="22"/>
          <w:szCs w:val="22"/>
          <w:lang w:val="es-MX"/>
        </w:rPr>
      </w:pPr>
    </w:p>
    <w:p w14:paraId="651DCC53" w14:textId="6776B670" w:rsidR="00FD493F" w:rsidRPr="00B93599" w:rsidRDefault="0013713C" w:rsidP="00BE5415">
      <w:pPr>
        <w:tabs>
          <w:tab w:val="left" w:pos="709"/>
        </w:tabs>
        <w:spacing w:line="360" w:lineRule="auto"/>
        <w:ind w:right="49" w:firstLine="709"/>
        <w:contextualSpacing/>
        <w:jc w:val="both"/>
        <w:rPr>
          <w:rFonts w:ascii="Arial" w:hAnsi="Arial" w:cs="Arial"/>
          <w:sz w:val="22"/>
          <w:szCs w:val="22"/>
          <w:shd w:val="clear" w:color="auto" w:fill="FFFFFF"/>
          <w:lang w:val="es-MX" w:eastAsia="es-MX"/>
        </w:rPr>
      </w:pPr>
      <w:r w:rsidRPr="00B93599">
        <w:rPr>
          <w:rFonts w:ascii="Arial" w:hAnsi="Arial" w:cs="Arial"/>
          <w:b/>
          <w:sz w:val="22"/>
          <w:szCs w:val="22"/>
          <w:shd w:val="clear" w:color="auto" w:fill="FFFFFF"/>
          <w:lang w:val="es-MX" w:eastAsia="es-MX"/>
        </w:rPr>
        <w:t xml:space="preserve">CUARTO. </w:t>
      </w:r>
      <w:r w:rsidRPr="00B93599">
        <w:rPr>
          <w:rFonts w:ascii="Arial" w:hAnsi="Arial" w:cs="Arial"/>
          <w:sz w:val="22"/>
          <w:szCs w:val="22"/>
          <w:shd w:val="clear" w:color="auto" w:fill="FFFFFF"/>
          <w:lang w:val="es-MX" w:eastAsia="es-MX"/>
        </w:rPr>
        <w:t xml:space="preserve">Con fecha </w:t>
      </w:r>
      <w:r w:rsidR="00EC3236">
        <w:rPr>
          <w:rFonts w:ascii="Arial" w:hAnsi="Arial" w:cs="Arial"/>
          <w:sz w:val="22"/>
          <w:szCs w:val="22"/>
          <w:shd w:val="clear" w:color="auto" w:fill="FFFFFF"/>
          <w:lang w:val="es-MX" w:eastAsia="es-MX"/>
        </w:rPr>
        <w:t>dos de diciembre de dos mil veinticinco</w:t>
      </w:r>
      <w:r w:rsidRPr="00B93599">
        <w:rPr>
          <w:rFonts w:ascii="Arial" w:hAnsi="Arial" w:cs="Arial"/>
          <w:sz w:val="22"/>
          <w:szCs w:val="22"/>
          <w:shd w:val="clear" w:color="auto" w:fill="FFFFFF"/>
          <w:lang w:val="es-MX" w:eastAsia="es-MX"/>
        </w:rPr>
        <w:t xml:space="preserve">, </w:t>
      </w:r>
      <w:r w:rsidR="00EC3236">
        <w:rPr>
          <w:rFonts w:ascii="Arial" w:hAnsi="Arial" w:cs="Arial"/>
          <w:sz w:val="22"/>
          <w:szCs w:val="22"/>
          <w:shd w:val="clear" w:color="auto" w:fill="FFFFFF"/>
          <w:lang w:val="es-MX" w:eastAsia="es-MX"/>
        </w:rPr>
        <w:t xml:space="preserve">se emitió un auto por el cual </w:t>
      </w:r>
      <w:r w:rsidR="001555AE" w:rsidRPr="00B93599">
        <w:rPr>
          <w:rFonts w:ascii="Arial" w:hAnsi="Arial" w:cs="Arial"/>
          <w:sz w:val="22"/>
          <w:szCs w:val="22"/>
          <w:shd w:val="clear" w:color="auto" w:fill="FFFFFF"/>
          <w:lang w:val="es-MX" w:eastAsia="es-MX"/>
        </w:rPr>
        <w:t>se</w:t>
      </w:r>
      <w:r w:rsidR="00EC3236">
        <w:rPr>
          <w:rFonts w:ascii="Arial" w:hAnsi="Arial" w:cs="Arial"/>
          <w:sz w:val="22"/>
          <w:szCs w:val="22"/>
          <w:shd w:val="clear" w:color="auto" w:fill="FFFFFF"/>
          <w:lang w:val="es-MX" w:eastAsia="es-MX"/>
        </w:rPr>
        <w:t xml:space="preserve"> tuvieron por</w:t>
      </w:r>
      <w:r w:rsidR="001555AE" w:rsidRPr="00B93599">
        <w:rPr>
          <w:rFonts w:ascii="Arial" w:hAnsi="Arial" w:cs="Arial"/>
          <w:sz w:val="22"/>
          <w:szCs w:val="22"/>
          <w:shd w:val="clear" w:color="auto" w:fill="FFFFFF"/>
          <w:lang w:val="es-MX" w:eastAsia="es-MX"/>
        </w:rPr>
        <w:t xml:space="preserve"> </w:t>
      </w:r>
      <w:r w:rsidR="00B93599" w:rsidRPr="00B93599">
        <w:rPr>
          <w:rFonts w:ascii="Arial" w:hAnsi="Arial" w:cs="Arial"/>
          <w:sz w:val="22"/>
          <w:szCs w:val="22"/>
          <w:shd w:val="clear" w:color="auto" w:fill="FFFFFF"/>
          <w:lang w:val="es-MX" w:eastAsia="es-MX"/>
        </w:rPr>
        <w:t>recibi</w:t>
      </w:r>
      <w:r w:rsidR="00EC3236">
        <w:rPr>
          <w:rFonts w:ascii="Arial" w:hAnsi="Arial" w:cs="Arial"/>
          <w:sz w:val="22"/>
          <w:szCs w:val="22"/>
          <w:shd w:val="clear" w:color="auto" w:fill="FFFFFF"/>
          <w:lang w:val="es-MX" w:eastAsia="es-MX"/>
        </w:rPr>
        <w:t>dos</w:t>
      </w:r>
      <w:r w:rsidR="00B93599" w:rsidRPr="00B93599">
        <w:rPr>
          <w:rFonts w:ascii="Arial" w:hAnsi="Arial" w:cs="Arial"/>
          <w:sz w:val="22"/>
          <w:szCs w:val="22"/>
          <w:shd w:val="clear" w:color="auto" w:fill="FFFFFF"/>
          <w:lang w:val="es-MX" w:eastAsia="es-MX"/>
        </w:rPr>
        <w:t xml:space="preserve"> </w:t>
      </w:r>
      <w:r w:rsidR="00EC3236">
        <w:rPr>
          <w:rFonts w:ascii="Arial" w:hAnsi="Arial" w:cs="Arial"/>
          <w:sz w:val="22"/>
          <w:szCs w:val="22"/>
          <w:shd w:val="clear" w:color="auto" w:fill="FFFFFF"/>
          <w:lang w:val="es-MX" w:eastAsia="es-MX"/>
        </w:rPr>
        <w:t>los oficios número UT/497/2025 y UT/499/2025</w:t>
      </w:r>
      <w:r w:rsidR="00B93599" w:rsidRPr="00B93599">
        <w:rPr>
          <w:rFonts w:ascii="Arial" w:hAnsi="Arial" w:cs="Arial"/>
          <w:sz w:val="22"/>
          <w:szCs w:val="22"/>
        </w:rPr>
        <w:t>, emitido</w:t>
      </w:r>
      <w:r w:rsidR="00EC3236">
        <w:rPr>
          <w:rFonts w:ascii="Arial" w:hAnsi="Arial" w:cs="Arial"/>
          <w:sz w:val="22"/>
          <w:szCs w:val="22"/>
        </w:rPr>
        <w:t>s respectivamente</w:t>
      </w:r>
      <w:r w:rsidR="00B93599" w:rsidRPr="00B93599">
        <w:rPr>
          <w:rFonts w:ascii="Arial" w:hAnsi="Arial" w:cs="Arial"/>
          <w:sz w:val="22"/>
          <w:szCs w:val="22"/>
        </w:rPr>
        <w:t xml:space="preserve"> el </w:t>
      </w:r>
      <w:r w:rsidR="00EC3236">
        <w:rPr>
          <w:rFonts w:ascii="Arial" w:hAnsi="Arial" w:cs="Arial"/>
          <w:sz w:val="22"/>
          <w:szCs w:val="22"/>
        </w:rPr>
        <w:t>veintisiete y veintiocho, ambos de noviembre de dos mil veinticinco</w:t>
      </w:r>
      <w:r w:rsidR="00B93599" w:rsidRPr="00B93599">
        <w:rPr>
          <w:rFonts w:ascii="Arial" w:hAnsi="Arial" w:cs="Arial"/>
          <w:sz w:val="22"/>
          <w:szCs w:val="22"/>
        </w:rPr>
        <w:t xml:space="preserve">, por el </w:t>
      </w:r>
      <w:r w:rsidR="00EC3236">
        <w:rPr>
          <w:rFonts w:ascii="Arial" w:hAnsi="Arial" w:cs="Arial"/>
          <w:sz w:val="22"/>
          <w:szCs w:val="22"/>
        </w:rPr>
        <w:t>Director de la</w:t>
      </w:r>
      <w:r w:rsidR="00B93599" w:rsidRPr="00B93599">
        <w:rPr>
          <w:rFonts w:ascii="Arial" w:hAnsi="Arial" w:cs="Arial"/>
          <w:sz w:val="22"/>
          <w:szCs w:val="22"/>
        </w:rPr>
        <w:t xml:space="preserve"> Unidad de Transparencia </w:t>
      </w:r>
      <w:r w:rsidR="00101B45">
        <w:rPr>
          <w:rFonts w:ascii="Arial" w:hAnsi="Arial" w:cs="Arial"/>
          <w:sz w:val="22"/>
          <w:szCs w:val="22"/>
        </w:rPr>
        <w:t>y Acceso a la Información Pública, Protección de Datos Personales y Apertura Institucional del Poder Judicial del Estado</w:t>
      </w:r>
      <w:r w:rsidR="00FD493F" w:rsidRPr="00B93599">
        <w:rPr>
          <w:rFonts w:ascii="Arial" w:hAnsi="Arial" w:cs="Arial"/>
          <w:sz w:val="22"/>
          <w:szCs w:val="22"/>
          <w:shd w:val="clear" w:color="auto" w:fill="FFFFFF"/>
          <w:lang w:val="es-MX" w:eastAsia="es-MX"/>
        </w:rPr>
        <w:t>, a fin de otorgar el debido cumplimiento a la resoluci</w:t>
      </w:r>
      <w:r w:rsidR="00101B45">
        <w:rPr>
          <w:rFonts w:ascii="Arial" w:hAnsi="Arial" w:cs="Arial"/>
          <w:sz w:val="22"/>
          <w:szCs w:val="22"/>
          <w:shd w:val="clear" w:color="auto" w:fill="FFFFFF"/>
          <w:lang w:val="es-MX" w:eastAsia="es-MX"/>
        </w:rPr>
        <w:t>ón dictada en el presente asunto</w:t>
      </w:r>
      <w:r w:rsidR="00FD493F" w:rsidRPr="00B93599">
        <w:rPr>
          <w:rFonts w:ascii="Arial" w:hAnsi="Arial" w:cs="Arial"/>
          <w:sz w:val="22"/>
          <w:szCs w:val="22"/>
          <w:shd w:val="clear" w:color="auto" w:fill="FFFFFF"/>
          <w:lang w:val="es-MX" w:eastAsia="es-MX"/>
        </w:rPr>
        <w:t>.</w:t>
      </w:r>
    </w:p>
    <w:p w14:paraId="5006B4F4" w14:textId="2F951718" w:rsidR="00FD493F" w:rsidRDefault="00FD493F" w:rsidP="00BE5415">
      <w:pPr>
        <w:tabs>
          <w:tab w:val="left" w:pos="709"/>
        </w:tabs>
        <w:spacing w:line="360" w:lineRule="auto"/>
        <w:ind w:right="49" w:firstLine="709"/>
        <w:contextualSpacing/>
        <w:jc w:val="both"/>
        <w:rPr>
          <w:rFonts w:ascii="Arial" w:hAnsi="Arial" w:cs="Arial"/>
          <w:sz w:val="22"/>
          <w:szCs w:val="22"/>
          <w:shd w:val="clear" w:color="auto" w:fill="FFFFFF"/>
          <w:lang w:val="es-MX" w:eastAsia="es-MX"/>
        </w:rPr>
      </w:pPr>
    </w:p>
    <w:p w14:paraId="05A3B3A3" w14:textId="0FBAE592" w:rsidR="00101B45" w:rsidRPr="00B93599" w:rsidRDefault="00101B45" w:rsidP="00101B45">
      <w:pPr>
        <w:tabs>
          <w:tab w:val="left" w:pos="709"/>
        </w:tabs>
        <w:spacing w:line="360" w:lineRule="auto"/>
        <w:ind w:right="49" w:firstLine="709"/>
        <w:contextualSpacing/>
        <w:jc w:val="both"/>
        <w:rPr>
          <w:rFonts w:ascii="Arial" w:hAnsi="Arial" w:cs="Arial"/>
          <w:sz w:val="22"/>
          <w:szCs w:val="22"/>
          <w:shd w:val="clear" w:color="auto" w:fill="FFFFFF"/>
          <w:lang w:val="es-MX" w:eastAsia="es-MX"/>
        </w:rPr>
      </w:pPr>
      <w:r w:rsidRPr="002041E4">
        <w:rPr>
          <w:rFonts w:ascii="Arial" w:eastAsiaTheme="minorHAnsi" w:hAnsi="Arial" w:cs="Arial"/>
          <w:lang w:val="es-MX" w:eastAsia="en-US"/>
        </w:rPr>
        <w:t>En razón de lo anterior, se otorgó a la ahora parte recurrente el plazo de cinco días hábiles, a efecto de que realizara las manifestaciones que conforme a derecho correspondieran, respecto de la documentación exhibida por el sujeto obligado; sin que a la fecha del presente ocurriera a desahogar dicha vista</w:t>
      </w:r>
      <w:r>
        <w:rPr>
          <w:rFonts w:ascii="Arial" w:eastAsiaTheme="minorHAnsi" w:hAnsi="Arial" w:cs="Arial"/>
          <w:lang w:val="es-MX" w:eastAsia="en-US"/>
        </w:rPr>
        <w:t>; y,</w:t>
      </w:r>
    </w:p>
    <w:p w14:paraId="2A5E29B5" w14:textId="77777777" w:rsidR="00A27C50" w:rsidRPr="00B93599" w:rsidRDefault="00A27C50" w:rsidP="006E3DBD">
      <w:pPr>
        <w:spacing w:line="360" w:lineRule="auto"/>
        <w:ind w:right="111"/>
        <w:jc w:val="center"/>
        <w:rPr>
          <w:rFonts w:ascii="Arial" w:eastAsia="Arial" w:hAnsi="Arial" w:cs="Arial"/>
          <w:b/>
          <w:spacing w:val="1"/>
          <w:sz w:val="22"/>
          <w:szCs w:val="22"/>
          <w:lang w:eastAsia="en-US"/>
        </w:rPr>
      </w:pPr>
    </w:p>
    <w:p w14:paraId="24AA31E5" w14:textId="502A15C2" w:rsidR="008E2C25" w:rsidRPr="00B93599" w:rsidRDefault="00CF4E16" w:rsidP="008E2C25">
      <w:pPr>
        <w:spacing w:line="360" w:lineRule="auto"/>
        <w:ind w:firstLine="708"/>
        <w:jc w:val="center"/>
        <w:rPr>
          <w:rFonts w:ascii="Arial" w:hAnsi="Arial" w:cs="Arial"/>
          <w:b/>
          <w:sz w:val="22"/>
          <w:szCs w:val="22"/>
        </w:rPr>
      </w:pPr>
      <w:r w:rsidRPr="00B93599">
        <w:rPr>
          <w:rFonts w:ascii="Arial" w:hAnsi="Arial" w:cs="Arial"/>
          <w:b/>
          <w:sz w:val="22"/>
          <w:szCs w:val="22"/>
        </w:rPr>
        <w:t>CONSIDERANDO</w:t>
      </w:r>
    </w:p>
    <w:p w14:paraId="3048D1F8" w14:textId="77777777" w:rsidR="008E2C25" w:rsidRPr="00B93599" w:rsidRDefault="008E2C25" w:rsidP="008E2C25">
      <w:pPr>
        <w:spacing w:line="360" w:lineRule="auto"/>
        <w:jc w:val="both"/>
        <w:rPr>
          <w:rFonts w:ascii="Arial" w:hAnsi="Arial" w:cs="Arial"/>
          <w:b/>
          <w:sz w:val="22"/>
          <w:szCs w:val="22"/>
        </w:rPr>
      </w:pPr>
      <w:r w:rsidRPr="00B93599">
        <w:rPr>
          <w:rFonts w:ascii="Arial" w:hAnsi="Arial" w:cs="Arial"/>
          <w:b/>
          <w:sz w:val="22"/>
          <w:szCs w:val="22"/>
        </w:rPr>
        <w:tab/>
      </w:r>
    </w:p>
    <w:p w14:paraId="74ABDE46" w14:textId="77777777" w:rsidR="008E2C25" w:rsidRPr="00B93599" w:rsidRDefault="008E2C25" w:rsidP="008E2C25">
      <w:pPr>
        <w:spacing w:line="360" w:lineRule="auto"/>
        <w:ind w:firstLine="709"/>
        <w:jc w:val="both"/>
        <w:rPr>
          <w:rFonts w:ascii="Arial" w:eastAsia="Arial" w:hAnsi="Arial" w:cs="Arial"/>
          <w:spacing w:val="1"/>
          <w:sz w:val="22"/>
          <w:szCs w:val="22"/>
        </w:rPr>
      </w:pPr>
      <w:r w:rsidRPr="00B93599">
        <w:rPr>
          <w:rFonts w:ascii="Arial" w:eastAsia="Arial" w:hAnsi="Arial" w:cs="Arial"/>
          <w:b/>
          <w:spacing w:val="1"/>
          <w:sz w:val="22"/>
          <w:szCs w:val="22"/>
        </w:rPr>
        <w:t xml:space="preserve">PRIMERO. </w:t>
      </w:r>
      <w:r w:rsidRPr="00B93599">
        <w:rPr>
          <w:rFonts w:ascii="Arial" w:eastAsia="Arial" w:hAnsi="Arial" w:cs="Arial"/>
          <w:spacing w:val="1"/>
          <w:sz w:val="22"/>
          <w:szCs w:val="22"/>
        </w:rPr>
        <w:t>La Comisionada Ponente es competente para conocer el presente asunto,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007B12B4" w14:textId="77777777" w:rsidR="008E2C25" w:rsidRPr="00B93599" w:rsidRDefault="008E2C25" w:rsidP="008E2C25">
      <w:pPr>
        <w:spacing w:line="360" w:lineRule="auto"/>
        <w:ind w:firstLine="709"/>
        <w:jc w:val="both"/>
        <w:rPr>
          <w:rFonts w:ascii="Arial" w:eastAsia="Arial" w:hAnsi="Arial" w:cs="Arial"/>
          <w:spacing w:val="1"/>
          <w:sz w:val="22"/>
          <w:szCs w:val="22"/>
        </w:rPr>
      </w:pPr>
    </w:p>
    <w:p w14:paraId="0C892CD4" w14:textId="56680944" w:rsidR="008E2C25" w:rsidRPr="00B93599" w:rsidRDefault="008E2C25" w:rsidP="008E2C25">
      <w:pPr>
        <w:spacing w:line="360" w:lineRule="auto"/>
        <w:ind w:firstLine="709"/>
        <w:jc w:val="both"/>
        <w:rPr>
          <w:rFonts w:ascii="Arial" w:eastAsia="Arial" w:hAnsi="Arial" w:cs="Arial"/>
          <w:spacing w:val="1"/>
          <w:sz w:val="22"/>
          <w:szCs w:val="22"/>
        </w:rPr>
      </w:pPr>
      <w:r w:rsidRPr="00B93599">
        <w:rPr>
          <w:rFonts w:ascii="Arial" w:eastAsia="Arial" w:hAnsi="Arial" w:cs="Arial"/>
          <w:spacing w:val="1"/>
          <w:sz w:val="22"/>
          <w:szCs w:val="22"/>
        </w:rPr>
        <w:t xml:space="preserve">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058985A8" w14:textId="77777777" w:rsidR="008E2C25" w:rsidRPr="00B93599" w:rsidRDefault="008E2C25" w:rsidP="008E2C25">
      <w:pPr>
        <w:spacing w:line="360" w:lineRule="auto"/>
        <w:jc w:val="both"/>
        <w:rPr>
          <w:rFonts w:ascii="Arial" w:hAnsi="Arial" w:cs="Arial"/>
          <w:sz w:val="22"/>
          <w:szCs w:val="22"/>
        </w:rPr>
      </w:pPr>
    </w:p>
    <w:p w14:paraId="41813264" w14:textId="52BEA770" w:rsidR="00315D18" w:rsidRPr="006E3DBD" w:rsidRDefault="00315D18" w:rsidP="00315D18">
      <w:pPr>
        <w:spacing w:line="360" w:lineRule="auto"/>
        <w:ind w:right="111" w:firstLine="567"/>
        <w:jc w:val="both"/>
        <w:rPr>
          <w:rFonts w:ascii="Arial" w:eastAsia="Arial" w:hAnsi="Arial" w:cs="Arial"/>
          <w:spacing w:val="1"/>
          <w:sz w:val="22"/>
          <w:szCs w:val="22"/>
          <w:lang w:eastAsia="en-US"/>
        </w:rPr>
      </w:pPr>
    </w:p>
    <w:p w14:paraId="5EB1C9C9" w14:textId="6FA1331A" w:rsidR="00101B45" w:rsidRPr="00101B45" w:rsidRDefault="00101B45" w:rsidP="00101B45">
      <w:pPr>
        <w:spacing w:line="360" w:lineRule="auto"/>
        <w:ind w:right="111" w:firstLine="708"/>
        <w:jc w:val="both"/>
        <w:rPr>
          <w:rFonts w:ascii="Arial" w:hAnsi="Arial" w:cs="Arial"/>
          <w:sz w:val="22"/>
        </w:rPr>
      </w:pPr>
      <w:r w:rsidRPr="00101B45">
        <w:rPr>
          <w:rFonts w:ascii="Arial" w:hAnsi="Arial" w:cs="Arial"/>
          <w:b/>
          <w:sz w:val="22"/>
        </w:rPr>
        <w:lastRenderedPageBreak/>
        <w:t>SEGUNDO.</w:t>
      </w:r>
      <w:r w:rsidRPr="00101B45">
        <w:rPr>
          <w:rFonts w:ascii="Arial" w:hAnsi="Arial" w:cs="Arial"/>
          <w:sz w:val="22"/>
        </w:rPr>
        <w:t xml:space="preserve"> </w:t>
      </w:r>
      <w:r w:rsidRPr="00101B45">
        <w:rPr>
          <w:rFonts w:ascii="Arial" w:hAnsi="Arial" w:cs="Arial"/>
          <w:b/>
          <w:sz w:val="22"/>
        </w:rPr>
        <w:t>Preclusión de derecho a manifestar</w:t>
      </w:r>
      <w:r w:rsidRPr="00101B45">
        <w:rPr>
          <w:rFonts w:ascii="Arial" w:hAnsi="Arial" w:cs="Arial"/>
          <w:sz w:val="22"/>
        </w:rPr>
        <w:t xml:space="preserve">. Se comunica a la parte recurrente, que el plazo legal concedido para que manifestara lo que a su derecho conviniera o aportara elementos que estimaran pertinentes, feneció el día </w:t>
      </w:r>
      <w:r>
        <w:rPr>
          <w:rFonts w:ascii="Arial" w:hAnsi="Arial" w:cs="Arial"/>
          <w:sz w:val="22"/>
        </w:rPr>
        <w:t>quince de diciembre de dos mil veinticinco</w:t>
      </w:r>
      <w:r w:rsidRPr="00101B45">
        <w:rPr>
          <w:rFonts w:ascii="Arial" w:hAnsi="Arial" w:cs="Arial"/>
          <w:sz w:val="22"/>
        </w:rPr>
        <w:t xml:space="preserve">, de conformidad con los artículos 184 y 185 de la Ley de Transparencia y Acceso a la Información Pública del Estado. </w:t>
      </w:r>
    </w:p>
    <w:p w14:paraId="6597105D" w14:textId="77777777" w:rsidR="00101B45" w:rsidRPr="00101B45" w:rsidRDefault="00101B45" w:rsidP="00101B45">
      <w:pPr>
        <w:spacing w:line="360" w:lineRule="auto"/>
        <w:ind w:right="111"/>
        <w:jc w:val="both"/>
        <w:rPr>
          <w:rFonts w:ascii="Arial" w:eastAsia="Arial" w:hAnsi="Arial" w:cs="Arial"/>
          <w:b/>
          <w:spacing w:val="1"/>
          <w:sz w:val="22"/>
        </w:rPr>
      </w:pPr>
    </w:p>
    <w:p w14:paraId="6F5BB2A6" w14:textId="4ACEB452" w:rsidR="00101B45" w:rsidRPr="00101B45" w:rsidRDefault="00101B45" w:rsidP="00101B45">
      <w:pPr>
        <w:spacing w:line="360" w:lineRule="auto"/>
        <w:ind w:right="111" w:firstLine="708"/>
        <w:jc w:val="both"/>
        <w:rPr>
          <w:rFonts w:ascii="Arial" w:hAnsi="Arial" w:cs="Arial"/>
          <w:sz w:val="22"/>
        </w:rPr>
      </w:pPr>
      <w:r w:rsidRPr="00101B45">
        <w:rPr>
          <w:rFonts w:ascii="Arial" w:hAnsi="Arial" w:cs="Arial"/>
          <w:sz w:val="22"/>
        </w:rPr>
        <w:t>En razón de lo anterior, se tiene por precluído el derecho de la parte recurrente para realizar las manifestaciones que estimaran convenientes, en razón de que no se recibieron manifestaciones ni pruebas, conforme a lo previsto en los artículos 184 y 185 de la Ley de Transparencia y Acceso a la Información Pública del Estado</w:t>
      </w:r>
      <w:r w:rsidRPr="00101B45">
        <w:rPr>
          <w:rFonts w:ascii="Arial" w:hAnsi="Arial" w:cs="Arial"/>
          <w:sz w:val="22"/>
        </w:rPr>
        <w:t>.</w:t>
      </w:r>
    </w:p>
    <w:p w14:paraId="0EB632C1" w14:textId="77777777" w:rsidR="00101B45" w:rsidRPr="00101B45" w:rsidRDefault="00101B45" w:rsidP="00101B45">
      <w:pPr>
        <w:spacing w:line="360" w:lineRule="auto"/>
        <w:ind w:right="111" w:firstLine="708"/>
        <w:jc w:val="both"/>
        <w:rPr>
          <w:rFonts w:ascii="Arial" w:hAnsi="Arial" w:cs="Arial"/>
          <w:sz w:val="22"/>
        </w:rPr>
      </w:pPr>
    </w:p>
    <w:p w14:paraId="10C577FB" w14:textId="77777777" w:rsidR="00101B45" w:rsidRPr="00101B45" w:rsidRDefault="00101B45" w:rsidP="00101B45">
      <w:pPr>
        <w:spacing w:line="360" w:lineRule="auto"/>
        <w:ind w:firstLine="708"/>
        <w:jc w:val="both"/>
        <w:rPr>
          <w:rFonts w:ascii="Arial" w:hAnsi="Arial" w:cs="Arial"/>
          <w:sz w:val="22"/>
          <w:szCs w:val="22"/>
          <w:lang w:eastAsia="es-MX"/>
        </w:rPr>
      </w:pPr>
      <w:r w:rsidRPr="00101B45">
        <w:rPr>
          <w:rFonts w:ascii="Arial" w:hAnsi="Arial" w:cs="Arial"/>
          <w:b/>
          <w:sz w:val="22"/>
          <w:szCs w:val="22"/>
          <w:lang w:eastAsia="es-MX"/>
        </w:rPr>
        <w:t>TERCERO.</w:t>
      </w:r>
      <w:r w:rsidRPr="00101B45">
        <w:rPr>
          <w:rFonts w:ascii="Arial" w:hAnsi="Arial" w:cs="Arial"/>
          <w:sz w:val="22"/>
          <w:szCs w:val="22"/>
          <w:lang w:eastAsia="es-MX"/>
        </w:rPr>
        <w:t xml:space="preserve"> </w:t>
      </w:r>
      <w:r w:rsidRPr="00101B45">
        <w:rPr>
          <w:rFonts w:ascii="Arial" w:hAnsi="Arial" w:cs="Arial"/>
          <w:b/>
          <w:sz w:val="22"/>
          <w:szCs w:val="22"/>
          <w:lang w:eastAsia="es-MX"/>
        </w:rPr>
        <w:t xml:space="preserve">Análisis de constancias. </w:t>
      </w:r>
      <w:r w:rsidRPr="00101B45">
        <w:rPr>
          <w:rFonts w:ascii="Arial" w:eastAsia="Arial" w:hAnsi="Arial" w:cs="Arial"/>
          <w:spacing w:val="1"/>
          <w:sz w:val="22"/>
          <w:szCs w:val="22"/>
        </w:rPr>
        <w:t>Una vez precisados los Antecedentes, con fundamento en lo establecido en el artículo 185 de la Ley de Transparencia y Acceso a la Información Pública del Estado, esta Comisión entrará al estudio de las constancias que integran el presente expediente.</w:t>
      </w:r>
    </w:p>
    <w:p w14:paraId="3DA7F4B3" w14:textId="77777777" w:rsidR="00101B45" w:rsidRPr="00101B45" w:rsidRDefault="00101B45" w:rsidP="00315D18">
      <w:pPr>
        <w:spacing w:line="360" w:lineRule="auto"/>
        <w:ind w:firstLine="567"/>
        <w:jc w:val="both"/>
        <w:rPr>
          <w:rFonts w:ascii="Arial" w:eastAsia="Arial" w:hAnsi="Arial" w:cs="Arial"/>
          <w:b/>
          <w:spacing w:val="1"/>
          <w:sz w:val="22"/>
          <w:szCs w:val="22"/>
        </w:rPr>
      </w:pPr>
    </w:p>
    <w:p w14:paraId="4FAE93A5" w14:textId="67C4864D" w:rsidR="00101B45" w:rsidRPr="00101B45" w:rsidRDefault="00101B45" w:rsidP="00101B45">
      <w:pPr>
        <w:spacing w:line="360" w:lineRule="auto"/>
        <w:ind w:firstLine="709"/>
        <w:jc w:val="both"/>
        <w:rPr>
          <w:rFonts w:ascii="Arial" w:eastAsia="Arial Unicode MS" w:hAnsi="Arial" w:cs="Arial"/>
          <w:sz w:val="22"/>
          <w:szCs w:val="22"/>
        </w:rPr>
      </w:pPr>
      <w:r w:rsidRPr="00101B45">
        <w:rPr>
          <w:rFonts w:ascii="Arial" w:hAnsi="Arial" w:cs="Arial"/>
          <w:sz w:val="22"/>
          <w:szCs w:val="22"/>
          <w:lang w:eastAsia="es-MX"/>
        </w:rPr>
        <w:t xml:space="preserve">Como se evidencia </w:t>
      </w:r>
      <w:r>
        <w:rPr>
          <w:rFonts w:ascii="Arial" w:hAnsi="Arial" w:cs="Arial"/>
          <w:sz w:val="22"/>
          <w:szCs w:val="22"/>
          <w:lang w:eastAsia="es-MX"/>
        </w:rPr>
        <w:t xml:space="preserve">en los antecedentes señalados, </w:t>
      </w:r>
      <w:r w:rsidRPr="00101B45">
        <w:rPr>
          <w:rFonts w:ascii="Arial" w:hAnsi="Arial" w:cs="Arial"/>
          <w:sz w:val="22"/>
          <w:szCs w:val="22"/>
          <w:lang w:eastAsia="es-MX"/>
        </w:rPr>
        <w:t>l</w:t>
      </w:r>
      <w:r>
        <w:rPr>
          <w:rFonts w:ascii="Arial" w:hAnsi="Arial" w:cs="Arial"/>
          <w:sz w:val="22"/>
          <w:szCs w:val="22"/>
          <w:lang w:eastAsia="es-MX"/>
        </w:rPr>
        <w:t>a</w:t>
      </w:r>
      <w:r w:rsidRPr="00101B45">
        <w:rPr>
          <w:rFonts w:ascii="Arial" w:hAnsi="Arial" w:cs="Arial"/>
          <w:sz w:val="22"/>
          <w:szCs w:val="22"/>
          <w:lang w:eastAsia="es-MX"/>
        </w:rPr>
        <w:t xml:space="preserve"> aquí recurrente realizó una solicitud de información ante el </w:t>
      </w:r>
      <w:r>
        <w:rPr>
          <w:rFonts w:ascii="Arial" w:eastAsia="Arial Unicode MS" w:hAnsi="Arial" w:cs="Arial"/>
          <w:b/>
          <w:sz w:val="22"/>
          <w:szCs w:val="22"/>
        </w:rPr>
        <w:t>Poder Judicial</w:t>
      </w:r>
      <w:r w:rsidRPr="00101B45">
        <w:rPr>
          <w:rFonts w:ascii="Arial" w:eastAsia="Arial Unicode MS" w:hAnsi="Arial" w:cs="Arial"/>
          <w:b/>
          <w:sz w:val="22"/>
          <w:szCs w:val="22"/>
        </w:rPr>
        <w:t xml:space="preserve"> del Estado de San Luis Potosí</w:t>
      </w:r>
      <w:r w:rsidRPr="00101B45">
        <w:rPr>
          <w:rFonts w:ascii="Arial" w:eastAsia="Arial Unicode MS" w:hAnsi="Arial" w:cs="Arial"/>
          <w:sz w:val="22"/>
          <w:szCs w:val="22"/>
        </w:rPr>
        <w:t>.</w:t>
      </w:r>
    </w:p>
    <w:p w14:paraId="7762F070" w14:textId="77777777" w:rsidR="00101B45" w:rsidRPr="00101B45" w:rsidRDefault="00101B45" w:rsidP="00101B45">
      <w:pPr>
        <w:spacing w:line="360" w:lineRule="auto"/>
        <w:ind w:firstLine="709"/>
        <w:jc w:val="both"/>
        <w:rPr>
          <w:rFonts w:ascii="Arial" w:eastAsia="Arial Unicode MS" w:hAnsi="Arial" w:cs="Arial"/>
          <w:sz w:val="22"/>
          <w:szCs w:val="22"/>
        </w:rPr>
      </w:pPr>
    </w:p>
    <w:p w14:paraId="29AEEE2D" w14:textId="77777777" w:rsidR="00101B45" w:rsidRPr="00101B45" w:rsidRDefault="00101B45" w:rsidP="00101B45">
      <w:pPr>
        <w:spacing w:line="360" w:lineRule="auto"/>
        <w:ind w:firstLine="709"/>
        <w:jc w:val="both"/>
        <w:rPr>
          <w:rFonts w:ascii="Arial" w:hAnsi="Arial" w:cs="Arial"/>
          <w:sz w:val="22"/>
          <w:szCs w:val="22"/>
        </w:rPr>
      </w:pPr>
      <w:r w:rsidRPr="00101B45">
        <w:rPr>
          <w:rFonts w:ascii="Arial" w:eastAsia="Arial Unicode MS" w:hAnsi="Arial" w:cs="Arial"/>
          <w:sz w:val="22"/>
          <w:szCs w:val="22"/>
        </w:rPr>
        <w:t>Por lo tanto, e</w:t>
      </w:r>
      <w:r w:rsidRPr="00101B45">
        <w:rPr>
          <w:rFonts w:ascii="Arial" w:hAnsi="Arial" w:cs="Arial"/>
          <w:sz w:val="22"/>
          <w:szCs w:val="22"/>
        </w:rPr>
        <w:t xml:space="preserve">n Sesión Extraordinaria de Pleno de este Órgano Autónomo y en atención al escrito de inconformidad del solicitante en el que se agravia de la respuesta proporcionada, se determinó </w:t>
      </w:r>
      <w:r w:rsidRPr="00101B45">
        <w:rPr>
          <w:rFonts w:ascii="Arial" w:hAnsi="Arial" w:cs="Arial"/>
          <w:b/>
          <w:sz w:val="22"/>
          <w:szCs w:val="22"/>
        </w:rPr>
        <w:t>REVOCAR</w:t>
      </w:r>
      <w:r w:rsidRPr="00101B45">
        <w:rPr>
          <w:rFonts w:ascii="Arial" w:hAnsi="Arial" w:cs="Arial"/>
          <w:sz w:val="22"/>
          <w:szCs w:val="22"/>
        </w:rPr>
        <w:t xml:space="preserve"> la respuesta del sujeto obligado, por lo que se le conminó para efectos de que, entre otras circunstancias:</w:t>
      </w:r>
    </w:p>
    <w:p w14:paraId="36F406FF" w14:textId="77777777" w:rsidR="00101B45" w:rsidRPr="002041E4" w:rsidRDefault="00101B45" w:rsidP="00101B45">
      <w:pPr>
        <w:spacing w:line="360" w:lineRule="auto"/>
        <w:ind w:firstLine="709"/>
        <w:jc w:val="both"/>
        <w:rPr>
          <w:rFonts w:ascii="Arial" w:hAnsi="Arial" w:cs="Arial"/>
          <w:sz w:val="22"/>
        </w:rPr>
      </w:pPr>
    </w:p>
    <w:p w14:paraId="5945F458" w14:textId="77777777" w:rsidR="00101B45" w:rsidRPr="00101B45" w:rsidRDefault="00101B45" w:rsidP="00101B45">
      <w:pPr>
        <w:pStyle w:val="Estilo"/>
        <w:ind w:left="1134" w:right="1183"/>
        <w:rPr>
          <w:rFonts w:cs="Arial"/>
          <w:sz w:val="20"/>
          <w:szCs w:val="24"/>
        </w:rPr>
      </w:pPr>
      <w:r w:rsidRPr="00101B45">
        <w:rPr>
          <w:rFonts w:cs="Arial"/>
          <w:b/>
          <w:sz w:val="20"/>
          <w:szCs w:val="24"/>
        </w:rPr>
        <w:t xml:space="preserve">8.1. Precisiones de esta resolución. </w:t>
      </w:r>
      <w:r w:rsidRPr="00101B45">
        <w:rPr>
          <w:rFonts w:cs="Arial"/>
          <w:sz w:val="20"/>
          <w:szCs w:val="24"/>
        </w:rPr>
        <w:t xml:space="preserve">El Sujeto Obligado </w:t>
      </w:r>
      <w:r w:rsidRPr="00101B45">
        <w:rPr>
          <w:rFonts w:cs="Arial"/>
          <w:bCs/>
          <w:sz w:val="20"/>
          <w:szCs w:val="24"/>
        </w:rPr>
        <w:t>deberá realizar la entrega de la información solicitada por la ahora parte recurrente, con excepción de aquella que actualice alguna de las causales de restricción del ejercicio del derecho de acceso a la información pública precisadas en la Ley de la materia</w:t>
      </w:r>
      <w:r w:rsidRPr="00101B45">
        <w:rPr>
          <w:rFonts w:cs="Arial"/>
          <w:sz w:val="20"/>
          <w:szCs w:val="24"/>
          <w:lang w:val="es-ES_tradnl"/>
        </w:rPr>
        <w:t xml:space="preserve">. </w:t>
      </w:r>
    </w:p>
    <w:p w14:paraId="1BCDDB71" w14:textId="77777777" w:rsidR="00101B45" w:rsidRPr="00101B45" w:rsidRDefault="00101B45" w:rsidP="00101B45">
      <w:pPr>
        <w:pStyle w:val="Textoindependienteprimerasangra"/>
        <w:numPr>
          <w:ilvl w:val="0"/>
          <w:numId w:val="7"/>
        </w:numPr>
        <w:spacing w:after="0" w:line="240" w:lineRule="auto"/>
        <w:ind w:left="1134" w:right="1183" w:firstLine="0"/>
        <w:rPr>
          <w:rFonts w:ascii="Arial" w:hAnsi="Arial" w:cs="Arial"/>
          <w:sz w:val="20"/>
        </w:rPr>
      </w:pPr>
      <w:r w:rsidRPr="00101B45">
        <w:rPr>
          <w:rFonts w:ascii="Arial" w:hAnsi="Arial" w:cs="Arial"/>
          <w:sz w:val="20"/>
        </w:rPr>
        <w:t>En caso de que se actualice la figura de excepción al derecho de acceso a la información de confidencialidad, el Obligado deberá proceder conforme a lo establecido en el artículo 159 de la Ley de Transparencia y Acceso a la Información Pública del Estado es decir, que en caso de que los sujetos obligados consideren que los documentos o la información deba ser clasificada, el Comité de Transparencia, deberá resolver sobre si es procedente la clasificación y notificar la resolución al particular, en los términos señalados en el considerando cuarto.</w:t>
      </w:r>
    </w:p>
    <w:p w14:paraId="43683220" w14:textId="77777777" w:rsidR="00101B45" w:rsidRPr="00101B45" w:rsidRDefault="00101B45" w:rsidP="00101B45">
      <w:pPr>
        <w:pStyle w:val="Textoindependienteprimerasangra"/>
        <w:spacing w:after="0" w:line="240" w:lineRule="auto"/>
        <w:ind w:left="1134" w:right="1183" w:firstLine="0"/>
        <w:rPr>
          <w:rFonts w:ascii="Arial" w:hAnsi="Arial" w:cs="Arial"/>
          <w:sz w:val="20"/>
        </w:rPr>
      </w:pPr>
      <w:r w:rsidRPr="00101B45">
        <w:rPr>
          <w:rFonts w:ascii="Arial" w:hAnsi="Arial" w:cs="Arial"/>
          <w:sz w:val="20"/>
        </w:rPr>
        <w:t>Asimismo, el Obligado deberá realizar la versión pública que corresponda conforme lo establecido en el artículo 125 de la Ley de Transparencia Local, observando para su elaboración lo establecido en el artículo sexagésimo de los Lineamientos de Clasificación Desclasificación de la Información, así como para la Elaboración de Versiones Públicas.</w:t>
      </w:r>
    </w:p>
    <w:p w14:paraId="10F87077" w14:textId="77777777" w:rsidR="00101B45" w:rsidRPr="002041E4" w:rsidRDefault="00101B45" w:rsidP="00101B45">
      <w:pPr>
        <w:autoSpaceDE w:val="0"/>
        <w:autoSpaceDN w:val="0"/>
        <w:adjustRightInd w:val="0"/>
        <w:spacing w:line="360" w:lineRule="auto"/>
        <w:ind w:left="1134" w:right="1183"/>
        <w:contextualSpacing/>
        <w:jc w:val="both"/>
        <w:rPr>
          <w:rFonts w:ascii="Arial" w:eastAsiaTheme="minorHAnsi" w:hAnsi="Arial" w:cs="Arial"/>
          <w:sz w:val="22"/>
          <w:lang w:val="es-MX" w:eastAsia="en-US"/>
        </w:rPr>
      </w:pPr>
    </w:p>
    <w:p w14:paraId="4459ED5A" w14:textId="592D6B9C" w:rsidR="00101B45" w:rsidRPr="00101B45" w:rsidRDefault="00101B45" w:rsidP="00101B45">
      <w:pPr>
        <w:autoSpaceDE w:val="0"/>
        <w:autoSpaceDN w:val="0"/>
        <w:adjustRightInd w:val="0"/>
        <w:spacing w:line="360" w:lineRule="auto"/>
        <w:ind w:right="49" w:firstLine="709"/>
        <w:contextualSpacing/>
        <w:jc w:val="both"/>
        <w:rPr>
          <w:rFonts w:ascii="Arial" w:hAnsi="Arial" w:cs="Arial"/>
          <w:sz w:val="22"/>
        </w:rPr>
      </w:pPr>
      <w:r w:rsidRPr="00101B45">
        <w:rPr>
          <w:rFonts w:ascii="Arial" w:eastAsiaTheme="minorHAnsi" w:hAnsi="Arial" w:cs="Arial"/>
          <w:sz w:val="22"/>
          <w:lang w:val="es-MX" w:eastAsia="en-US"/>
        </w:rPr>
        <w:lastRenderedPageBreak/>
        <w:t xml:space="preserve">Es por lo anterior, que el sujeto obligado exhibió </w:t>
      </w:r>
      <w:r>
        <w:rPr>
          <w:rFonts w:ascii="Arial" w:eastAsiaTheme="minorHAnsi" w:hAnsi="Arial" w:cs="Arial"/>
          <w:sz w:val="22"/>
          <w:lang w:val="es-MX" w:eastAsia="en-US"/>
        </w:rPr>
        <w:t>los</w:t>
      </w:r>
      <w:r w:rsidRPr="00101B45">
        <w:rPr>
          <w:rFonts w:ascii="Arial" w:hAnsi="Arial" w:cs="Arial"/>
          <w:sz w:val="22"/>
        </w:rPr>
        <w:t xml:space="preserve"> oficio</w:t>
      </w:r>
      <w:r>
        <w:rPr>
          <w:rFonts w:ascii="Arial" w:hAnsi="Arial" w:cs="Arial"/>
          <w:sz w:val="22"/>
        </w:rPr>
        <w:t>s</w:t>
      </w:r>
      <w:r w:rsidRPr="00101B45">
        <w:rPr>
          <w:rFonts w:ascii="Arial" w:hAnsi="Arial" w:cs="Arial"/>
          <w:sz w:val="22"/>
        </w:rPr>
        <w:t xml:space="preserve"> número </w:t>
      </w:r>
      <w:r>
        <w:rPr>
          <w:rFonts w:ascii="Arial" w:hAnsi="Arial" w:cs="Arial"/>
          <w:sz w:val="22"/>
        </w:rPr>
        <w:t>UT/497/2025 y UT/499/2025</w:t>
      </w:r>
      <w:r w:rsidRPr="00101B45">
        <w:rPr>
          <w:rFonts w:ascii="Arial" w:hAnsi="Arial" w:cs="Arial"/>
          <w:sz w:val="22"/>
        </w:rPr>
        <w:t>, emitido</w:t>
      </w:r>
      <w:r w:rsidR="002758C7">
        <w:rPr>
          <w:rFonts w:ascii="Arial" w:hAnsi="Arial" w:cs="Arial"/>
          <w:sz w:val="22"/>
        </w:rPr>
        <w:t>s por el</w:t>
      </w:r>
      <w:r w:rsidRPr="00101B45">
        <w:rPr>
          <w:rFonts w:ascii="Arial" w:hAnsi="Arial" w:cs="Arial"/>
          <w:sz w:val="22"/>
        </w:rPr>
        <w:t xml:space="preserve"> Director </w:t>
      </w:r>
      <w:r w:rsidR="002758C7">
        <w:rPr>
          <w:rFonts w:ascii="Arial" w:hAnsi="Arial" w:cs="Arial"/>
          <w:sz w:val="22"/>
        </w:rPr>
        <w:t>de la Unidad de Transparencia y Acceso a la Información Pública, Protección de Datos Personales y Apertura Institucional del Poder Judicial</w:t>
      </w:r>
      <w:r w:rsidRPr="00101B45">
        <w:rPr>
          <w:rFonts w:ascii="Arial" w:hAnsi="Arial" w:cs="Arial"/>
          <w:sz w:val="22"/>
        </w:rPr>
        <w:t xml:space="preserve"> del Estado de San Luis Potosí, a través del cual remitió a este Órgano Garante, entre otras circunstancias</w:t>
      </w:r>
      <w:r w:rsidR="002758C7">
        <w:rPr>
          <w:rFonts w:ascii="Arial" w:hAnsi="Arial" w:cs="Arial"/>
          <w:sz w:val="22"/>
        </w:rPr>
        <w:t>, la certificación de las siguientes constancias</w:t>
      </w:r>
      <w:r w:rsidRPr="00101B45">
        <w:rPr>
          <w:rFonts w:ascii="Arial" w:hAnsi="Arial" w:cs="Arial"/>
          <w:sz w:val="22"/>
        </w:rPr>
        <w:t>:</w:t>
      </w:r>
    </w:p>
    <w:p w14:paraId="48F3699D" w14:textId="77777777" w:rsidR="00101B45" w:rsidRPr="002041E4" w:rsidRDefault="00101B45" w:rsidP="00101B45">
      <w:pPr>
        <w:autoSpaceDE w:val="0"/>
        <w:autoSpaceDN w:val="0"/>
        <w:adjustRightInd w:val="0"/>
        <w:spacing w:line="360" w:lineRule="auto"/>
        <w:ind w:right="49" w:firstLine="709"/>
        <w:contextualSpacing/>
        <w:jc w:val="both"/>
        <w:rPr>
          <w:rFonts w:ascii="Arial" w:hAnsi="Arial" w:cs="Arial"/>
          <w:sz w:val="22"/>
        </w:rPr>
      </w:pPr>
    </w:p>
    <w:p w14:paraId="3D2796A9" w14:textId="542F9AC3" w:rsidR="00101B45" w:rsidRPr="00101B45" w:rsidRDefault="00101B45" w:rsidP="00101B45">
      <w:pPr>
        <w:autoSpaceDE w:val="0"/>
        <w:autoSpaceDN w:val="0"/>
        <w:adjustRightInd w:val="0"/>
        <w:ind w:left="1134" w:right="1183"/>
        <w:contextualSpacing/>
        <w:jc w:val="both"/>
        <w:rPr>
          <w:rFonts w:ascii="Arial" w:hAnsi="Arial" w:cs="Arial"/>
          <w:sz w:val="20"/>
        </w:rPr>
      </w:pPr>
      <w:r w:rsidRPr="00101B45">
        <w:rPr>
          <w:rFonts w:ascii="Arial" w:hAnsi="Arial" w:cs="Arial"/>
          <w:sz w:val="20"/>
        </w:rPr>
        <w:t xml:space="preserve">1. </w:t>
      </w:r>
      <w:r w:rsidR="002758C7">
        <w:rPr>
          <w:rFonts w:ascii="Arial" w:hAnsi="Arial" w:cs="Arial"/>
          <w:sz w:val="20"/>
        </w:rPr>
        <w:t>Impresión de captura de pantalla de la bandeja de salida del correo electrónico institucional (transparencia</w:t>
      </w:r>
      <w:r w:rsidR="00302132">
        <w:rPr>
          <w:rFonts w:ascii="Arial" w:hAnsi="Arial" w:cs="Arial"/>
          <w:sz w:val="20"/>
        </w:rPr>
        <w:t>@stjslp.gob.mx)</w:t>
      </w:r>
      <w:r w:rsidRPr="00101B45">
        <w:rPr>
          <w:rFonts w:ascii="Arial" w:hAnsi="Arial" w:cs="Arial"/>
          <w:sz w:val="20"/>
        </w:rPr>
        <w:t xml:space="preserve">, </w:t>
      </w:r>
    </w:p>
    <w:p w14:paraId="476FB142" w14:textId="13F30ABF" w:rsidR="00101B45" w:rsidRDefault="00101B45" w:rsidP="00101B45">
      <w:pPr>
        <w:autoSpaceDE w:val="0"/>
        <w:autoSpaceDN w:val="0"/>
        <w:adjustRightInd w:val="0"/>
        <w:ind w:left="1134" w:right="1183"/>
        <w:contextualSpacing/>
        <w:jc w:val="both"/>
        <w:rPr>
          <w:rFonts w:ascii="Arial" w:hAnsi="Arial" w:cs="Arial"/>
          <w:sz w:val="20"/>
        </w:rPr>
      </w:pPr>
      <w:r w:rsidRPr="00101B45">
        <w:rPr>
          <w:rFonts w:ascii="Arial" w:hAnsi="Arial" w:cs="Arial"/>
          <w:sz w:val="20"/>
        </w:rPr>
        <w:t>2.</w:t>
      </w:r>
      <w:r w:rsidR="00302132">
        <w:rPr>
          <w:rFonts w:ascii="Arial" w:hAnsi="Arial" w:cs="Arial"/>
          <w:sz w:val="20"/>
        </w:rPr>
        <w:t>Impresión del correo electrónico enviado a la cuenta señalada por la parte promovente durante la tramitación del presente recurso de revisión RR 013/2025-3 OP</w:t>
      </w:r>
      <w:r w:rsidRPr="00101B45">
        <w:rPr>
          <w:rFonts w:ascii="Arial" w:hAnsi="Arial" w:cs="Arial"/>
          <w:sz w:val="20"/>
        </w:rPr>
        <w:t>.</w:t>
      </w:r>
    </w:p>
    <w:p w14:paraId="023B34B0" w14:textId="58A4C1DC" w:rsidR="00302132" w:rsidRDefault="00302132" w:rsidP="00101B45">
      <w:pPr>
        <w:autoSpaceDE w:val="0"/>
        <w:autoSpaceDN w:val="0"/>
        <w:adjustRightInd w:val="0"/>
        <w:ind w:left="1134" w:right="1183"/>
        <w:contextualSpacing/>
        <w:jc w:val="both"/>
        <w:rPr>
          <w:rFonts w:ascii="Arial" w:hAnsi="Arial" w:cs="Arial"/>
          <w:sz w:val="20"/>
        </w:rPr>
      </w:pPr>
      <w:r>
        <w:rPr>
          <w:rFonts w:ascii="Arial" w:hAnsi="Arial" w:cs="Arial"/>
          <w:sz w:val="20"/>
        </w:rPr>
        <w:t>3. Oficio UT/496/2025 signado por la Unidad de Transparencia.</w:t>
      </w:r>
    </w:p>
    <w:p w14:paraId="43AE0C35" w14:textId="4DCF1B06" w:rsidR="00302132" w:rsidRDefault="002231A1" w:rsidP="00101B45">
      <w:pPr>
        <w:autoSpaceDE w:val="0"/>
        <w:autoSpaceDN w:val="0"/>
        <w:adjustRightInd w:val="0"/>
        <w:ind w:left="1134" w:right="1183"/>
        <w:contextualSpacing/>
        <w:jc w:val="both"/>
        <w:rPr>
          <w:rFonts w:ascii="Arial" w:hAnsi="Arial" w:cs="Arial"/>
          <w:sz w:val="20"/>
        </w:rPr>
      </w:pPr>
      <w:r>
        <w:rPr>
          <w:rFonts w:ascii="Arial" w:hAnsi="Arial" w:cs="Arial"/>
          <w:sz w:val="20"/>
        </w:rPr>
        <w:t>4. Oficio D.J.409/2025 Signado por el Lic. DionisioPiña Niño, Director Jurídico del Órgano de Administración Judicial</w:t>
      </w:r>
    </w:p>
    <w:p w14:paraId="1D4C9B29" w14:textId="5C27831A" w:rsidR="002231A1" w:rsidRDefault="002231A1" w:rsidP="00101B45">
      <w:pPr>
        <w:autoSpaceDE w:val="0"/>
        <w:autoSpaceDN w:val="0"/>
        <w:adjustRightInd w:val="0"/>
        <w:ind w:left="1134" w:right="1183"/>
        <w:contextualSpacing/>
        <w:jc w:val="both"/>
        <w:rPr>
          <w:rFonts w:ascii="Arial" w:hAnsi="Arial" w:cs="Arial"/>
          <w:sz w:val="20"/>
        </w:rPr>
      </w:pPr>
      <w:r>
        <w:rPr>
          <w:rFonts w:ascii="Arial" w:hAnsi="Arial" w:cs="Arial"/>
          <w:sz w:val="20"/>
        </w:rPr>
        <w:t xml:space="preserve">5. Documento electrónico con “drive” </w:t>
      </w:r>
      <w:hyperlink r:id="rId8" w:history="1">
        <w:r w:rsidRPr="004414ED">
          <w:rPr>
            <w:rStyle w:val="Hipervnculo"/>
            <w:rFonts w:ascii="Arial" w:hAnsi="Arial" w:cs="Arial"/>
            <w:sz w:val="20"/>
          </w:rPr>
          <w:t>https://drive.google.com/file/d/16F6lgcTDORFU9cba7FOhTqpWUJGVnjEg/view</w:t>
        </w:r>
      </w:hyperlink>
      <w:r>
        <w:rPr>
          <w:rFonts w:ascii="Arial" w:hAnsi="Arial" w:cs="Arial"/>
          <w:sz w:val="20"/>
        </w:rPr>
        <w:t xml:space="preserve"> que contiene las versiones públicas de los convenios celebrados por parte del entonces Consejo de la Judicatura del Poder Judicial del Estado de San Luis Potosí con los ex servidores judiciales, ejercicios 2018, 2019, 2020 y 2021.</w:t>
      </w:r>
    </w:p>
    <w:p w14:paraId="72DD6F62" w14:textId="7E40606B" w:rsidR="002231A1" w:rsidRPr="007B194A" w:rsidRDefault="002231A1" w:rsidP="00101B45">
      <w:pPr>
        <w:autoSpaceDE w:val="0"/>
        <w:autoSpaceDN w:val="0"/>
        <w:adjustRightInd w:val="0"/>
        <w:ind w:left="1134" w:right="1183"/>
        <w:contextualSpacing/>
        <w:jc w:val="both"/>
        <w:rPr>
          <w:rFonts w:ascii="Arial" w:hAnsi="Arial" w:cs="Arial"/>
          <w:sz w:val="18"/>
        </w:rPr>
      </w:pPr>
    </w:p>
    <w:p w14:paraId="22F00666" w14:textId="4D9BFC07" w:rsidR="00101B45" w:rsidRPr="007B194A" w:rsidRDefault="007B194A" w:rsidP="007B194A">
      <w:pPr>
        <w:spacing w:line="360" w:lineRule="auto"/>
        <w:ind w:left="426" w:firstLine="708"/>
        <w:jc w:val="both"/>
        <w:rPr>
          <w:rFonts w:ascii="Arial" w:hAnsi="Arial" w:cs="Arial"/>
          <w:sz w:val="22"/>
        </w:rPr>
      </w:pPr>
      <w:r w:rsidRPr="007B194A">
        <w:rPr>
          <w:rFonts w:ascii="Arial" w:hAnsi="Arial" w:cs="Arial"/>
          <w:sz w:val="22"/>
        </w:rPr>
        <w:t xml:space="preserve">Asimismo, el sujeto obligado exhibió </w:t>
      </w:r>
      <w:r>
        <w:rPr>
          <w:rFonts w:ascii="Arial" w:hAnsi="Arial" w:cs="Arial"/>
          <w:sz w:val="22"/>
        </w:rPr>
        <w:t>adjunto al oficio número UT/497/2025, el disco compacto, en el cual contiene los archivos electrónicos que manifiesta entregar a la ahora parte recurrente, a través del “drive”; con un total de 98 versiones públicas de convenios celebrados durante el periodo comprendido de las anualidades 2017 a 2021.</w:t>
      </w:r>
    </w:p>
    <w:p w14:paraId="665A7B04" w14:textId="77777777" w:rsidR="007B194A" w:rsidRPr="002041E4" w:rsidRDefault="007B194A" w:rsidP="00101B45">
      <w:pPr>
        <w:ind w:firstLine="708"/>
        <w:jc w:val="both"/>
        <w:rPr>
          <w:rFonts w:ascii="Arial" w:hAnsi="Arial" w:cs="Arial"/>
        </w:rPr>
      </w:pPr>
    </w:p>
    <w:p w14:paraId="2745AEDC" w14:textId="20C2EE1A" w:rsidR="002231A1" w:rsidRDefault="002231A1" w:rsidP="002231A1">
      <w:pPr>
        <w:spacing w:line="360" w:lineRule="auto"/>
        <w:ind w:firstLine="709"/>
        <w:jc w:val="both"/>
        <w:rPr>
          <w:rFonts w:ascii="Arial" w:hAnsi="Arial" w:cs="Arial"/>
          <w:sz w:val="22"/>
          <w:szCs w:val="22"/>
        </w:rPr>
      </w:pPr>
      <w:r w:rsidRPr="009517DD">
        <w:rPr>
          <w:rFonts w:ascii="Arial" w:hAnsi="Arial" w:cs="Arial"/>
          <w:sz w:val="22"/>
          <w:szCs w:val="22"/>
        </w:rPr>
        <w:t xml:space="preserve">En este sentido, se estima que la respuesta otorgada por el </w:t>
      </w:r>
      <w:r>
        <w:rPr>
          <w:rFonts w:ascii="Arial" w:hAnsi="Arial" w:cs="Arial"/>
          <w:sz w:val="22"/>
          <w:szCs w:val="22"/>
        </w:rPr>
        <w:t>Sujeto O</w:t>
      </w:r>
      <w:r w:rsidRPr="009517DD">
        <w:rPr>
          <w:rFonts w:ascii="Arial" w:hAnsi="Arial" w:cs="Arial"/>
          <w:sz w:val="22"/>
          <w:szCs w:val="22"/>
        </w:rPr>
        <w:t>bligado atiende los efectos señalados en la determinación</w:t>
      </w:r>
      <w:r>
        <w:rPr>
          <w:rFonts w:ascii="Arial" w:hAnsi="Arial" w:cs="Arial"/>
          <w:sz w:val="22"/>
          <w:szCs w:val="22"/>
        </w:rPr>
        <w:t xml:space="preserve"> adoptada por el Pleno de esta C</w:t>
      </w:r>
      <w:r w:rsidRPr="009517DD">
        <w:rPr>
          <w:rFonts w:ascii="Arial" w:hAnsi="Arial" w:cs="Arial"/>
          <w:sz w:val="22"/>
          <w:szCs w:val="22"/>
        </w:rPr>
        <w:t xml:space="preserve">omisión, ello así en virtud de que se atienden los puntos formulados </w:t>
      </w:r>
      <w:r>
        <w:rPr>
          <w:rFonts w:ascii="Arial" w:hAnsi="Arial" w:cs="Arial"/>
          <w:sz w:val="22"/>
          <w:szCs w:val="22"/>
        </w:rPr>
        <w:t>en la solicitud de acceso</w:t>
      </w:r>
      <w:r w:rsidR="007B194A">
        <w:rPr>
          <w:rFonts w:ascii="Arial" w:hAnsi="Arial" w:cs="Arial"/>
          <w:sz w:val="22"/>
          <w:szCs w:val="22"/>
        </w:rPr>
        <w:t>, en tanto que se otorgó acceso a la ahora parte recurrente, de las versiones públicas de los Convenios celebrados entre el entonces Consejo de la Judicatura del Poder Judicial del Estado, con los ex trabajadores, con relación al pago de los derechos laborales identificados como “Estimulo por Años de Servicio” y “Liquidación por Jubilación”, del periodo comprendido por los años 2018 a 2021</w:t>
      </w:r>
      <w:r>
        <w:rPr>
          <w:rFonts w:ascii="Arial" w:hAnsi="Arial" w:cs="Arial"/>
          <w:sz w:val="22"/>
          <w:szCs w:val="22"/>
        </w:rPr>
        <w:t>.</w:t>
      </w:r>
    </w:p>
    <w:p w14:paraId="37520524" w14:textId="77777777" w:rsidR="002231A1" w:rsidRPr="009517DD" w:rsidRDefault="002231A1" w:rsidP="002231A1">
      <w:pPr>
        <w:spacing w:line="360" w:lineRule="auto"/>
        <w:ind w:firstLine="709"/>
        <w:jc w:val="both"/>
        <w:rPr>
          <w:rFonts w:ascii="Arial" w:hAnsi="Arial" w:cs="Arial"/>
          <w:sz w:val="22"/>
          <w:szCs w:val="22"/>
        </w:rPr>
      </w:pPr>
    </w:p>
    <w:p w14:paraId="609BFA09" w14:textId="77777777" w:rsidR="002231A1" w:rsidRDefault="002231A1" w:rsidP="002231A1">
      <w:pPr>
        <w:spacing w:line="360" w:lineRule="auto"/>
        <w:ind w:firstLine="709"/>
        <w:jc w:val="both"/>
        <w:rPr>
          <w:rFonts w:ascii="Arial" w:hAnsi="Arial" w:cs="Arial"/>
          <w:sz w:val="22"/>
          <w:szCs w:val="22"/>
        </w:rPr>
      </w:pPr>
      <w:r w:rsidRPr="009517DD">
        <w:rPr>
          <w:rFonts w:ascii="Arial" w:hAnsi="Arial" w:cs="Arial"/>
          <w:sz w:val="22"/>
          <w:szCs w:val="22"/>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5AD421CE" w14:textId="77777777" w:rsidR="002231A1" w:rsidRPr="009517DD" w:rsidRDefault="002231A1" w:rsidP="002231A1">
      <w:pPr>
        <w:spacing w:line="360" w:lineRule="auto"/>
        <w:ind w:firstLine="709"/>
        <w:jc w:val="both"/>
        <w:rPr>
          <w:rFonts w:ascii="Arial" w:hAnsi="Arial" w:cs="Arial"/>
          <w:sz w:val="22"/>
          <w:szCs w:val="22"/>
        </w:rPr>
      </w:pPr>
    </w:p>
    <w:p w14:paraId="1721C351" w14:textId="284472E4" w:rsidR="002231A1" w:rsidRPr="009517DD" w:rsidRDefault="002231A1" w:rsidP="002231A1">
      <w:pPr>
        <w:spacing w:line="360" w:lineRule="auto"/>
        <w:ind w:firstLine="708"/>
        <w:jc w:val="both"/>
        <w:rPr>
          <w:rFonts w:ascii="Arial" w:hAnsi="Arial" w:cs="Arial"/>
          <w:sz w:val="22"/>
          <w:szCs w:val="22"/>
        </w:rPr>
      </w:pPr>
      <w:r w:rsidRPr="009517DD">
        <w:rPr>
          <w:rFonts w:ascii="Arial" w:hAnsi="Arial" w:cs="Arial"/>
          <w:sz w:val="22"/>
          <w:szCs w:val="22"/>
        </w:rPr>
        <w:lastRenderedPageBreak/>
        <w:t>En ese sentido, el Tribunal Colegiado en Materias de Trabajo y Administrativa del Décimo Tercer Circuito, emitió un criterio relacionado con la cuestión que nos ocupa, mismo que se identifica con el número XIII.T.A.3 A (10a.), y que establece:</w:t>
      </w:r>
    </w:p>
    <w:p w14:paraId="054EA7FC" w14:textId="77777777" w:rsidR="002231A1" w:rsidRPr="009517DD" w:rsidRDefault="002231A1" w:rsidP="002231A1">
      <w:pPr>
        <w:spacing w:line="360" w:lineRule="auto"/>
        <w:jc w:val="both"/>
        <w:rPr>
          <w:rFonts w:ascii="Arial" w:hAnsi="Arial" w:cs="Arial"/>
          <w:sz w:val="22"/>
          <w:szCs w:val="22"/>
        </w:rPr>
      </w:pPr>
    </w:p>
    <w:p w14:paraId="358F32CF" w14:textId="77777777" w:rsidR="002231A1" w:rsidRPr="00C7333F" w:rsidRDefault="002231A1" w:rsidP="002231A1">
      <w:pPr>
        <w:ind w:left="1134" w:right="1072"/>
        <w:jc w:val="both"/>
        <w:rPr>
          <w:rFonts w:ascii="Arial" w:hAnsi="Arial" w:cs="Arial"/>
          <w:sz w:val="20"/>
          <w:szCs w:val="20"/>
        </w:rPr>
      </w:pPr>
      <w:r w:rsidRPr="00C7333F">
        <w:rPr>
          <w:rFonts w:ascii="Arial" w:hAnsi="Arial" w:cs="Arial"/>
          <w:b/>
          <w:bCs/>
          <w:sz w:val="20"/>
          <w:szCs w:val="20"/>
        </w:rPr>
        <w:t xml:space="preserve">“NOTIFICACIÓN ELECTRÓNICA. AL PRACTICARLA, LA AUTORIDAD DEBE ANEXAR EN AUTOS DEL EXPEDIENTE ADMINISTRATIVO O JUDICIAL DEL QUE DERIVE, LA CONSTANCIA FEHACIENTE DE RECEPCIÓN POR SU DESTINATARIO. </w:t>
      </w:r>
      <w:r w:rsidRPr="00C7333F">
        <w:rPr>
          <w:rFonts w:ascii="Arial" w:hAnsi="Arial" w:cs="Arial"/>
          <w:sz w:val="20"/>
          <w:szCs w:val="20"/>
        </w:rPr>
        <w:t>La </w:t>
      </w:r>
      <w:r w:rsidRPr="00C7333F">
        <w:rPr>
          <w:rFonts w:ascii="Arial" w:hAnsi="Arial" w:cs="Arial"/>
          <w:bCs/>
          <w:sz w:val="20"/>
          <w:szCs w:val="20"/>
        </w:rPr>
        <w:t>notificación</w:t>
      </w:r>
      <w:r w:rsidRPr="00C7333F">
        <w:rPr>
          <w:rFonts w:ascii="Arial" w:hAnsi="Arial" w:cs="Arial"/>
          <w:sz w:val="20"/>
          <w:szCs w:val="20"/>
        </w:rPr>
        <w:t> </w:t>
      </w:r>
      <w:r w:rsidRPr="00C7333F">
        <w:rPr>
          <w:rFonts w:ascii="Arial" w:hAnsi="Arial" w:cs="Arial"/>
          <w:bCs/>
          <w:sz w:val="20"/>
          <w:szCs w:val="20"/>
        </w:rPr>
        <w:t>electrónica</w:t>
      </w:r>
      <w:r w:rsidRPr="00C7333F">
        <w:rPr>
          <w:rFonts w:ascii="Arial" w:hAnsi="Arial" w:cs="Arial"/>
          <w:sz w:val="20"/>
          <w:szCs w:val="20"/>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9" w:history="1">
        <w:r w:rsidRPr="00C7333F">
          <w:rPr>
            <w:rStyle w:val="Hipervnculo"/>
            <w:rFonts w:ascii="Arial" w:hAnsi="Arial" w:cs="Arial"/>
            <w:color w:val="auto"/>
            <w:sz w:val="20"/>
            <w:szCs w:val="20"/>
          </w:rPr>
          <w:t>fracción I del artículo 172 de la Ley de Amparo</w:t>
        </w:r>
      </w:hyperlink>
      <w:r w:rsidRPr="00C7333F">
        <w:rPr>
          <w:rFonts w:ascii="Arial" w:hAnsi="Arial" w:cs="Arial"/>
          <w:sz w:val="20"/>
          <w:szCs w:val="20"/>
        </w:rPr>
        <w:t>, vigente a partir del 3 de abril de 2013”.</w:t>
      </w:r>
    </w:p>
    <w:p w14:paraId="519CF4E2" w14:textId="77777777" w:rsidR="002231A1" w:rsidRPr="009517DD" w:rsidRDefault="002231A1" w:rsidP="002231A1">
      <w:pPr>
        <w:spacing w:line="360" w:lineRule="auto"/>
        <w:ind w:firstLine="708"/>
        <w:jc w:val="both"/>
        <w:rPr>
          <w:rFonts w:ascii="Arial" w:hAnsi="Arial" w:cs="Arial"/>
          <w:sz w:val="22"/>
          <w:szCs w:val="22"/>
        </w:rPr>
      </w:pPr>
    </w:p>
    <w:p w14:paraId="0D6B5919" w14:textId="77777777" w:rsidR="002231A1" w:rsidRPr="009517DD" w:rsidRDefault="002231A1" w:rsidP="002231A1">
      <w:pPr>
        <w:spacing w:line="360" w:lineRule="auto"/>
        <w:ind w:firstLine="708"/>
        <w:jc w:val="both"/>
        <w:rPr>
          <w:rFonts w:ascii="Arial" w:hAnsi="Arial" w:cs="Arial"/>
          <w:sz w:val="22"/>
          <w:szCs w:val="22"/>
        </w:rPr>
      </w:pPr>
      <w:r w:rsidRPr="009517DD">
        <w:rPr>
          <w:rFonts w:ascii="Arial" w:hAnsi="Arial" w:cs="Arial"/>
          <w:sz w:val="22"/>
          <w:szCs w:val="22"/>
        </w:rPr>
        <w:t>En razón de la tesis invocada y del análisis de</w:t>
      </w:r>
      <w:r>
        <w:rPr>
          <w:rFonts w:ascii="Arial" w:hAnsi="Arial" w:cs="Arial"/>
          <w:sz w:val="22"/>
          <w:szCs w:val="22"/>
        </w:rPr>
        <w:t xml:space="preserve"> las constancias referidas</w:t>
      </w:r>
      <w:r w:rsidRPr="009517DD">
        <w:rPr>
          <w:rFonts w:ascii="Arial" w:hAnsi="Arial" w:cs="Arial"/>
          <w:sz w:val="22"/>
          <w:szCs w:val="22"/>
        </w:rPr>
        <w:t>, se puede verificar que</w:t>
      </w:r>
      <w:r>
        <w:rPr>
          <w:rFonts w:ascii="Arial" w:hAnsi="Arial" w:cs="Arial"/>
          <w:sz w:val="22"/>
          <w:szCs w:val="22"/>
        </w:rPr>
        <w:t xml:space="preserve"> se</w:t>
      </w:r>
      <w:r w:rsidRPr="009517DD">
        <w:rPr>
          <w:rFonts w:ascii="Arial" w:hAnsi="Arial" w:cs="Arial"/>
          <w:sz w:val="22"/>
          <w:szCs w:val="22"/>
        </w:rPr>
        <w:t xml:space="preserve"> notificó la información generada al particular a través del correo electrónico que designó para tal efecto.</w:t>
      </w:r>
    </w:p>
    <w:p w14:paraId="16E149CA" w14:textId="77777777" w:rsidR="002231A1" w:rsidRPr="00B93599" w:rsidRDefault="002231A1" w:rsidP="008E2C25">
      <w:pPr>
        <w:spacing w:line="360" w:lineRule="auto"/>
        <w:ind w:firstLine="709"/>
        <w:jc w:val="both"/>
        <w:rPr>
          <w:rFonts w:ascii="Arial" w:hAnsi="Arial" w:cs="Arial"/>
          <w:sz w:val="22"/>
          <w:szCs w:val="22"/>
        </w:rPr>
      </w:pPr>
    </w:p>
    <w:p w14:paraId="71BE5077" w14:textId="3E1A7DC2" w:rsidR="00E61093" w:rsidRPr="00B93599" w:rsidRDefault="008F4DFE" w:rsidP="00E61093">
      <w:pPr>
        <w:pStyle w:val="Textoindependienteprimerasangra"/>
        <w:spacing w:after="0"/>
        <w:ind w:firstLine="708"/>
        <w:rPr>
          <w:rFonts w:ascii="Arial" w:hAnsi="Arial" w:cs="Arial"/>
          <w:sz w:val="22"/>
          <w:szCs w:val="22"/>
        </w:rPr>
      </w:pPr>
      <w:r w:rsidRPr="00B93599">
        <w:rPr>
          <w:rFonts w:ascii="Arial" w:hAnsi="Arial" w:cs="Arial"/>
          <w:sz w:val="22"/>
          <w:szCs w:val="22"/>
        </w:rPr>
        <w:t>Ahora bien, d</w:t>
      </w:r>
      <w:r w:rsidR="00E61093" w:rsidRPr="00B93599">
        <w:rPr>
          <w:rFonts w:ascii="Arial" w:hAnsi="Arial" w:cs="Arial"/>
          <w:sz w:val="22"/>
          <w:szCs w:val="22"/>
        </w:rPr>
        <w:t xml:space="preserve">e un análisis a las constancias que corren agregadas al presente procedimiento, es de precisarse que la recurrente no presentó inconformidad alguna respecto de la información notificada y entregada por el Obligado, a través del medio autorizado para recibir notificaciones, por lo que se colige que se muestra conforme con el contenido de la respuesta y sus demás extremos al no señalar agravio alguno al respecto. Sirve de apoyo la Tesis de VI.3o.C. J/60, Seminario Judicial de la Federación y su Gaceta, Novena Época, t. XXII, diciembre de 2005, p. 2365, cuyo rubro y texto señalan: </w:t>
      </w:r>
    </w:p>
    <w:p w14:paraId="2D21E1B0" w14:textId="77777777" w:rsidR="00E61093" w:rsidRPr="00B93599" w:rsidRDefault="00E61093" w:rsidP="00E61093">
      <w:pPr>
        <w:pStyle w:val="Textoindependienteprimerasangra"/>
        <w:spacing w:after="0"/>
        <w:ind w:firstLine="708"/>
        <w:rPr>
          <w:rFonts w:ascii="Arial" w:hAnsi="Arial" w:cs="Arial"/>
          <w:sz w:val="22"/>
          <w:szCs w:val="22"/>
        </w:rPr>
      </w:pPr>
    </w:p>
    <w:p w14:paraId="07DBEB8B" w14:textId="77777777" w:rsidR="00E61093" w:rsidRPr="00C7333F" w:rsidRDefault="00E61093" w:rsidP="00E61093">
      <w:pPr>
        <w:spacing w:after="240"/>
        <w:ind w:left="1134" w:right="1183"/>
        <w:jc w:val="both"/>
        <w:rPr>
          <w:rFonts w:ascii="Arial" w:hAnsi="Arial" w:cs="Arial"/>
          <w:sz w:val="20"/>
          <w:szCs w:val="22"/>
        </w:rPr>
      </w:pPr>
      <w:r w:rsidRPr="00C7333F">
        <w:rPr>
          <w:rFonts w:ascii="Arial" w:hAnsi="Arial" w:cs="Arial"/>
          <w:b/>
          <w:sz w:val="20"/>
          <w:szCs w:val="22"/>
        </w:rPr>
        <w:t>“ACTOS CONSENTIDOS. SON LOS QUE NO SE IMPUGNAN MEDIANTE EL RECURSO IDÓNEO.</w:t>
      </w:r>
      <w:r w:rsidRPr="00C7333F">
        <w:rPr>
          <w:rFonts w:ascii="Arial" w:hAnsi="Arial" w:cs="Arial"/>
          <w:sz w:val="20"/>
          <w:szCs w:val="22"/>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w:t>
      </w:r>
    </w:p>
    <w:p w14:paraId="1AE7D55E" w14:textId="77777777" w:rsidR="00E61093" w:rsidRPr="00B93599" w:rsidRDefault="00E61093" w:rsidP="00E61093">
      <w:pPr>
        <w:spacing w:line="360" w:lineRule="auto"/>
        <w:ind w:firstLine="708"/>
        <w:jc w:val="both"/>
        <w:rPr>
          <w:rFonts w:ascii="Arial" w:hAnsi="Arial" w:cs="Arial"/>
          <w:sz w:val="22"/>
          <w:szCs w:val="22"/>
        </w:rPr>
      </w:pPr>
      <w:r w:rsidRPr="00B93599">
        <w:rPr>
          <w:rFonts w:ascii="Arial" w:hAnsi="Arial" w:cs="Arial"/>
          <w:sz w:val="22"/>
          <w:szCs w:val="22"/>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21928713" w14:textId="7425B59C" w:rsidR="00E61093" w:rsidRPr="00C7333F" w:rsidRDefault="00E61093" w:rsidP="00E61093">
      <w:pPr>
        <w:ind w:left="1134" w:right="1185"/>
        <w:jc w:val="both"/>
        <w:rPr>
          <w:rFonts w:ascii="Arial" w:hAnsi="Arial" w:cs="Arial"/>
          <w:sz w:val="20"/>
          <w:szCs w:val="22"/>
        </w:rPr>
      </w:pPr>
      <w:r w:rsidRPr="00C7333F">
        <w:rPr>
          <w:rFonts w:ascii="Arial" w:hAnsi="Arial" w:cs="Arial"/>
          <w:b/>
          <w:bCs/>
          <w:sz w:val="20"/>
          <w:szCs w:val="22"/>
        </w:rPr>
        <w:lastRenderedPageBreak/>
        <w:t>“Actos consentidos tácitamente. Improcedencia de su análisis.</w:t>
      </w:r>
      <w:r w:rsidRPr="00C7333F">
        <w:rPr>
          <w:rFonts w:ascii="Arial" w:hAnsi="Arial" w:cs="Arial"/>
          <w:sz w:val="20"/>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19957E02" w14:textId="1D8FA7A6" w:rsidR="00E61093" w:rsidRPr="00B93599" w:rsidRDefault="00E61093" w:rsidP="008E2C25">
      <w:pPr>
        <w:spacing w:line="360" w:lineRule="auto"/>
        <w:ind w:firstLine="709"/>
        <w:jc w:val="both"/>
        <w:rPr>
          <w:rFonts w:ascii="Arial" w:hAnsi="Arial" w:cs="Arial"/>
          <w:sz w:val="22"/>
          <w:szCs w:val="22"/>
        </w:rPr>
      </w:pPr>
    </w:p>
    <w:p w14:paraId="049B1ABD" w14:textId="77777777" w:rsidR="008E2C25" w:rsidRPr="00B93599" w:rsidRDefault="008E2C25" w:rsidP="008E2C25">
      <w:pPr>
        <w:spacing w:line="360" w:lineRule="auto"/>
        <w:ind w:firstLine="708"/>
        <w:jc w:val="both"/>
        <w:rPr>
          <w:rFonts w:ascii="Arial" w:hAnsi="Arial" w:cs="Arial"/>
          <w:sz w:val="22"/>
          <w:szCs w:val="22"/>
        </w:rPr>
      </w:pPr>
      <w:r w:rsidRPr="00B93599">
        <w:rPr>
          <w:rFonts w:ascii="Arial" w:hAnsi="Arial" w:cs="Arial"/>
          <w:sz w:val="22"/>
          <w:szCs w:val="22"/>
        </w:rPr>
        <w:t>En ese tenor y al no advertirse que el particular haya realizado manifestaciones de inconformidad, se colige que se muestra conforme con la respuesta emitida por el sujeto obligado.</w:t>
      </w:r>
    </w:p>
    <w:p w14:paraId="4D5D6E2C" w14:textId="77777777" w:rsidR="008E2C25" w:rsidRPr="00B93599" w:rsidRDefault="008E2C25" w:rsidP="008E2C25">
      <w:pPr>
        <w:spacing w:line="360" w:lineRule="auto"/>
        <w:ind w:firstLine="708"/>
        <w:jc w:val="both"/>
        <w:rPr>
          <w:rFonts w:ascii="Arial" w:hAnsi="Arial" w:cs="Arial"/>
          <w:sz w:val="22"/>
          <w:szCs w:val="22"/>
        </w:rPr>
      </w:pPr>
    </w:p>
    <w:p w14:paraId="14585997" w14:textId="77777777" w:rsidR="008E2C25" w:rsidRPr="00B93599" w:rsidRDefault="008E2C25" w:rsidP="008E2C25">
      <w:pPr>
        <w:spacing w:line="360" w:lineRule="auto"/>
        <w:ind w:firstLine="708"/>
        <w:rPr>
          <w:rFonts w:ascii="Arial" w:hAnsi="Arial" w:cs="Arial"/>
          <w:sz w:val="22"/>
          <w:szCs w:val="22"/>
        </w:rPr>
      </w:pPr>
      <w:r w:rsidRPr="00B93599">
        <w:rPr>
          <w:rFonts w:ascii="Arial" w:hAnsi="Arial" w:cs="Arial"/>
          <w:sz w:val="22"/>
          <w:szCs w:val="22"/>
        </w:rPr>
        <w:t>Por lo anteriormente expuesto y fundado, se emite el siguiente:</w:t>
      </w:r>
    </w:p>
    <w:p w14:paraId="1C71B3E6" w14:textId="77777777" w:rsidR="008E2C25" w:rsidRPr="00B93599" w:rsidRDefault="008E2C25" w:rsidP="008E2C25">
      <w:pPr>
        <w:spacing w:line="360" w:lineRule="auto"/>
        <w:jc w:val="center"/>
        <w:rPr>
          <w:rFonts w:ascii="Arial" w:hAnsi="Arial" w:cs="Arial"/>
          <w:b/>
          <w:sz w:val="22"/>
          <w:szCs w:val="22"/>
        </w:rPr>
      </w:pPr>
    </w:p>
    <w:p w14:paraId="510F4151" w14:textId="77777777" w:rsidR="008E2C25" w:rsidRPr="00B93599" w:rsidRDefault="008E2C25" w:rsidP="008E2C25">
      <w:pPr>
        <w:spacing w:line="360" w:lineRule="auto"/>
        <w:jc w:val="center"/>
        <w:rPr>
          <w:rFonts w:ascii="Arial" w:hAnsi="Arial" w:cs="Arial"/>
          <w:b/>
          <w:sz w:val="22"/>
          <w:szCs w:val="22"/>
        </w:rPr>
      </w:pPr>
      <w:r w:rsidRPr="00B93599">
        <w:rPr>
          <w:rFonts w:ascii="Arial" w:hAnsi="Arial" w:cs="Arial"/>
          <w:b/>
          <w:sz w:val="22"/>
          <w:szCs w:val="22"/>
        </w:rPr>
        <w:t>ACUERDO</w:t>
      </w:r>
    </w:p>
    <w:p w14:paraId="51499432" w14:textId="77777777" w:rsidR="008E2C25" w:rsidRPr="00B93599" w:rsidRDefault="008E2C25" w:rsidP="008E2C25">
      <w:pPr>
        <w:spacing w:line="360" w:lineRule="auto"/>
        <w:jc w:val="center"/>
        <w:rPr>
          <w:rFonts w:ascii="Arial" w:hAnsi="Arial" w:cs="Arial"/>
          <w:b/>
          <w:sz w:val="22"/>
          <w:szCs w:val="22"/>
        </w:rPr>
      </w:pPr>
    </w:p>
    <w:p w14:paraId="0EC71EDB" w14:textId="77777777" w:rsidR="008E2C25" w:rsidRPr="00B93599" w:rsidRDefault="008E2C25" w:rsidP="008E2C25">
      <w:pPr>
        <w:spacing w:line="360" w:lineRule="auto"/>
        <w:ind w:right="111" w:firstLine="708"/>
        <w:jc w:val="both"/>
        <w:rPr>
          <w:rFonts w:ascii="Arial" w:hAnsi="Arial" w:cs="Arial"/>
          <w:spacing w:val="1"/>
          <w:sz w:val="22"/>
          <w:szCs w:val="22"/>
        </w:rPr>
      </w:pPr>
      <w:r w:rsidRPr="00B93599">
        <w:rPr>
          <w:rFonts w:ascii="Arial" w:hAnsi="Arial" w:cs="Arial"/>
          <w:b/>
          <w:spacing w:val="1"/>
          <w:sz w:val="22"/>
          <w:szCs w:val="22"/>
        </w:rPr>
        <w:t xml:space="preserve">PRIMERO. </w:t>
      </w:r>
      <w:r w:rsidRPr="00B93599">
        <w:rPr>
          <w:rFonts w:ascii="Arial" w:hAnsi="Arial" w:cs="Arial"/>
          <w:spacing w:val="1"/>
          <w:sz w:val="22"/>
          <w:szCs w:val="22"/>
        </w:rPr>
        <w:t xml:space="preserve">Con base en el artículo 185 de la Ley de Transparencia y Acceso a la Información Pública del Estado, declara </w:t>
      </w:r>
      <w:r w:rsidRPr="00B93599">
        <w:rPr>
          <w:rFonts w:ascii="Arial" w:hAnsi="Arial" w:cs="Arial"/>
          <w:b/>
          <w:spacing w:val="1"/>
          <w:sz w:val="22"/>
          <w:szCs w:val="22"/>
          <w:u w:val="single"/>
        </w:rPr>
        <w:t>cumplida</w:t>
      </w:r>
      <w:r w:rsidRPr="00B93599">
        <w:rPr>
          <w:rFonts w:ascii="Arial" w:hAnsi="Arial" w:cs="Arial"/>
          <w:spacing w:val="1"/>
          <w:sz w:val="22"/>
          <w:szCs w:val="22"/>
        </w:rPr>
        <w:t xml:space="preserve"> la resolución que en definitiva se dictó en el presente asunto.</w:t>
      </w:r>
    </w:p>
    <w:p w14:paraId="07F75F20" w14:textId="77777777" w:rsidR="008E2C25" w:rsidRPr="00B93599" w:rsidRDefault="008E2C25" w:rsidP="008E2C25">
      <w:pPr>
        <w:spacing w:line="360" w:lineRule="auto"/>
        <w:jc w:val="center"/>
        <w:rPr>
          <w:rFonts w:ascii="Arial" w:hAnsi="Arial" w:cs="Arial"/>
          <w:sz w:val="22"/>
          <w:szCs w:val="22"/>
        </w:rPr>
      </w:pPr>
    </w:p>
    <w:p w14:paraId="3808FE81" w14:textId="77777777" w:rsidR="008E2C25" w:rsidRPr="00B93599" w:rsidRDefault="008E2C25" w:rsidP="008E2C25">
      <w:pPr>
        <w:spacing w:line="360" w:lineRule="auto"/>
        <w:ind w:firstLine="708"/>
        <w:jc w:val="both"/>
        <w:rPr>
          <w:rFonts w:ascii="Arial" w:hAnsi="Arial" w:cs="Arial"/>
          <w:sz w:val="22"/>
          <w:szCs w:val="22"/>
        </w:rPr>
      </w:pPr>
      <w:r w:rsidRPr="00B93599">
        <w:rPr>
          <w:rFonts w:ascii="Arial" w:hAnsi="Arial" w:cs="Arial"/>
          <w:b/>
          <w:sz w:val="22"/>
          <w:szCs w:val="22"/>
        </w:rPr>
        <w:t xml:space="preserve">SEGUNDO. </w:t>
      </w:r>
      <w:r w:rsidRPr="00B93599">
        <w:rPr>
          <w:rFonts w:ascii="Arial" w:hAnsi="Arial" w:cs="Arial"/>
          <w:sz w:val="22"/>
          <w:szCs w:val="22"/>
        </w:rPr>
        <w:t>Con fundamento en el numeral Vigésimo Noveno de los Lineamientos para la Recepción, Substanciación, Resolución y Cumplimiento de los Recursos de Revisión promovidos ante la CEGAIP,</w:t>
      </w:r>
      <w:r w:rsidRPr="00B93599">
        <w:rPr>
          <w:rFonts w:ascii="Arial" w:hAnsi="Arial" w:cs="Arial"/>
          <w:b/>
          <w:sz w:val="22"/>
          <w:szCs w:val="22"/>
        </w:rPr>
        <w:t xml:space="preserve"> se remite el presente asunto al Archivo de Concentración de este Órgano Garante, </w:t>
      </w:r>
      <w:r w:rsidRPr="00B93599">
        <w:rPr>
          <w:rFonts w:ascii="Arial" w:hAnsi="Arial" w:cs="Arial"/>
          <w:sz w:val="22"/>
          <w:szCs w:val="22"/>
        </w:rPr>
        <w:t>como asunto concluido.</w:t>
      </w:r>
    </w:p>
    <w:p w14:paraId="4C187753" w14:textId="77777777" w:rsidR="008E2C25" w:rsidRPr="00B93599" w:rsidRDefault="008E2C25" w:rsidP="008E2C25">
      <w:pPr>
        <w:spacing w:line="360" w:lineRule="auto"/>
        <w:jc w:val="both"/>
        <w:rPr>
          <w:rFonts w:ascii="Arial" w:hAnsi="Arial" w:cs="Arial"/>
          <w:b/>
          <w:sz w:val="22"/>
          <w:szCs w:val="22"/>
        </w:rPr>
      </w:pPr>
    </w:p>
    <w:p w14:paraId="61A68A89" w14:textId="77777777" w:rsidR="008E2C25" w:rsidRPr="00B93599" w:rsidRDefault="008E2C25" w:rsidP="008E2C25">
      <w:pPr>
        <w:spacing w:line="360" w:lineRule="auto"/>
        <w:ind w:firstLine="708"/>
        <w:jc w:val="both"/>
        <w:rPr>
          <w:rFonts w:ascii="Arial" w:hAnsi="Arial" w:cs="Arial"/>
          <w:sz w:val="22"/>
          <w:szCs w:val="22"/>
        </w:rPr>
      </w:pPr>
      <w:r w:rsidRPr="00B93599">
        <w:rPr>
          <w:rFonts w:ascii="Arial" w:hAnsi="Arial" w:cs="Arial"/>
          <w:b/>
          <w:sz w:val="22"/>
          <w:szCs w:val="22"/>
        </w:rPr>
        <w:t>TERCERO.</w:t>
      </w:r>
      <w:r w:rsidRPr="00B93599">
        <w:rPr>
          <w:rFonts w:ascii="Arial" w:hAnsi="Arial" w:cs="Arial"/>
          <w:sz w:val="22"/>
          <w:szCs w:val="22"/>
        </w:rPr>
        <w:t xml:space="preserve"> Notifíquese personalmente.</w:t>
      </w:r>
    </w:p>
    <w:p w14:paraId="4D1D8C60" w14:textId="77777777" w:rsidR="008E2C25" w:rsidRPr="00B93599" w:rsidRDefault="008E2C25" w:rsidP="008E2C25">
      <w:pPr>
        <w:spacing w:line="360" w:lineRule="auto"/>
        <w:jc w:val="both"/>
        <w:rPr>
          <w:rFonts w:ascii="Arial" w:hAnsi="Arial" w:cs="Arial"/>
          <w:i/>
          <w:sz w:val="22"/>
          <w:szCs w:val="22"/>
        </w:rPr>
      </w:pPr>
    </w:p>
    <w:p w14:paraId="019F1A37" w14:textId="4B1DDFF7" w:rsidR="008E2C25" w:rsidRPr="00B93599" w:rsidRDefault="008E2C25" w:rsidP="008E2C25">
      <w:pPr>
        <w:spacing w:line="360" w:lineRule="auto"/>
        <w:jc w:val="both"/>
        <w:rPr>
          <w:rFonts w:ascii="Arial" w:hAnsi="Arial" w:cs="Arial"/>
          <w:sz w:val="22"/>
          <w:szCs w:val="22"/>
        </w:rPr>
      </w:pPr>
      <w:r w:rsidRPr="00B93599">
        <w:rPr>
          <w:rFonts w:ascii="Arial" w:hAnsi="Arial" w:cs="Arial"/>
          <w:sz w:val="22"/>
          <w:szCs w:val="22"/>
        </w:rPr>
        <w:tab/>
        <w:t xml:space="preserve">Así lo proveyó y firma Adriana Berenice Capetillo Reyes, Proyectista Adscrita a la Ponencia 3 de la Comisión Estatal de Garantía de Acceso a la Información Pública, en la Ciudad de San Luis Potosí, S. L. P., a </w:t>
      </w:r>
      <w:r w:rsidR="00C7333F">
        <w:rPr>
          <w:rFonts w:ascii="Arial" w:hAnsi="Arial" w:cs="Arial"/>
          <w:sz w:val="22"/>
          <w:szCs w:val="22"/>
        </w:rPr>
        <w:t>dieciséis de diciembre de dos mil veinticinco</w:t>
      </w:r>
      <w:r w:rsidRPr="00B93599">
        <w:rPr>
          <w:rFonts w:ascii="Arial" w:hAnsi="Arial" w:cs="Arial"/>
          <w:sz w:val="22"/>
          <w:szCs w:val="22"/>
        </w:rPr>
        <w:t xml:space="preserve">. </w:t>
      </w:r>
    </w:p>
    <w:p w14:paraId="4FBD7391" w14:textId="77777777" w:rsidR="008E2C25" w:rsidRPr="00B93599" w:rsidRDefault="008E2C25" w:rsidP="008E2C25">
      <w:pPr>
        <w:spacing w:line="360" w:lineRule="auto"/>
        <w:jc w:val="both"/>
        <w:rPr>
          <w:rFonts w:ascii="Arial" w:hAnsi="Arial" w:cs="Arial"/>
          <w:sz w:val="22"/>
          <w:szCs w:val="22"/>
        </w:rPr>
      </w:pPr>
    </w:p>
    <w:p w14:paraId="3207555F" w14:textId="77777777" w:rsidR="008E2C25" w:rsidRPr="00B93599" w:rsidRDefault="008E2C25" w:rsidP="008E2C25">
      <w:pPr>
        <w:spacing w:line="360" w:lineRule="auto"/>
        <w:jc w:val="both"/>
        <w:rPr>
          <w:rFonts w:ascii="Arial" w:hAnsi="Arial" w:cs="Arial"/>
          <w:sz w:val="22"/>
          <w:szCs w:val="22"/>
        </w:rPr>
      </w:pPr>
    </w:p>
    <w:p w14:paraId="5E62FEB1" w14:textId="77777777" w:rsidR="008E2C25" w:rsidRPr="00B93599" w:rsidRDefault="008E2C25" w:rsidP="008E2C25">
      <w:pPr>
        <w:spacing w:line="360" w:lineRule="auto"/>
        <w:jc w:val="center"/>
        <w:rPr>
          <w:rFonts w:ascii="Arial" w:hAnsi="Arial" w:cs="Arial"/>
          <w:b/>
          <w:sz w:val="22"/>
          <w:szCs w:val="22"/>
        </w:rPr>
      </w:pPr>
      <w:r w:rsidRPr="00B93599">
        <w:rPr>
          <w:rFonts w:ascii="Arial" w:hAnsi="Arial" w:cs="Arial"/>
          <w:b/>
          <w:sz w:val="22"/>
          <w:szCs w:val="22"/>
        </w:rPr>
        <w:t>Adriana Berenice Capetillo Reyes</w:t>
      </w:r>
    </w:p>
    <w:p w14:paraId="16D1BCB2" w14:textId="58C06CA7" w:rsidR="008E2C25" w:rsidRPr="00B93599" w:rsidRDefault="008E2C25" w:rsidP="008E2C25">
      <w:pPr>
        <w:spacing w:line="360" w:lineRule="auto"/>
        <w:jc w:val="center"/>
        <w:rPr>
          <w:rFonts w:ascii="Arial" w:hAnsi="Arial" w:cs="Arial"/>
          <w:b/>
          <w:sz w:val="22"/>
          <w:szCs w:val="22"/>
        </w:rPr>
      </w:pPr>
      <w:r w:rsidRPr="00B93599">
        <w:rPr>
          <w:rFonts w:ascii="Arial" w:hAnsi="Arial" w:cs="Arial"/>
          <w:b/>
          <w:sz w:val="22"/>
          <w:szCs w:val="22"/>
        </w:rPr>
        <w:t>Proyectista Adscrita a Ponencia Tres</w:t>
      </w:r>
    </w:p>
    <w:p w14:paraId="3C58A0FA" w14:textId="2FB08A9C" w:rsidR="00A20DB4" w:rsidRDefault="00C7333F" w:rsidP="00C7333F">
      <w:pPr>
        <w:spacing w:line="360" w:lineRule="auto"/>
        <w:rPr>
          <w:rFonts w:ascii="Arial" w:hAnsi="Arial" w:cs="Arial"/>
          <w:b/>
          <w:sz w:val="12"/>
          <w:szCs w:val="22"/>
        </w:rPr>
      </w:pPr>
      <w:r>
        <w:rPr>
          <w:rFonts w:ascii="Arial" w:hAnsi="Arial" w:cs="Arial"/>
          <w:b/>
          <w:sz w:val="12"/>
          <w:szCs w:val="22"/>
        </w:rPr>
        <w:t>Elaboró: ANR</w:t>
      </w:r>
    </w:p>
    <w:p w14:paraId="22C24FED" w14:textId="77777777" w:rsidR="00C7333F" w:rsidRPr="00C7333F" w:rsidRDefault="00C7333F" w:rsidP="00C7333F">
      <w:pPr>
        <w:spacing w:line="360" w:lineRule="auto"/>
        <w:rPr>
          <w:rFonts w:ascii="Arial" w:hAnsi="Arial" w:cs="Arial"/>
          <w:b/>
          <w:sz w:val="12"/>
          <w:szCs w:val="22"/>
        </w:rPr>
      </w:pPr>
      <w:bookmarkStart w:id="0" w:name="_GoBack"/>
      <w:bookmarkEnd w:id="0"/>
    </w:p>
    <w:p w14:paraId="18454161" w14:textId="77777777" w:rsidR="00C7333F" w:rsidRPr="00B93599" w:rsidRDefault="00C7333F" w:rsidP="008E2C25">
      <w:pPr>
        <w:spacing w:line="360" w:lineRule="auto"/>
        <w:jc w:val="center"/>
        <w:rPr>
          <w:rFonts w:ascii="Arial" w:hAnsi="Arial" w:cs="Arial"/>
          <w:b/>
          <w:sz w:val="22"/>
          <w:szCs w:val="22"/>
        </w:rPr>
      </w:pPr>
    </w:p>
    <w:p w14:paraId="6E9B98BF" w14:textId="2C67CE36" w:rsidR="00AD7F20" w:rsidRPr="00B93599" w:rsidRDefault="00AD7F20" w:rsidP="006E3DBD">
      <w:pPr>
        <w:spacing w:line="360" w:lineRule="auto"/>
        <w:jc w:val="both"/>
        <w:rPr>
          <w:rFonts w:ascii="Arial" w:hAnsi="Arial" w:cs="Arial"/>
          <w:sz w:val="16"/>
          <w:szCs w:val="22"/>
        </w:rPr>
      </w:pPr>
      <w:r w:rsidRPr="00B93599">
        <w:rPr>
          <w:rFonts w:ascii="Arial" w:hAnsi="Arial" w:cs="Arial"/>
          <w:sz w:val="16"/>
          <w:szCs w:val="22"/>
        </w:rPr>
        <w:t xml:space="preserve">A las ocho horas del día ___ de ___________ de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 - - - - - - - - - - - - - - -  - - - - - - - - - - - - - - - - - - - - - - - - - - - -- - -DOY FE </w:t>
      </w:r>
    </w:p>
    <w:p w14:paraId="30E7B1EC" w14:textId="7BF89320" w:rsidR="00C7333F" w:rsidRDefault="00C7333F" w:rsidP="006E3DBD">
      <w:pPr>
        <w:spacing w:line="360" w:lineRule="auto"/>
        <w:jc w:val="center"/>
        <w:rPr>
          <w:rFonts w:ascii="Arial" w:hAnsi="Arial" w:cs="Arial"/>
          <w:b/>
          <w:sz w:val="16"/>
          <w:szCs w:val="22"/>
        </w:rPr>
      </w:pPr>
    </w:p>
    <w:p w14:paraId="0A313215" w14:textId="77777777" w:rsidR="00C7333F" w:rsidRPr="00C7333F" w:rsidRDefault="00C7333F" w:rsidP="006E3DBD">
      <w:pPr>
        <w:spacing w:line="360" w:lineRule="auto"/>
        <w:jc w:val="center"/>
        <w:rPr>
          <w:rFonts w:ascii="Arial" w:hAnsi="Arial" w:cs="Arial"/>
          <w:b/>
          <w:sz w:val="16"/>
          <w:szCs w:val="22"/>
        </w:rPr>
      </w:pPr>
    </w:p>
    <w:p w14:paraId="7EEE1D12" w14:textId="77777777" w:rsidR="00AD7F20" w:rsidRPr="00B93599" w:rsidRDefault="00AD7F20" w:rsidP="006E3DBD">
      <w:pPr>
        <w:spacing w:line="360" w:lineRule="auto"/>
        <w:jc w:val="center"/>
        <w:rPr>
          <w:rFonts w:ascii="Arial" w:hAnsi="Arial" w:cs="Arial"/>
          <w:b/>
          <w:sz w:val="16"/>
          <w:szCs w:val="22"/>
        </w:rPr>
      </w:pPr>
      <w:r w:rsidRPr="00B93599">
        <w:rPr>
          <w:rFonts w:ascii="Arial" w:hAnsi="Arial" w:cs="Arial"/>
          <w:b/>
          <w:sz w:val="16"/>
          <w:szCs w:val="22"/>
        </w:rPr>
        <w:t>Javier Pérez Limón</w:t>
      </w:r>
    </w:p>
    <w:p w14:paraId="4634D006" w14:textId="0CC98F75" w:rsidR="00BB58C4" w:rsidRPr="00B93599" w:rsidRDefault="00AD7F20" w:rsidP="006E3DBD">
      <w:pPr>
        <w:spacing w:line="360" w:lineRule="auto"/>
        <w:jc w:val="center"/>
        <w:rPr>
          <w:sz w:val="16"/>
          <w:szCs w:val="22"/>
        </w:rPr>
      </w:pPr>
      <w:r w:rsidRPr="00B93599">
        <w:rPr>
          <w:rFonts w:ascii="Arial" w:hAnsi="Arial" w:cs="Arial"/>
          <w:b/>
          <w:sz w:val="16"/>
          <w:szCs w:val="22"/>
        </w:rPr>
        <w:t>Notificador</w:t>
      </w:r>
    </w:p>
    <w:sectPr w:rsidR="00BB58C4" w:rsidRPr="00B93599" w:rsidSect="00151D88">
      <w:headerReference w:type="default" r:id="rId10"/>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1DD012" w14:textId="77777777" w:rsidR="00454EB5" w:rsidRDefault="00454EB5" w:rsidP="00BB58C4">
      <w:r>
        <w:separator/>
      </w:r>
    </w:p>
  </w:endnote>
  <w:endnote w:type="continuationSeparator" w:id="0">
    <w:p w14:paraId="0FB77691" w14:textId="77777777" w:rsidR="00454EB5" w:rsidRDefault="00454EB5"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B972FC" w14:textId="77777777" w:rsidR="00454EB5" w:rsidRDefault="00454EB5" w:rsidP="00BB58C4">
      <w:r>
        <w:separator/>
      </w:r>
    </w:p>
  </w:footnote>
  <w:footnote w:type="continuationSeparator" w:id="0">
    <w:p w14:paraId="48C1B96B" w14:textId="77777777" w:rsidR="00454EB5" w:rsidRDefault="00454EB5"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7677D3A8" w:rsidR="00BE5415" w:rsidRDefault="00BE5415">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C7333F">
          <w:rPr>
            <w:noProof/>
          </w:rPr>
          <w:t>5</w:t>
        </w:r>
        <w:r>
          <w:fldChar w:fldCharType="end"/>
        </w:r>
      </w:sdtContent>
    </w:sdt>
  </w:p>
  <w:p w14:paraId="73B62FEB" w14:textId="18370400" w:rsidR="00BE5415" w:rsidRDefault="00BE5415">
    <w:pPr>
      <w:pStyle w:val="Encabezado"/>
      <w:jc w:val="center"/>
    </w:pPr>
  </w:p>
  <w:p w14:paraId="11A12D19" w14:textId="2D6FFD7A" w:rsidR="00BE5415" w:rsidRDefault="00BE5415">
    <w:pPr>
      <w:pStyle w:val="Encabezado"/>
      <w:jc w:val="center"/>
    </w:pPr>
  </w:p>
  <w:p w14:paraId="3C5C0923" w14:textId="7B0FF51F" w:rsidR="00BE5415" w:rsidRDefault="00BE5415">
    <w:pPr>
      <w:pStyle w:val="Encabezado"/>
      <w:jc w:val="center"/>
    </w:pPr>
  </w:p>
  <w:p w14:paraId="1EF4CA24" w14:textId="1DEEFC60" w:rsidR="00BE5415" w:rsidRDefault="00BE5415" w:rsidP="00151D88">
    <w:pPr>
      <w:pStyle w:val="Encabezado"/>
      <w:tabs>
        <w:tab w:val="left" w:pos="5954"/>
      </w:tabs>
      <w:jc w:val="right"/>
      <w:rPr>
        <w:sz w:val="20"/>
        <w:szCs w:val="20"/>
      </w:rPr>
    </w:pPr>
    <w:r w:rsidRPr="00485956">
      <w:rPr>
        <w:b/>
        <w:sz w:val="26"/>
        <w:szCs w:val="26"/>
      </w:rPr>
      <w:t>RR-</w:t>
    </w:r>
    <w:r w:rsidR="00624872">
      <w:rPr>
        <w:b/>
        <w:sz w:val="26"/>
        <w:szCs w:val="26"/>
      </w:rPr>
      <w:t>013</w:t>
    </w:r>
    <w:r w:rsidRPr="00485956">
      <w:rPr>
        <w:b/>
        <w:sz w:val="26"/>
        <w:szCs w:val="26"/>
      </w:rPr>
      <w:t>/202</w:t>
    </w:r>
    <w:r w:rsidR="00624872">
      <w:rPr>
        <w:b/>
        <w:sz w:val="26"/>
        <w:szCs w:val="26"/>
      </w:rPr>
      <w:t>5</w:t>
    </w:r>
    <w:r w:rsidRPr="00485956">
      <w:rPr>
        <w:b/>
        <w:sz w:val="26"/>
        <w:szCs w:val="26"/>
      </w:rPr>
      <w:t>-3</w:t>
    </w:r>
    <w:r w:rsidR="004310F2">
      <w:rPr>
        <w:b/>
        <w:sz w:val="26"/>
        <w:szCs w:val="26"/>
      </w:rPr>
      <w:t xml:space="preserve"> OP</w:t>
    </w:r>
  </w:p>
  <w:p w14:paraId="167ADC62" w14:textId="77777777" w:rsidR="00BE5415" w:rsidRDefault="00BE5415" w:rsidP="00E25AE4">
    <w:pPr>
      <w:pStyle w:val="Encabezado"/>
      <w:tabs>
        <w:tab w:val="left" w:pos="5954"/>
      </w:tabs>
      <w:jc w:val="right"/>
      <w:rPr>
        <w:sz w:val="20"/>
        <w:szCs w:val="20"/>
      </w:rPr>
    </w:pPr>
  </w:p>
  <w:p w14:paraId="2E3B98D4" w14:textId="77777777" w:rsidR="00BE5415" w:rsidRDefault="00BE5415">
    <w:pPr>
      <w:pStyle w:val="Encabezado"/>
      <w:jc w:val="center"/>
    </w:pPr>
  </w:p>
  <w:p w14:paraId="4E5FFEF8" w14:textId="46E567DF" w:rsidR="00BE5415" w:rsidRDefault="00BE541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EC7D69"/>
    <w:multiLevelType w:val="hybridMultilevel"/>
    <w:tmpl w:val="E7B6CD12"/>
    <w:lvl w:ilvl="0" w:tplc="1A662D8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15:restartNumberingAfterBreak="0">
    <w:nsid w:val="4E8E65B7"/>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56972177"/>
    <w:multiLevelType w:val="hybridMultilevel"/>
    <w:tmpl w:val="385C8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EED7030"/>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63D65309"/>
    <w:multiLevelType w:val="hybridMultilevel"/>
    <w:tmpl w:val="99606338"/>
    <w:lvl w:ilvl="0" w:tplc="0584D270">
      <w:start w:val="1"/>
      <w:numFmt w:val="decimal"/>
      <w:lvlText w:val="%1."/>
      <w:lvlJc w:val="left"/>
      <w:pPr>
        <w:ind w:left="1069" w:hanging="360"/>
      </w:pPr>
      <w:rPr>
        <w:rFonts w:hint="default"/>
      </w:rPr>
    </w:lvl>
    <w:lvl w:ilvl="1" w:tplc="080A0019">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0"/>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2054E"/>
    <w:rsid w:val="00064E4F"/>
    <w:rsid w:val="000B0032"/>
    <w:rsid w:val="000D588A"/>
    <w:rsid w:val="000E016B"/>
    <w:rsid w:val="00101B45"/>
    <w:rsid w:val="0013713C"/>
    <w:rsid w:val="00151D88"/>
    <w:rsid w:val="001555AE"/>
    <w:rsid w:val="00197E0D"/>
    <w:rsid w:val="001B1DC6"/>
    <w:rsid w:val="001C6C84"/>
    <w:rsid w:val="001D470D"/>
    <w:rsid w:val="002052B5"/>
    <w:rsid w:val="0020679C"/>
    <w:rsid w:val="002231A1"/>
    <w:rsid w:val="002632EA"/>
    <w:rsid w:val="00263982"/>
    <w:rsid w:val="002758C7"/>
    <w:rsid w:val="002A20FF"/>
    <w:rsid w:val="002F0A47"/>
    <w:rsid w:val="002F4635"/>
    <w:rsid w:val="00302132"/>
    <w:rsid w:val="003143BF"/>
    <w:rsid w:val="00315D18"/>
    <w:rsid w:val="003C267A"/>
    <w:rsid w:val="003E0797"/>
    <w:rsid w:val="003F0E7E"/>
    <w:rsid w:val="004310F2"/>
    <w:rsid w:val="00454EB5"/>
    <w:rsid w:val="00471043"/>
    <w:rsid w:val="00474E72"/>
    <w:rsid w:val="00537924"/>
    <w:rsid w:val="00541994"/>
    <w:rsid w:val="005B51A9"/>
    <w:rsid w:val="005B557F"/>
    <w:rsid w:val="005B7A82"/>
    <w:rsid w:val="0061492F"/>
    <w:rsid w:val="00624872"/>
    <w:rsid w:val="00636CA1"/>
    <w:rsid w:val="00647770"/>
    <w:rsid w:val="00657AD7"/>
    <w:rsid w:val="006E3DBD"/>
    <w:rsid w:val="006F1374"/>
    <w:rsid w:val="007B194A"/>
    <w:rsid w:val="007B55B0"/>
    <w:rsid w:val="007C3966"/>
    <w:rsid w:val="008329D4"/>
    <w:rsid w:val="00847F9F"/>
    <w:rsid w:val="00866027"/>
    <w:rsid w:val="008726E7"/>
    <w:rsid w:val="0089243F"/>
    <w:rsid w:val="008A0502"/>
    <w:rsid w:val="008B5177"/>
    <w:rsid w:val="008D5FA8"/>
    <w:rsid w:val="008E2C25"/>
    <w:rsid w:val="008F0F03"/>
    <w:rsid w:val="008F4DFE"/>
    <w:rsid w:val="0093057A"/>
    <w:rsid w:val="00953DF5"/>
    <w:rsid w:val="009B3806"/>
    <w:rsid w:val="009D7D9D"/>
    <w:rsid w:val="00A20DB4"/>
    <w:rsid w:val="00A2232F"/>
    <w:rsid w:val="00A27C50"/>
    <w:rsid w:val="00A43A1F"/>
    <w:rsid w:val="00AD0240"/>
    <w:rsid w:val="00AD7F20"/>
    <w:rsid w:val="00B2223F"/>
    <w:rsid w:val="00B24175"/>
    <w:rsid w:val="00B4223C"/>
    <w:rsid w:val="00B80066"/>
    <w:rsid w:val="00B93195"/>
    <w:rsid w:val="00B93599"/>
    <w:rsid w:val="00BB58C4"/>
    <w:rsid w:val="00BC77DF"/>
    <w:rsid w:val="00BD1346"/>
    <w:rsid w:val="00BD2B59"/>
    <w:rsid w:val="00BE5415"/>
    <w:rsid w:val="00BF76BC"/>
    <w:rsid w:val="00C205A5"/>
    <w:rsid w:val="00C7333F"/>
    <w:rsid w:val="00C777B6"/>
    <w:rsid w:val="00C84C80"/>
    <w:rsid w:val="00CA225F"/>
    <w:rsid w:val="00CF4E16"/>
    <w:rsid w:val="00D55C81"/>
    <w:rsid w:val="00DD32E0"/>
    <w:rsid w:val="00DE5436"/>
    <w:rsid w:val="00DF098B"/>
    <w:rsid w:val="00E014D4"/>
    <w:rsid w:val="00E20206"/>
    <w:rsid w:val="00E25AE4"/>
    <w:rsid w:val="00E55B03"/>
    <w:rsid w:val="00E61093"/>
    <w:rsid w:val="00E62A1B"/>
    <w:rsid w:val="00E862F4"/>
    <w:rsid w:val="00EA3EE3"/>
    <w:rsid w:val="00EC3236"/>
    <w:rsid w:val="00F0324E"/>
    <w:rsid w:val="00F034A9"/>
    <w:rsid w:val="00F2018D"/>
    <w:rsid w:val="00F42B82"/>
    <w:rsid w:val="00F835C7"/>
    <w:rsid w:val="00FB2176"/>
    <w:rsid w:val="00FD49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FAE9E4EF-55D8-4E83-A4CD-FB75AA06D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D88"/>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rFonts w:asciiTheme="minorHAnsi" w:hAnsiTheme="minorHAnsi"/>
      <w:sz w:val="20"/>
      <w:szCs w:val="20"/>
      <w:lang w:val="es-MX"/>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E2020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20206"/>
    <w:rPr>
      <w:rFonts w:ascii="Segoe UI" w:eastAsia="Times New Roman" w:hAnsi="Segoe UI" w:cs="Segoe UI"/>
      <w:sz w:val="18"/>
      <w:szCs w:val="18"/>
      <w:lang w:eastAsia="es-ES"/>
    </w:rPr>
  </w:style>
  <w:style w:type="paragraph" w:styleId="Textoindependiente">
    <w:name w:val="Body Text"/>
    <w:basedOn w:val="Normal"/>
    <w:link w:val="TextoindependienteCar"/>
    <w:uiPriority w:val="99"/>
    <w:semiHidden/>
    <w:unhideWhenUsed/>
    <w:rsid w:val="008E2C25"/>
    <w:pPr>
      <w:spacing w:after="120"/>
    </w:pPr>
  </w:style>
  <w:style w:type="character" w:customStyle="1" w:styleId="TextoindependienteCar">
    <w:name w:val="Texto independiente Car"/>
    <w:basedOn w:val="Fuentedeprrafopredeter"/>
    <w:link w:val="Textoindependiente"/>
    <w:uiPriority w:val="99"/>
    <w:semiHidden/>
    <w:rsid w:val="008E2C25"/>
    <w:rPr>
      <w:rFonts w:ascii="Times New Roman" w:eastAsia="Times New Roman" w:hAnsi="Times New Roman" w:cs="Times New Roman"/>
      <w:sz w:val="24"/>
      <w:szCs w:val="24"/>
      <w:lang w:eastAsia="es-ES"/>
    </w:rPr>
  </w:style>
  <w:style w:type="paragraph" w:styleId="Textoindependienteprimerasangra">
    <w:name w:val="Body Text First Indent"/>
    <w:basedOn w:val="Textoindependiente"/>
    <w:link w:val="TextoindependienteprimerasangraCar"/>
    <w:uiPriority w:val="99"/>
    <w:rsid w:val="008E2C25"/>
    <w:pPr>
      <w:spacing w:line="360" w:lineRule="auto"/>
      <w:ind w:firstLine="210"/>
      <w:jc w:val="both"/>
    </w:pPr>
    <w:rPr>
      <w:rFonts w:ascii="Calibri" w:hAnsi="Calibri"/>
      <w:sz w:val="26"/>
      <w:lang w:val="es-MX"/>
    </w:rPr>
  </w:style>
  <w:style w:type="character" w:customStyle="1" w:styleId="TextoindependienteprimerasangraCar">
    <w:name w:val="Texto independiente primera sangría Car"/>
    <w:basedOn w:val="TextoindependienteCar"/>
    <w:link w:val="Textoindependienteprimerasangra"/>
    <w:uiPriority w:val="99"/>
    <w:rsid w:val="008E2C25"/>
    <w:rPr>
      <w:rFonts w:ascii="Calibri" w:eastAsia="Times New Roman" w:hAnsi="Calibri" w:cs="Times New Roman"/>
      <w:sz w:val="26"/>
      <w:szCs w:val="24"/>
      <w:lang w:val="es-MX" w:eastAsia="es-ES"/>
    </w:rPr>
  </w:style>
  <w:style w:type="paragraph" w:customStyle="1" w:styleId="Estilo">
    <w:name w:val="Estilo"/>
    <w:basedOn w:val="Sinespaciado"/>
    <w:link w:val="EstiloCar"/>
    <w:qFormat/>
    <w:rsid w:val="00EC3236"/>
    <w:pPr>
      <w:jc w:val="both"/>
    </w:pPr>
    <w:rPr>
      <w:rFonts w:ascii="Arial" w:eastAsiaTheme="minorHAnsi" w:hAnsi="Arial" w:cstheme="minorBidi"/>
      <w:szCs w:val="22"/>
      <w:lang w:val="es-MX" w:eastAsia="en-US"/>
    </w:rPr>
  </w:style>
  <w:style w:type="character" w:customStyle="1" w:styleId="EstiloCar">
    <w:name w:val="Estilo Car"/>
    <w:basedOn w:val="Fuentedeprrafopredeter"/>
    <w:link w:val="Estilo"/>
    <w:rsid w:val="00EC3236"/>
    <w:rPr>
      <w:rFonts w:ascii="Arial" w:hAnsi="Arial"/>
      <w:sz w:val="24"/>
      <w:lang w:val="es-MX"/>
    </w:rPr>
  </w:style>
  <w:style w:type="paragraph" w:styleId="Sinespaciado">
    <w:name w:val="No Spacing"/>
    <w:uiPriority w:val="1"/>
    <w:qFormat/>
    <w:rsid w:val="00EC3236"/>
    <w:pPr>
      <w:spacing w:after="0"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6F6lgcTDORFU9cba7FOhTqpWUJGVnjEg/vie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AbrirModal(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1EB2D4-CB94-49CE-941E-64F2371E1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2386</Words>
  <Characters>13129</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cegaip</cp:lastModifiedBy>
  <cp:revision>2</cp:revision>
  <cp:lastPrinted>2025-12-15T19:03:00Z</cp:lastPrinted>
  <dcterms:created xsi:type="dcterms:W3CDTF">2025-12-15T19:04:00Z</dcterms:created>
  <dcterms:modified xsi:type="dcterms:W3CDTF">2025-12-15T19:04:00Z</dcterms:modified>
</cp:coreProperties>
</file>