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4A324C">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A9088A">
        <w:rPr>
          <w:rFonts w:ascii="Arial" w:hAnsi="Arial" w:cs="Arial"/>
          <w:b/>
          <w:color w:val="auto"/>
          <w:spacing w:val="0"/>
          <w:sz w:val="24"/>
          <w:szCs w:val="24"/>
        </w:rPr>
        <w:t>seis</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1B11A7">
        <w:rPr>
          <w:rFonts w:ascii="Arial" w:hAnsi="Arial" w:cs="Arial"/>
          <w:b/>
          <w:color w:val="auto"/>
          <w:spacing w:val="0"/>
          <w:sz w:val="24"/>
          <w:szCs w:val="24"/>
        </w:rPr>
        <w:t>noviembre</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A9088A">
        <w:rPr>
          <w:rFonts w:ascii="Arial" w:hAnsi="Arial" w:cs="Arial"/>
          <w:b/>
          <w:color w:val="auto"/>
          <w:spacing w:val="0"/>
          <w:sz w:val="24"/>
          <w:szCs w:val="24"/>
        </w:rPr>
        <w:t>décim</w:t>
      </w:r>
      <w:r w:rsidR="009B0D72">
        <w:rPr>
          <w:rFonts w:ascii="Arial" w:hAnsi="Arial" w:cs="Arial"/>
          <w:b/>
          <w:color w:val="auto"/>
          <w:spacing w:val="0"/>
          <w:sz w:val="24"/>
          <w:szCs w:val="24"/>
        </w:rPr>
        <w:t>a</w:t>
      </w:r>
      <w:r w:rsidR="001B11A7">
        <w:rPr>
          <w:rFonts w:ascii="Arial" w:hAnsi="Arial" w:cs="Arial"/>
          <w:b/>
          <w:color w:val="auto"/>
          <w:spacing w:val="0"/>
          <w:sz w:val="24"/>
          <w:szCs w:val="24"/>
        </w:rPr>
        <w:t xml:space="preserve"> primera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F3665" w:rsidRDefault="009819AE" w:rsidP="004A324C">
      <w:pPr>
        <w:jc w:val="center"/>
        <w:rPr>
          <w:rFonts w:ascii="Arial" w:hAnsi="Arial" w:cs="Arial"/>
          <w:b/>
        </w:rPr>
      </w:pPr>
      <w:r>
        <w:rPr>
          <w:rFonts w:ascii="Arial" w:hAnsi="Arial" w:cs="Arial"/>
          <w:b/>
        </w:rPr>
        <w:t>RESULTANDO</w:t>
      </w:r>
    </w:p>
    <w:p w:rsidR="00B51013" w:rsidRDefault="00B51013"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1B11A7">
        <w:rPr>
          <w:rFonts w:ascii="Arial" w:hAnsi="Arial" w:cs="Arial"/>
          <w:b/>
        </w:rPr>
        <w:t>30</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1B11A7">
        <w:rPr>
          <w:rFonts w:ascii="Arial" w:hAnsi="Arial" w:cs="Arial"/>
          <w:b/>
        </w:rPr>
        <w:t>octubre</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8275DD">
        <w:rPr>
          <w:rFonts w:ascii="Arial" w:hAnsi="Arial" w:cs="Arial"/>
          <w:b/>
        </w:rPr>
        <w:t>completas</w:t>
      </w:r>
      <w:r w:rsidR="00F91CB5">
        <w:rPr>
          <w:rFonts w:ascii="Arial" w:hAnsi="Arial" w:cs="Arial"/>
          <w:b/>
        </w:rPr>
        <w:t xml:space="preserve"> </w:t>
      </w:r>
      <w:r w:rsidR="006F3DBB">
        <w:rPr>
          <w:rFonts w:ascii="Arial" w:hAnsi="Arial" w:cs="Arial"/>
        </w:rPr>
        <w:t xml:space="preserve">que le fueron presentadas en el mes de </w:t>
      </w:r>
      <w:r w:rsidR="001B11A7">
        <w:rPr>
          <w:rFonts w:ascii="Arial" w:hAnsi="Arial" w:cs="Arial"/>
          <w:b/>
        </w:rPr>
        <w:t>octubre</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A9088A">
        <w:rPr>
          <w:rFonts w:ascii="Arial" w:hAnsi="Arial" w:cs="Arial"/>
          <w:b/>
        </w:rPr>
        <w:t>0</w:t>
      </w:r>
      <w:r w:rsidR="001B11A7">
        <w:rPr>
          <w:rFonts w:ascii="Arial" w:hAnsi="Arial" w:cs="Arial"/>
          <w:b/>
        </w:rPr>
        <w:t>6</w:t>
      </w:r>
      <w:r w:rsidR="00A9088A">
        <w:rPr>
          <w:rFonts w:ascii="Arial" w:hAnsi="Arial" w:cs="Arial"/>
          <w:b/>
        </w:rPr>
        <w:t>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4A324C">
      <w:pPr>
        <w:jc w:val="both"/>
        <w:rPr>
          <w:rFonts w:ascii="Arial" w:hAnsi="Arial" w:cs="Arial"/>
        </w:rPr>
      </w:pPr>
    </w:p>
    <w:p w:rsidR="00BF3665" w:rsidRPr="00044847" w:rsidRDefault="009819AE" w:rsidP="004A324C">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1B11A7">
        <w:rPr>
          <w:rFonts w:ascii="Arial" w:hAnsi="Arial" w:cs="Arial"/>
          <w:b/>
        </w:rPr>
        <w:t>30</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4A324C">
      <w:pPr>
        <w:jc w:val="both"/>
        <w:rPr>
          <w:rFonts w:ascii="Arial" w:hAnsi="Arial" w:cs="Arial"/>
          <w:shd w:val="clear" w:color="auto" w:fill="FFFFFF"/>
        </w:rPr>
      </w:pPr>
    </w:p>
    <w:p w:rsidR="00480799" w:rsidRDefault="00480799" w:rsidP="004A324C">
      <w:pPr>
        <w:jc w:val="center"/>
        <w:rPr>
          <w:rFonts w:ascii="Arial" w:hAnsi="Arial" w:cs="Arial"/>
          <w:b/>
        </w:rPr>
      </w:pPr>
    </w:p>
    <w:p w:rsidR="00BF3665" w:rsidRDefault="009819AE" w:rsidP="004A324C">
      <w:pPr>
        <w:jc w:val="center"/>
        <w:rPr>
          <w:rFonts w:ascii="Arial" w:hAnsi="Arial" w:cs="Arial"/>
          <w:b/>
        </w:rPr>
      </w:pPr>
      <w:r>
        <w:rPr>
          <w:rFonts w:ascii="Arial" w:hAnsi="Arial" w:cs="Arial"/>
          <w:b/>
        </w:rPr>
        <w:t>CONSIDERANDO</w:t>
      </w:r>
    </w:p>
    <w:p w:rsidR="00B11FCD" w:rsidRDefault="00B11FCD"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1B11A7">
        <w:rPr>
          <w:rFonts w:ascii="Arial" w:hAnsi="Arial" w:cs="Arial"/>
          <w:b/>
        </w:rPr>
        <w:t>30</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4A324C">
      <w:pPr>
        <w:jc w:val="both"/>
        <w:rPr>
          <w:rFonts w:ascii="Arial" w:hAnsi="Arial" w:cs="Arial"/>
        </w:rPr>
      </w:pPr>
    </w:p>
    <w:p w:rsidR="005117B5" w:rsidRDefault="005117B5" w:rsidP="004A324C">
      <w:pPr>
        <w:jc w:val="both"/>
        <w:rPr>
          <w:rFonts w:ascii="Arial" w:hAnsi="Arial" w:cs="Arial"/>
          <w:b/>
        </w:rPr>
      </w:pPr>
      <w:r w:rsidRPr="005117B5">
        <w:rPr>
          <w:rFonts w:ascii="Arial" w:hAnsi="Arial" w:cs="Arial"/>
          <w:b/>
        </w:rPr>
        <w:t xml:space="preserve">SEGUNDO. Análisis. </w:t>
      </w:r>
    </w:p>
    <w:p w:rsidR="00376B01" w:rsidRPr="005117B5" w:rsidRDefault="00376B01" w:rsidP="004A324C">
      <w:pPr>
        <w:jc w:val="both"/>
        <w:rPr>
          <w:rFonts w:ascii="Arial" w:hAnsi="Arial" w:cs="Arial"/>
        </w:rPr>
      </w:pPr>
    </w:p>
    <w:p w:rsidR="005117B5" w:rsidRPr="005117B5" w:rsidRDefault="005117B5" w:rsidP="004A324C">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1B11A7">
        <w:rPr>
          <w:rFonts w:ascii="Arial" w:hAnsi="Arial" w:cs="Arial"/>
          <w:b/>
        </w:rPr>
        <w:t>30</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4A324C">
      <w:pPr>
        <w:jc w:val="both"/>
        <w:rPr>
          <w:rFonts w:ascii="Arial" w:hAnsi="Arial" w:cs="Arial"/>
        </w:rPr>
      </w:pPr>
    </w:p>
    <w:p w:rsidR="00E17D56" w:rsidRDefault="00842F00" w:rsidP="004A324C">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4A324C">
      <w:pPr>
        <w:jc w:val="both"/>
        <w:rPr>
          <w:rFonts w:ascii="Arial" w:hAnsi="Arial" w:cs="Arial"/>
        </w:rPr>
      </w:pPr>
    </w:p>
    <w:p w:rsidR="00BF3665" w:rsidRDefault="009819AE" w:rsidP="004A324C">
      <w:pPr>
        <w:jc w:val="both"/>
        <w:rPr>
          <w:rFonts w:ascii="Arial" w:hAnsi="Arial" w:cs="Arial"/>
          <w:b/>
        </w:rPr>
      </w:pPr>
      <w:r>
        <w:rPr>
          <w:rFonts w:ascii="Arial" w:hAnsi="Arial" w:cs="Arial"/>
          <w:b/>
        </w:rPr>
        <w:t>TERCERO. Sentido de la resolución.</w:t>
      </w:r>
    </w:p>
    <w:p w:rsidR="001C2EAB" w:rsidRDefault="001C2EAB" w:rsidP="004A324C">
      <w:pPr>
        <w:jc w:val="both"/>
        <w:rPr>
          <w:rFonts w:ascii="Arial" w:hAnsi="Arial" w:cs="Arial"/>
        </w:rPr>
      </w:pPr>
    </w:p>
    <w:p w:rsidR="00BF3665" w:rsidRDefault="009819AE" w:rsidP="004A324C">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4A324C">
      <w:pPr>
        <w:pStyle w:val="Prrafodelista"/>
        <w:ind w:left="1080"/>
        <w:jc w:val="both"/>
        <w:rPr>
          <w:rFonts w:ascii="Arial" w:hAnsi="Arial" w:cs="Arial"/>
          <w:b/>
        </w:rPr>
      </w:pPr>
    </w:p>
    <w:p w:rsidR="003F4878" w:rsidRPr="003F4878" w:rsidRDefault="007336C3" w:rsidP="004A324C">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A9088A">
        <w:rPr>
          <w:rFonts w:ascii="Arial" w:hAnsi="Arial" w:cs="Arial"/>
          <w:b/>
        </w:rPr>
        <w:t>0</w:t>
      </w:r>
      <w:r w:rsidR="001B11A7">
        <w:rPr>
          <w:rFonts w:ascii="Arial" w:hAnsi="Arial" w:cs="Arial"/>
          <w:b/>
        </w:rPr>
        <w:t>6</w:t>
      </w:r>
      <w:r w:rsidR="00A9088A">
        <w:rPr>
          <w:rFonts w:ascii="Arial" w:hAnsi="Arial" w:cs="Arial"/>
          <w:b/>
        </w:rPr>
        <w:t>6</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4A324C">
      <w:pPr>
        <w:jc w:val="both"/>
        <w:rPr>
          <w:rFonts w:ascii="Arial" w:hAnsi="Arial" w:cs="Arial"/>
        </w:rPr>
      </w:pPr>
    </w:p>
    <w:p w:rsidR="00C24991" w:rsidRDefault="003F4878" w:rsidP="004A324C">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8275DD">
        <w:rPr>
          <w:rFonts w:ascii="Arial" w:hAnsi="Arial" w:cs="Arial"/>
          <w:b/>
        </w:rPr>
        <w:t>completas</w:t>
      </w:r>
      <w:r w:rsidRPr="003F4878">
        <w:rPr>
          <w:rFonts w:ascii="Arial" w:hAnsi="Arial" w:cs="Arial"/>
        </w:rPr>
        <w:t xml:space="preserve"> presentadas en el mes de </w:t>
      </w:r>
      <w:r w:rsidR="001B11A7">
        <w:rPr>
          <w:rFonts w:ascii="Arial" w:hAnsi="Arial" w:cs="Arial"/>
          <w:b/>
        </w:rPr>
        <w:t>octubre</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 xml:space="preserve">que se encuentren adscrito a los Órganos Tácticos Operativos de la Fiscalía General del Estado como lo son Vicefiscalías, </w:t>
      </w:r>
      <w:r w:rsidR="00391F8E">
        <w:rPr>
          <w:rFonts w:ascii="Arial" w:hAnsi="Arial" w:cs="Arial"/>
        </w:rPr>
        <w:lastRenderedPageBreak/>
        <w:t>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A9088A">
        <w:rPr>
          <w:rFonts w:ascii="Arial" w:hAnsi="Arial" w:cs="Arial"/>
          <w:b/>
        </w:rPr>
        <w:t>0</w:t>
      </w:r>
      <w:r w:rsidR="001B11A7">
        <w:rPr>
          <w:rFonts w:ascii="Arial" w:hAnsi="Arial" w:cs="Arial"/>
          <w:b/>
        </w:rPr>
        <w:t>6</w:t>
      </w:r>
      <w:r w:rsidR="00A9088A">
        <w:rPr>
          <w:rFonts w:ascii="Arial" w:hAnsi="Arial" w:cs="Arial"/>
          <w:b/>
        </w:rPr>
        <w:t>6</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4A324C">
      <w:pPr>
        <w:jc w:val="both"/>
        <w:rPr>
          <w:rFonts w:ascii="Arial" w:hAnsi="Arial" w:cs="Arial"/>
        </w:rPr>
      </w:pPr>
    </w:p>
    <w:p w:rsidR="003F4878" w:rsidRDefault="00EE7429" w:rsidP="004A324C">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En el caso que nos ocupa, se considera que se está ante información cuya publicación puede comprometer, por un lado, la seguridad y vida de los servidores públicos operativos y su familia </w:t>
      </w:r>
      <w:r w:rsidRPr="003F4878">
        <w:rPr>
          <w:rFonts w:ascii="Arial" w:hAnsi="Arial" w:cs="Arial"/>
        </w:rPr>
        <w:lastRenderedPageBreak/>
        <w:t>y, por el otro la procuración de justicia, esto último como función imperante en esta dependencia.</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8275DD">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1B11A7">
        <w:rPr>
          <w:rFonts w:ascii="Arial" w:hAnsi="Arial" w:cs="Arial"/>
          <w:b/>
        </w:rPr>
        <w:t>octubre</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4A324C">
      <w:pPr>
        <w:jc w:val="both"/>
        <w:rPr>
          <w:rFonts w:ascii="Arial" w:hAnsi="Arial" w:cs="Arial"/>
          <w:b/>
        </w:rPr>
      </w:pPr>
    </w:p>
    <w:p w:rsidR="003F4878" w:rsidRDefault="00045C57" w:rsidP="004A324C">
      <w:pPr>
        <w:jc w:val="both"/>
        <w:rPr>
          <w:rFonts w:ascii="Arial" w:hAnsi="Arial" w:cs="Arial"/>
          <w:b/>
        </w:rPr>
      </w:pPr>
      <w:r w:rsidRPr="003F4878">
        <w:rPr>
          <w:rFonts w:ascii="Arial" w:hAnsi="Arial" w:cs="Arial"/>
          <w:b/>
        </w:rPr>
        <w:t xml:space="preserve">Fundamentación. </w:t>
      </w:r>
    </w:p>
    <w:p w:rsidR="00045C57" w:rsidRDefault="00045C57" w:rsidP="004A324C">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1B11A7" w:rsidRDefault="001B11A7" w:rsidP="004A324C">
      <w:pPr>
        <w:jc w:val="both"/>
        <w:rPr>
          <w:rFonts w:ascii="Arial" w:hAnsi="Arial" w:cs="Arial"/>
          <w:b/>
        </w:rPr>
      </w:pPr>
    </w:p>
    <w:p w:rsidR="003F4878" w:rsidRPr="003F4878" w:rsidRDefault="007336C3" w:rsidP="004A324C">
      <w:pPr>
        <w:jc w:val="both"/>
        <w:rPr>
          <w:rFonts w:ascii="Arial" w:hAnsi="Arial" w:cs="Arial"/>
          <w:b/>
        </w:rPr>
      </w:pPr>
      <w:r w:rsidRPr="003F4878">
        <w:rPr>
          <w:rFonts w:ascii="Arial" w:hAnsi="Arial" w:cs="Arial"/>
          <w:b/>
        </w:rPr>
        <w:t xml:space="preserve">Razonamiento. </w:t>
      </w:r>
    </w:p>
    <w:p w:rsidR="00BF3665" w:rsidRDefault="00EE7429" w:rsidP="004A324C">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4A324C">
      <w:pPr>
        <w:jc w:val="both"/>
        <w:rPr>
          <w:rFonts w:ascii="Arial" w:hAnsi="Arial" w:cs="Arial"/>
        </w:rPr>
      </w:pPr>
    </w:p>
    <w:p w:rsidR="00BF3665" w:rsidRDefault="009819AE" w:rsidP="004A324C">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4A324C">
      <w:pPr>
        <w:ind w:right="49"/>
        <w:jc w:val="both"/>
        <w:rPr>
          <w:rFonts w:ascii="Arial" w:hAnsi="Arial" w:cs="Arial"/>
          <w:i/>
          <w:sz w:val="18"/>
          <w:szCs w:val="18"/>
        </w:rPr>
      </w:pPr>
    </w:p>
    <w:p w:rsidR="00BF3665" w:rsidRPr="004A324C" w:rsidRDefault="009819AE" w:rsidP="004A324C">
      <w:pPr>
        <w:ind w:right="49"/>
        <w:jc w:val="both"/>
        <w:rPr>
          <w:rFonts w:ascii="Arial" w:hAnsi="Arial" w:cs="Arial"/>
          <w:i/>
        </w:rPr>
      </w:pPr>
      <w:r w:rsidRPr="004A324C">
        <w:rPr>
          <w:rFonts w:ascii="Arial" w:hAnsi="Arial" w:cs="Arial"/>
          <w:i/>
        </w:rPr>
        <w:lastRenderedPageBreak/>
        <w:t>I. La divulgación de la información representa un riesgo real, demostrable e identificable de perjuicio significativo al interés público;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 El riesgo de perjuicio que supondría la divulgación supera el interés público general de que se difunda, y</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III. La limitación se adecua al principio de proporcionalidad y representa el medio menos restrictivo disponible para evitar el perjuicio.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b/>
          <w:i/>
        </w:rPr>
        <w:t>Trigésimo tercero</w:t>
      </w:r>
      <w:r w:rsidRPr="004A324C">
        <w:rPr>
          <w:rFonts w:ascii="Arial" w:hAnsi="Arial" w:cs="Arial"/>
          <w:i/>
        </w:rPr>
        <w:t>. Para la aplicación de la prueba de daño a la que hace referencia el artículo 104 de la Ley General, los sujetos obligados atenderán lo siguiente: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w:t>
      </w:r>
      <w:r w:rsidRPr="009B0D72">
        <w:rPr>
          <w:rFonts w:ascii="Arial" w:eastAsia="Times New Roman" w:hAnsi="Arial" w:cs="Arial"/>
          <w:lang w:val="es-ES"/>
        </w:rPr>
        <w:lastRenderedPageBreak/>
        <w:t xml:space="preserve">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Quedó  debidamente justificada la prueba de daño que causaría el proporcionar la información relacionada al </w:t>
      </w:r>
      <w:r w:rsidR="004F7658" w:rsidRPr="004F7658">
        <w:rPr>
          <w:rFonts w:ascii="Arial" w:eastAsia="Times New Roman" w:hAnsi="Arial" w:cs="Arial"/>
          <w:i/>
          <w:lang w:val="es-ES"/>
        </w:rPr>
        <w:t>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Pr="009B0D72">
        <w:rPr>
          <w:rFonts w:ascii="Arial" w:eastAsia="Times New Roman" w:hAnsi="Arial" w:cs="Arial"/>
          <w:lang w:val="es-ES"/>
        </w:rPr>
        <w:t>,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FGR,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lastRenderedPageBreak/>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FGR, se permitiría acceder a datos identificativos, académicos, electrónicos, patrimoniales, biométricos y los referentes a sus familiares”.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Perjuicio que supera el interés público.</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w:t>
      </w:r>
      <w:r w:rsidRPr="009B0D72">
        <w:rPr>
          <w:rFonts w:ascii="Arial" w:eastAsia="Times New Roman" w:hAnsi="Arial" w:cs="Arial"/>
          <w:lang w:val="es-ES"/>
        </w:rPr>
        <w:lastRenderedPageBreak/>
        <w:t xml:space="preserve">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Principio de proporcionalidad.</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4A324C">
      <w:pPr>
        <w:jc w:val="both"/>
        <w:rPr>
          <w:rFonts w:ascii="Arial" w:eastAsia="Times New Roman" w:hAnsi="Arial" w:cs="Arial"/>
          <w:lang w:val="es-ES"/>
        </w:rPr>
      </w:pPr>
    </w:p>
    <w:p w:rsid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Por lo que, la calidad de persona servidora pública, no suprime los derechos humanos a la vida, seguridad y privacidad, por el contrario, existe un interés general o superior en esos derechos frente al derecho de acceso a la información de un particular, en una ponderación </w:t>
      </w:r>
      <w:r w:rsidRPr="009B0D72">
        <w:rPr>
          <w:rFonts w:ascii="Arial" w:eastAsia="Times New Roman" w:hAnsi="Arial" w:cs="Arial"/>
          <w:lang w:val="es-ES"/>
        </w:rPr>
        <w:lastRenderedPageBreak/>
        <w:t>frente a los derechos humanos de los servidores públicos de sus familiares y círculos cercanos, información que debe ser considerada como clasificada.</w:t>
      </w:r>
    </w:p>
    <w:p w:rsidR="001B11A7" w:rsidRPr="009B0D72" w:rsidRDefault="001B11A7"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4A324C">
      <w:pPr>
        <w:jc w:val="both"/>
        <w:rPr>
          <w:rFonts w:ascii="Arial" w:eastAsia="Times New Roman" w:hAnsi="Arial" w:cs="Arial"/>
          <w:lang w:val="es-ES"/>
        </w:rPr>
      </w:pPr>
    </w:p>
    <w:p w:rsidR="00481D63" w:rsidRDefault="009B0D72" w:rsidP="004A324C">
      <w:pPr>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4F7658" w:rsidRPr="009B0D72">
        <w:rPr>
          <w:rFonts w:ascii="Arial" w:eastAsia="Times New Roman" w:hAnsi="Arial" w:cs="Arial"/>
          <w:lang w:val="es-ES"/>
        </w:rPr>
        <w:t xml:space="preserve">al </w:t>
      </w:r>
      <w:r w:rsidR="004F7658" w:rsidRPr="004F7658">
        <w:rPr>
          <w:rFonts w:ascii="Arial" w:eastAsia="Times New Roman" w:hAnsi="Arial" w:cs="Arial"/>
          <w:i/>
          <w:lang w:val="es-ES"/>
        </w:rPr>
        <w:t>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004F7658" w:rsidRPr="009B0D72">
        <w:rPr>
          <w:rFonts w:ascii="Arial" w:eastAsia="Times New Roman" w:hAnsi="Arial" w:cs="Arial"/>
          <w:lang w:val="es-ES"/>
        </w:rPr>
        <w:t>,  adscrito a 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Default="004A324C" w:rsidP="004A324C">
      <w:pPr>
        <w:jc w:val="both"/>
        <w:rPr>
          <w:rFonts w:ascii="Arial" w:eastAsia="Times New Roman" w:hAnsi="Arial" w:cs="Arial"/>
          <w:lang w:val="es-ES"/>
        </w:rPr>
      </w:pPr>
    </w:p>
    <w:p w:rsidR="004F7658" w:rsidRDefault="004F7658" w:rsidP="004A324C">
      <w:pPr>
        <w:jc w:val="both"/>
        <w:rPr>
          <w:rFonts w:ascii="Arial" w:eastAsia="Times New Roman" w:hAnsi="Arial" w:cs="Arial"/>
          <w:lang w:val="es-ES"/>
        </w:rPr>
      </w:pPr>
    </w:p>
    <w:p w:rsidR="00BF3665" w:rsidRDefault="009819AE" w:rsidP="004A324C">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A324C" w:rsidRDefault="004A324C" w:rsidP="004A324C">
      <w:pPr>
        <w:pStyle w:val="Prrafodelista"/>
        <w:ind w:left="1080"/>
        <w:jc w:val="both"/>
        <w:rPr>
          <w:rFonts w:ascii="Arial" w:hAnsi="Arial" w:cs="Arial"/>
          <w:b/>
        </w:rPr>
      </w:pPr>
    </w:p>
    <w:p w:rsidR="007F24DE" w:rsidRDefault="00374F51" w:rsidP="004A324C">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4A324C" w:rsidRDefault="004A324C" w:rsidP="004A324C">
      <w:pPr>
        <w:autoSpaceDE w:val="0"/>
        <w:autoSpaceDN w:val="0"/>
        <w:adjustRightInd w:val="0"/>
        <w:ind w:right="141"/>
        <w:jc w:val="both"/>
        <w:rPr>
          <w:rFonts w:ascii="Arial" w:hAnsi="Arial" w:cs="Arial"/>
        </w:rPr>
      </w:pPr>
    </w:p>
    <w:p w:rsidR="00803FA7" w:rsidRPr="00374F51" w:rsidRDefault="00803FA7" w:rsidP="004A324C">
      <w:pPr>
        <w:autoSpaceDE w:val="0"/>
        <w:autoSpaceDN w:val="0"/>
        <w:adjustRightInd w:val="0"/>
        <w:ind w:right="141"/>
        <w:jc w:val="both"/>
        <w:rPr>
          <w:rFonts w:ascii="Arial" w:hAnsi="Arial" w:cs="Arial"/>
        </w:rPr>
      </w:pPr>
    </w:p>
    <w:bookmarkEnd w:id="1"/>
    <w:p w:rsidR="00BF3665" w:rsidRPr="00F64080" w:rsidRDefault="009819AE" w:rsidP="004A324C">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4A324C" w:rsidRDefault="004A324C" w:rsidP="004A324C">
      <w:pPr>
        <w:jc w:val="both"/>
        <w:rPr>
          <w:rFonts w:ascii="Arial" w:hAnsi="Arial" w:cs="Arial"/>
        </w:rPr>
      </w:pPr>
    </w:p>
    <w:p w:rsidR="00BF3665" w:rsidRDefault="009819AE" w:rsidP="004A324C">
      <w:pPr>
        <w:jc w:val="both"/>
        <w:rPr>
          <w:rFonts w:ascii="Arial" w:hAnsi="Arial" w:cs="Arial"/>
        </w:rPr>
      </w:pPr>
      <w:r>
        <w:rPr>
          <w:rFonts w:ascii="Arial" w:hAnsi="Arial" w:cs="Arial"/>
        </w:rPr>
        <w:t>Período. 5 años.</w:t>
      </w:r>
    </w:p>
    <w:p w:rsidR="004A324C" w:rsidRDefault="004A324C" w:rsidP="004A324C">
      <w:pPr>
        <w:jc w:val="both"/>
        <w:rPr>
          <w:rFonts w:ascii="Arial" w:hAnsi="Arial" w:cs="Arial"/>
        </w:rPr>
      </w:pPr>
    </w:p>
    <w:p w:rsidR="00BF3665" w:rsidRDefault="00F6015F" w:rsidP="004A324C">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A9088A">
        <w:rPr>
          <w:rFonts w:ascii="Arial" w:eastAsia="Times New Roman" w:hAnsi="Arial" w:cs="Arial"/>
          <w:b/>
        </w:rPr>
        <w:t>6</w:t>
      </w:r>
      <w:r w:rsidR="009F136E" w:rsidRPr="00B11FCD">
        <w:rPr>
          <w:rFonts w:ascii="Arial" w:eastAsia="Times New Roman" w:hAnsi="Arial" w:cs="Arial"/>
          <w:b/>
        </w:rPr>
        <w:t xml:space="preserve"> de </w:t>
      </w:r>
      <w:r w:rsidR="001B11A7">
        <w:rPr>
          <w:rFonts w:ascii="Arial" w:eastAsia="Times New Roman" w:hAnsi="Arial" w:cs="Arial"/>
          <w:b/>
        </w:rPr>
        <w:t>noviembre</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A324C" w:rsidRDefault="004A324C" w:rsidP="004A324C">
      <w:pPr>
        <w:jc w:val="both"/>
        <w:rPr>
          <w:rFonts w:ascii="Arial" w:eastAsia="Times New Roman" w:hAnsi="Arial" w:cs="Arial"/>
        </w:rPr>
      </w:pPr>
    </w:p>
    <w:p w:rsidR="00481D63" w:rsidRDefault="00481D63" w:rsidP="004A324C">
      <w:pPr>
        <w:jc w:val="both"/>
        <w:rPr>
          <w:rFonts w:ascii="Arial" w:eastAsia="Times New Roman" w:hAnsi="Arial" w:cs="Arial"/>
        </w:rPr>
      </w:pPr>
    </w:p>
    <w:p w:rsidR="00BF3665" w:rsidRDefault="009819AE" w:rsidP="004A324C">
      <w:pPr>
        <w:pStyle w:val="Prrafodelista"/>
        <w:numPr>
          <w:ilvl w:val="0"/>
          <w:numId w:val="2"/>
        </w:numPr>
        <w:jc w:val="both"/>
        <w:rPr>
          <w:rFonts w:ascii="Arial" w:hAnsi="Arial" w:cs="Arial"/>
          <w:b/>
        </w:rPr>
      </w:pPr>
      <w:r w:rsidRPr="00FF1B19">
        <w:rPr>
          <w:rFonts w:ascii="Arial" w:hAnsi="Arial" w:cs="Arial"/>
          <w:b/>
        </w:rPr>
        <w:lastRenderedPageBreak/>
        <w:t xml:space="preserve"> Efectos de la resolución.</w:t>
      </w:r>
    </w:p>
    <w:p w:rsidR="00694F13" w:rsidRDefault="00694F13" w:rsidP="004A324C">
      <w:pPr>
        <w:pStyle w:val="Prrafodelista"/>
        <w:jc w:val="both"/>
        <w:rPr>
          <w:rFonts w:ascii="Arial" w:hAnsi="Arial" w:cs="Arial"/>
          <w:b/>
        </w:rPr>
      </w:pPr>
    </w:p>
    <w:p w:rsidR="00FF1B19" w:rsidRDefault="00FF1B19" w:rsidP="004A324C">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1B11A7">
        <w:rPr>
          <w:rFonts w:ascii="Arial" w:hAnsi="Arial" w:cs="Arial"/>
          <w:b/>
        </w:rPr>
        <w:t>30</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1B11A7" w:rsidRPr="008565C9" w:rsidRDefault="001B11A7" w:rsidP="004A324C">
      <w:pPr>
        <w:jc w:val="both"/>
        <w:rPr>
          <w:rFonts w:ascii="Arial" w:hAnsi="Arial" w:cs="Arial"/>
        </w:rPr>
      </w:pPr>
    </w:p>
    <w:p w:rsidR="00FF1B19" w:rsidRDefault="00FF1B19" w:rsidP="004A324C">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4A324C">
      <w:pPr>
        <w:jc w:val="both"/>
        <w:rPr>
          <w:rFonts w:ascii="Arial" w:hAnsi="Arial" w:cs="Arial"/>
        </w:rPr>
      </w:pPr>
    </w:p>
    <w:p w:rsidR="00FF1B19" w:rsidRDefault="00FF1B19" w:rsidP="004A324C">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4A324C">
        <w:rPr>
          <w:rFonts w:ascii="Arial" w:eastAsiaTheme="minorEastAsia" w:hAnsi="Arial" w:cs="Arial"/>
          <w:b/>
          <w:sz w:val="24"/>
          <w:szCs w:val="24"/>
          <w:lang w:eastAsia="es-ES"/>
        </w:rPr>
        <w:t>octubre</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4A324C">
      <w:pPr>
        <w:pStyle w:val="Sinespaciado"/>
        <w:jc w:val="both"/>
        <w:rPr>
          <w:rFonts w:ascii="Arial" w:eastAsiaTheme="minorEastAsia" w:hAnsi="Arial" w:cs="Arial"/>
          <w:sz w:val="24"/>
          <w:szCs w:val="24"/>
          <w:lang w:eastAsia="es-ES"/>
        </w:rPr>
      </w:pPr>
    </w:p>
    <w:p w:rsidR="00BF3665" w:rsidRDefault="009819AE" w:rsidP="004A324C">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4A324C">
      <w:pPr>
        <w:widowControl w:val="0"/>
        <w:jc w:val="both"/>
        <w:rPr>
          <w:rFonts w:ascii="Arial" w:hAnsi="Arial" w:cs="Arial"/>
        </w:rPr>
      </w:pPr>
    </w:p>
    <w:p w:rsidR="00BF3665" w:rsidRDefault="009819AE" w:rsidP="004A324C">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4A324C">
      <w:pPr>
        <w:jc w:val="both"/>
        <w:rPr>
          <w:rFonts w:ascii="Arial" w:hAnsi="Arial" w:cs="Arial"/>
        </w:rPr>
      </w:pPr>
    </w:p>
    <w:p w:rsidR="00CB380F" w:rsidRDefault="00CB380F" w:rsidP="004A324C">
      <w:pPr>
        <w:jc w:val="both"/>
        <w:rPr>
          <w:rFonts w:ascii="Arial" w:hAnsi="Arial" w:cs="Arial"/>
        </w:rPr>
      </w:pPr>
    </w:p>
    <w:p w:rsidR="00BF3665" w:rsidRDefault="009819AE" w:rsidP="004A324C">
      <w:pPr>
        <w:jc w:val="center"/>
        <w:rPr>
          <w:rFonts w:ascii="Arial" w:hAnsi="Arial" w:cs="Arial"/>
          <w:b/>
        </w:rPr>
      </w:pPr>
      <w:r>
        <w:rPr>
          <w:rFonts w:ascii="Arial" w:hAnsi="Arial" w:cs="Arial"/>
          <w:b/>
        </w:rPr>
        <w:t>RESUELVE POR UNANIMIDAD:</w:t>
      </w:r>
    </w:p>
    <w:p w:rsidR="004A324C" w:rsidRDefault="004A324C" w:rsidP="004A324C">
      <w:pPr>
        <w:jc w:val="center"/>
        <w:rPr>
          <w:rFonts w:ascii="Arial" w:hAnsi="Arial" w:cs="Arial"/>
          <w:b/>
        </w:rPr>
      </w:pPr>
    </w:p>
    <w:p w:rsidR="00C24991" w:rsidRDefault="00C24991" w:rsidP="004A324C">
      <w:pPr>
        <w:jc w:val="center"/>
        <w:rPr>
          <w:rFonts w:ascii="Arial" w:hAnsi="Arial" w:cs="Arial"/>
          <w:b/>
        </w:rPr>
      </w:pPr>
    </w:p>
    <w:p w:rsidR="00476EF2" w:rsidRDefault="00476EF2" w:rsidP="004A324C">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1B11A7">
        <w:rPr>
          <w:rFonts w:ascii="Arial" w:hAnsi="Arial" w:cs="Arial"/>
          <w:b/>
        </w:rPr>
        <w:t>30</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A324C" w:rsidRDefault="004A324C" w:rsidP="004A324C">
      <w:pPr>
        <w:jc w:val="both"/>
        <w:rPr>
          <w:rFonts w:ascii="Arial" w:hAnsi="Arial" w:cs="Arial"/>
        </w:rPr>
      </w:pPr>
    </w:p>
    <w:p w:rsidR="004F7658" w:rsidRDefault="004F7658"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BF3665" w:rsidRDefault="009819AE" w:rsidP="004A324C">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1B11A7">
        <w:rPr>
          <w:rFonts w:ascii="Arial" w:hAnsi="Arial" w:cs="Arial"/>
          <w:b/>
        </w:rPr>
        <w:t>220</w:t>
      </w:r>
      <w:r>
        <w:rPr>
          <w:rFonts w:ascii="Arial" w:hAnsi="Arial" w:cs="Arial"/>
          <w:b/>
        </w:rPr>
        <w:t>-202</w:t>
      </w:r>
      <w:r w:rsidR="00662DF6">
        <w:rPr>
          <w:rFonts w:ascii="Arial" w:hAnsi="Arial" w:cs="Arial"/>
          <w:b/>
        </w:rPr>
        <w:t>5</w:t>
      </w:r>
      <w:r>
        <w:rPr>
          <w:rFonts w:ascii="Arial" w:hAnsi="Arial" w:cs="Arial"/>
          <w:b/>
        </w:rPr>
        <w:t>.</w:t>
      </w:r>
    </w:p>
    <w:p w:rsidR="004A324C" w:rsidRPr="00C24991" w:rsidRDefault="004A324C" w:rsidP="004A324C">
      <w:pPr>
        <w:jc w:val="both"/>
        <w:rPr>
          <w:rFonts w:ascii="Arial" w:hAnsi="Arial" w:cs="Arial"/>
        </w:rPr>
      </w:pPr>
    </w:p>
    <w:p w:rsidR="00490831" w:rsidRDefault="00490831" w:rsidP="004A324C">
      <w:pPr>
        <w:jc w:val="both"/>
        <w:rPr>
          <w:rFonts w:ascii="Arial" w:hAnsi="Arial" w:cs="Arial"/>
          <w:b/>
        </w:rPr>
      </w:pPr>
    </w:p>
    <w:bookmarkEnd w:id="2"/>
    <w:p w:rsidR="00BF3665" w:rsidRDefault="009819AE" w:rsidP="004A324C">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2E085B" w:rsidRDefault="002E085B"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803FA7" w:rsidRDefault="00803FA7"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803FA7" w:rsidRDefault="00803FA7"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412D" w:rsidRDefault="0082412D">
      <w:r>
        <w:separator/>
      </w:r>
    </w:p>
  </w:endnote>
  <w:endnote w:type="continuationSeparator" w:id="0">
    <w:p w:rsidR="0082412D" w:rsidRDefault="00824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3391" w:rsidRDefault="002D339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3391" w:rsidRDefault="002D339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412D" w:rsidRDefault="0082412D">
      <w:r>
        <w:separator/>
      </w:r>
    </w:p>
  </w:footnote>
  <w:footnote w:type="continuationSeparator" w:id="0">
    <w:p w:rsidR="0082412D" w:rsidRDefault="00824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3391" w:rsidRDefault="002D339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287969"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2D339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287970"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 xml:space="preserve">06 de </w:t>
          </w:r>
          <w:r w:rsidR="007C7E2F">
            <w:rPr>
              <w:rFonts w:ascii="Arial" w:hAnsi="Arial" w:cs="Arial"/>
              <w:color w:val="FFFFFF" w:themeColor="background1"/>
              <w:sz w:val="18"/>
              <w:szCs w:val="18"/>
            </w:rPr>
            <w:t>noviembre</w:t>
          </w:r>
          <w:r>
            <w:rPr>
              <w:rFonts w:ascii="Arial" w:hAnsi="Arial" w:cs="Arial"/>
              <w:color w:val="FFFFFF" w:themeColor="background1"/>
              <w:sz w:val="18"/>
              <w:szCs w:val="18"/>
            </w:rPr>
            <w:t xml:space="preserve"> 2025. Décima</w:t>
          </w:r>
          <w:r w:rsidRPr="00D338A0">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Pr>
              <w:rFonts w:ascii="Arial" w:hAnsi="Arial" w:cs="Arial"/>
              <w:b/>
              <w:color w:val="FFFFFF" w:themeColor="background1"/>
              <w:sz w:val="18"/>
              <w:szCs w:val="18"/>
              <w:lang w:val="es-ES"/>
            </w:rPr>
            <w:t>30</w:t>
          </w:r>
          <w:r w:rsidRPr="00CE31CC">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3391" w:rsidRDefault="002D339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287968"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D3391"/>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106270-5C7B-4605-AE39-365E3347B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11</Pages>
  <Words>4332</Words>
  <Characters>23826</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2025-10-30T19:02:00Z</cp:lastPrinted>
  <dcterms:created xsi:type="dcterms:W3CDTF">2025-10-01T20:44:00Z</dcterms:created>
  <dcterms:modified xsi:type="dcterms:W3CDTF">2025-11-12T20:24:00Z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