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59AB" w:rsidRPr="002C640E" w:rsidRDefault="006859AB" w:rsidP="006859AB">
      <w:pPr>
        <w:spacing w:after="0" w:line="240" w:lineRule="auto"/>
        <w:ind w:left="3969"/>
        <w:jc w:val="both"/>
        <w:rPr>
          <w:rFonts w:ascii="Arial Narrow" w:eastAsia="Arial Unicode MS" w:hAnsi="Arial Narrow" w:cs="Arial"/>
          <w:b/>
        </w:rPr>
      </w:pPr>
      <w:r w:rsidRPr="002C640E">
        <w:rPr>
          <w:rFonts w:ascii="Arial Narrow" w:eastAsia="Arial Unicode MS" w:hAnsi="Arial Narrow" w:cs="Arial"/>
          <w:b/>
        </w:rPr>
        <w:t>TRIBUNAL ESTATAL DE JUSTICIA ADMINISTRATIVA</w:t>
      </w:r>
    </w:p>
    <w:p w:rsidR="006859AB" w:rsidRPr="002C640E" w:rsidRDefault="006859AB" w:rsidP="006859AB">
      <w:pPr>
        <w:spacing w:after="0" w:line="240" w:lineRule="auto"/>
        <w:ind w:left="3969"/>
        <w:jc w:val="both"/>
        <w:rPr>
          <w:rFonts w:ascii="Arial Narrow" w:eastAsia="Arial Unicode MS" w:hAnsi="Arial Narrow" w:cs="Arial"/>
          <w:b/>
        </w:rPr>
      </w:pPr>
    </w:p>
    <w:p w:rsidR="006859AB" w:rsidRPr="002C640E" w:rsidRDefault="006859AB" w:rsidP="006859AB">
      <w:pPr>
        <w:spacing w:after="0" w:line="240" w:lineRule="auto"/>
        <w:ind w:left="3969"/>
        <w:jc w:val="both"/>
        <w:rPr>
          <w:rFonts w:ascii="Arial Narrow" w:eastAsia="Arial Unicode MS" w:hAnsi="Arial Narrow" w:cs="Arial"/>
          <w:b/>
        </w:rPr>
      </w:pPr>
      <w:r w:rsidRPr="002C640E">
        <w:rPr>
          <w:rFonts w:ascii="Arial Narrow" w:eastAsia="Arial Unicode MS" w:hAnsi="Arial Narrow" w:cs="Arial"/>
          <w:b/>
        </w:rPr>
        <w:t>TERCERA SALA UNITARIA</w:t>
      </w:r>
    </w:p>
    <w:p w:rsidR="006859AB" w:rsidRPr="002C640E" w:rsidRDefault="006859AB" w:rsidP="006859AB">
      <w:pPr>
        <w:spacing w:after="0" w:line="240" w:lineRule="auto"/>
        <w:ind w:left="3969"/>
        <w:jc w:val="both"/>
        <w:rPr>
          <w:rFonts w:ascii="Arial Narrow" w:eastAsia="Arial Unicode MS" w:hAnsi="Arial Narrow" w:cs="Arial"/>
          <w:b/>
        </w:rPr>
      </w:pPr>
    </w:p>
    <w:p w:rsidR="006859AB" w:rsidRPr="002C640E" w:rsidRDefault="006859AB" w:rsidP="006859AB">
      <w:pPr>
        <w:spacing w:after="0"/>
        <w:ind w:left="3969"/>
        <w:jc w:val="both"/>
        <w:rPr>
          <w:rFonts w:ascii="Arial Narrow" w:eastAsia="Calibri" w:hAnsi="Arial Narrow" w:cs="Times New Roman"/>
          <w:b/>
        </w:rPr>
      </w:pPr>
      <w:r w:rsidRPr="002C640E">
        <w:rPr>
          <w:rFonts w:ascii="Arial Narrow" w:eastAsia="Calibri" w:hAnsi="Arial Narrow" w:cs="Times New Roman"/>
          <w:b/>
        </w:rPr>
        <w:t xml:space="preserve">EXPEDIENTE: </w:t>
      </w:r>
      <w:r>
        <w:rPr>
          <w:rFonts w:ascii="Arial Narrow" w:eastAsia="Calibri" w:hAnsi="Arial Narrow" w:cs="Times New Roman"/>
          <w:b/>
        </w:rPr>
        <w:t>922</w:t>
      </w:r>
      <w:r w:rsidRPr="002C640E">
        <w:rPr>
          <w:rFonts w:ascii="Arial Narrow" w:eastAsia="Calibri" w:hAnsi="Arial Narrow" w:cs="Times New Roman"/>
          <w:b/>
        </w:rPr>
        <w:t>/20</w:t>
      </w:r>
      <w:r>
        <w:rPr>
          <w:rFonts w:ascii="Arial Narrow" w:eastAsia="Calibri" w:hAnsi="Arial Narrow" w:cs="Times New Roman"/>
          <w:b/>
        </w:rPr>
        <w:t>24</w:t>
      </w:r>
      <w:r w:rsidRPr="002C640E">
        <w:rPr>
          <w:rFonts w:ascii="Arial Narrow" w:eastAsia="Calibri" w:hAnsi="Arial Narrow" w:cs="Times New Roman"/>
          <w:b/>
        </w:rPr>
        <w:t>-3</w:t>
      </w:r>
    </w:p>
    <w:p w:rsidR="006859AB" w:rsidRPr="002C640E" w:rsidRDefault="006859AB" w:rsidP="006859AB">
      <w:pPr>
        <w:spacing w:after="0"/>
        <w:ind w:left="3969"/>
        <w:jc w:val="both"/>
        <w:rPr>
          <w:rFonts w:ascii="Arial Narrow" w:eastAsia="Calibri" w:hAnsi="Arial Narrow" w:cs="Times New Roman"/>
          <w:b/>
        </w:rPr>
      </w:pPr>
    </w:p>
    <w:p w:rsidR="006859AB" w:rsidRPr="002C640E" w:rsidRDefault="006859AB" w:rsidP="006859AB">
      <w:pPr>
        <w:spacing w:after="0"/>
        <w:ind w:left="3969"/>
        <w:jc w:val="both"/>
        <w:rPr>
          <w:rFonts w:ascii="Arial Narrow" w:eastAsia="Calibri" w:hAnsi="Arial Narrow" w:cs="Times New Roman"/>
          <w:b/>
        </w:rPr>
      </w:pPr>
      <w:r w:rsidRPr="002C640E">
        <w:rPr>
          <w:rFonts w:ascii="Arial Narrow" w:eastAsia="Calibri" w:hAnsi="Arial Narrow" w:cs="Times New Roman"/>
          <w:b/>
        </w:rPr>
        <w:t xml:space="preserve">ACTOR: </w:t>
      </w:r>
    </w:p>
    <w:p w:rsidR="006859AB" w:rsidRPr="002C640E" w:rsidRDefault="00486173" w:rsidP="006859AB">
      <w:pPr>
        <w:spacing w:after="0"/>
        <w:ind w:left="3969"/>
        <w:jc w:val="both"/>
        <w:rPr>
          <w:rFonts w:ascii="Arial Narrow" w:eastAsia="Calibri" w:hAnsi="Arial Narrow" w:cs="Times New Roman"/>
        </w:rPr>
      </w:pPr>
      <w:r>
        <w:rPr>
          <w:rFonts w:ascii="Arial Narrow" w:eastAsia="Calibri" w:hAnsi="Arial Narrow" w:cs="Times New Roman"/>
          <w:color w:val="FF0000"/>
        </w:rPr>
        <w:t>**********</w:t>
      </w:r>
    </w:p>
    <w:p w:rsidR="006859AB" w:rsidRPr="002C640E" w:rsidRDefault="006859AB" w:rsidP="006859AB">
      <w:pPr>
        <w:spacing w:after="0"/>
        <w:ind w:left="3969"/>
        <w:jc w:val="both"/>
        <w:rPr>
          <w:rFonts w:ascii="Arial Narrow" w:eastAsia="Calibri" w:hAnsi="Arial Narrow" w:cs="Times New Roman"/>
          <w:b/>
        </w:rPr>
      </w:pPr>
      <w:r w:rsidRPr="002C640E">
        <w:rPr>
          <w:rFonts w:ascii="Arial Narrow" w:eastAsia="Calibri" w:hAnsi="Arial Narrow" w:cs="Times New Roman"/>
          <w:b/>
        </w:rPr>
        <w:t>MAGISTRADO:</w:t>
      </w:r>
    </w:p>
    <w:p w:rsidR="006859AB" w:rsidRPr="002C640E" w:rsidRDefault="006859AB" w:rsidP="006859AB">
      <w:pPr>
        <w:spacing w:after="0"/>
        <w:ind w:left="3969"/>
        <w:jc w:val="both"/>
        <w:rPr>
          <w:rFonts w:ascii="Arial Narrow" w:eastAsia="Calibri" w:hAnsi="Arial Narrow" w:cs="Times New Roman"/>
        </w:rPr>
      </w:pPr>
      <w:r w:rsidRPr="002C640E">
        <w:rPr>
          <w:rFonts w:ascii="Arial Narrow" w:eastAsia="Calibri" w:hAnsi="Arial Narrow" w:cs="Times New Roman"/>
        </w:rPr>
        <w:t xml:space="preserve">LICENCIADO </w:t>
      </w:r>
      <w:r>
        <w:rPr>
          <w:rFonts w:ascii="Arial Narrow" w:eastAsia="Calibri" w:hAnsi="Arial Narrow" w:cs="Times New Roman"/>
        </w:rPr>
        <w:t>JORGE ALEJANDRO VERA NOYOLA</w:t>
      </w:r>
    </w:p>
    <w:p w:rsidR="006859AB" w:rsidRPr="002C640E" w:rsidRDefault="006859AB" w:rsidP="006859AB">
      <w:pPr>
        <w:spacing w:after="0"/>
        <w:ind w:left="3969"/>
        <w:jc w:val="both"/>
        <w:rPr>
          <w:rFonts w:ascii="Arial Narrow" w:eastAsia="Calibri" w:hAnsi="Arial Narrow" w:cs="Times New Roman"/>
        </w:rPr>
      </w:pPr>
    </w:p>
    <w:p w:rsidR="006859AB" w:rsidRPr="002C640E" w:rsidRDefault="006859AB" w:rsidP="006859AB">
      <w:pPr>
        <w:spacing w:after="0"/>
        <w:ind w:left="3969"/>
        <w:jc w:val="both"/>
        <w:rPr>
          <w:rFonts w:ascii="Arial Narrow" w:eastAsia="Calibri" w:hAnsi="Arial Narrow" w:cs="Times New Roman"/>
          <w:b/>
        </w:rPr>
      </w:pPr>
      <w:r w:rsidRPr="002C640E">
        <w:rPr>
          <w:rFonts w:ascii="Arial Narrow" w:eastAsia="Calibri" w:hAnsi="Arial Narrow" w:cs="Times New Roman"/>
          <w:b/>
        </w:rPr>
        <w:t>SECRETARIO DE ESTUDIO Y CUENTA:</w:t>
      </w:r>
    </w:p>
    <w:p w:rsidR="006859AB" w:rsidRPr="002C640E" w:rsidRDefault="006859AB" w:rsidP="006859AB">
      <w:pPr>
        <w:spacing w:after="0"/>
        <w:ind w:left="3969"/>
        <w:jc w:val="both"/>
        <w:rPr>
          <w:rFonts w:ascii="Arial Narrow" w:eastAsia="Calibri" w:hAnsi="Arial Narrow" w:cs="Times New Roman"/>
        </w:rPr>
      </w:pPr>
      <w:r w:rsidRPr="002C640E">
        <w:rPr>
          <w:rFonts w:ascii="Arial Narrow" w:eastAsia="Calibri" w:hAnsi="Arial Narrow" w:cs="Times New Roman"/>
        </w:rPr>
        <w:t>LICENCIADA DIANA CAROLINA MONTELONGO ORTIZ</w:t>
      </w:r>
    </w:p>
    <w:p w:rsidR="006859AB" w:rsidRPr="002C640E" w:rsidRDefault="006859AB" w:rsidP="006859AB">
      <w:pPr>
        <w:tabs>
          <w:tab w:val="left" w:pos="567"/>
          <w:tab w:val="left" w:pos="5103"/>
          <w:tab w:val="left" w:pos="6804"/>
        </w:tabs>
        <w:spacing w:after="0" w:line="240" w:lineRule="auto"/>
        <w:ind w:left="3969"/>
        <w:rPr>
          <w:rFonts w:ascii="Arial Narrow" w:eastAsia="Arial Unicode MS" w:hAnsi="Arial Narrow" w:cs="Arial"/>
        </w:rPr>
      </w:pPr>
    </w:p>
    <w:p w:rsidR="006859AB" w:rsidRPr="009A528F" w:rsidRDefault="006859AB" w:rsidP="006859AB">
      <w:pPr>
        <w:keepNext/>
        <w:spacing w:after="0" w:line="360" w:lineRule="auto"/>
        <w:ind w:firstLine="709"/>
        <w:jc w:val="both"/>
        <w:outlineLvl w:val="1"/>
        <w:rPr>
          <w:rFonts w:ascii="Arial" w:eastAsia="Calibri" w:hAnsi="Arial" w:cs="Arial"/>
          <w:sz w:val="28"/>
          <w:szCs w:val="28"/>
        </w:rPr>
      </w:pPr>
      <w:r w:rsidRPr="009A528F">
        <w:rPr>
          <w:rFonts w:ascii="Arial" w:eastAsia="Calibri" w:hAnsi="Arial" w:cs="Arial"/>
          <w:sz w:val="28"/>
          <w:szCs w:val="28"/>
        </w:rPr>
        <w:t xml:space="preserve">San Luis Potosí, S.L.P., a veintitrés de octubre de dos mil veinticinco. </w:t>
      </w:r>
    </w:p>
    <w:p w:rsidR="009A528F" w:rsidRPr="009A528F" w:rsidRDefault="009A528F" w:rsidP="009A528F">
      <w:pPr>
        <w:keepNext/>
        <w:tabs>
          <w:tab w:val="left" w:pos="7089"/>
        </w:tabs>
        <w:spacing w:after="0" w:line="360" w:lineRule="auto"/>
        <w:ind w:firstLine="709"/>
        <w:jc w:val="both"/>
        <w:outlineLvl w:val="1"/>
        <w:rPr>
          <w:rFonts w:ascii="Arial" w:eastAsia="Calibri" w:hAnsi="Arial" w:cs="Arial"/>
          <w:sz w:val="28"/>
          <w:szCs w:val="28"/>
        </w:rPr>
      </w:pPr>
    </w:p>
    <w:p w:rsidR="006859AB" w:rsidRPr="009A528F" w:rsidRDefault="006859AB" w:rsidP="009A528F">
      <w:pPr>
        <w:keepNext/>
        <w:tabs>
          <w:tab w:val="left" w:pos="7089"/>
        </w:tabs>
        <w:spacing w:after="0" w:line="360" w:lineRule="auto"/>
        <w:ind w:firstLine="709"/>
        <w:jc w:val="both"/>
        <w:outlineLvl w:val="1"/>
        <w:rPr>
          <w:rFonts w:ascii="Arial" w:eastAsia="Calibri" w:hAnsi="Arial" w:cs="Arial"/>
          <w:sz w:val="28"/>
          <w:szCs w:val="28"/>
        </w:rPr>
      </w:pPr>
      <w:r w:rsidRPr="009A528F">
        <w:rPr>
          <w:rFonts w:ascii="Arial" w:eastAsia="Times New Roman" w:hAnsi="Arial" w:cs="Arial"/>
          <w:b/>
          <w:sz w:val="28"/>
          <w:szCs w:val="28"/>
          <w:lang w:eastAsia="es-ES"/>
        </w:rPr>
        <w:t xml:space="preserve">V I S T O S </w:t>
      </w:r>
      <w:r w:rsidRPr="009A528F">
        <w:rPr>
          <w:rFonts w:ascii="Arial" w:eastAsia="Times New Roman" w:hAnsi="Arial" w:cs="Arial"/>
          <w:sz w:val="28"/>
          <w:szCs w:val="28"/>
          <w:lang w:eastAsia="es-ES"/>
        </w:rPr>
        <w:t xml:space="preserve">para resolver en definitiva los autos del Juicio Contencioso Administrativo </w:t>
      </w:r>
      <w:r w:rsidRPr="009A528F">
        <w:rPr>
          <w:rFonts w:ascii="Arial" w:eastAsia="Times New Roman" w:hAnsi="Arial" w:cs="Arial"/>
          <w:b/>
          <w:sz w:val="28"/>
          <w:szCs w:val="28"/>
          <w:lang w:eastAsia="es-ES"/>
        </w:rPr>
        <w:t>922/2024-3,</w:t>
      </w:r>
      <w:r w:rsidRPr="009A528F">
        <w:rPr>
          <w:rFonts w:ascii="Arial" w:eastAsia="Times New Roman" w:hAnsi="Arial" w:cs="Arial"/>
          <w:sz w:val="28"/>
          <w:szCs w:val="28"/>
          <w:lang w:eastAsia="es-ES"/>
        </w:rPr>
        <w:t xml:space="preserve"> promovido por </w:t>
      </w:r>
      <w:r w:rsidR="00486173">
        <w:rPr>
          <w:rFonts w:ascii="Arial" w:eastAsia="Times New Roman" w:hAnsi="Arial" w:cs="Arial"/>
          <w:b/>
          <w:color w:val="FF0000"/>
          <w:sz w:val="28"/>
          <w:szCs w:val="28"/>
          <w:lang w:eastAsia="es-ES"/>
        </w:rPr>
        <w:t>**********</w:t>
      </w:r>
      <w:r w:rsidRPr="009A528F">
        <w:rPr>
          <w:rFonts w:ascii="Arial" w:eastAsia="Times New Roman" w:hAnsi="Arial" w:cs="Arial"/>
          <w:sz w:val="28"/>
          <w:szCs w:val="28"/>
          <w:lang w:eastAsia="es-ES"/>
        </w:rPr>
        <w:t xml:space="preserve">, </w:t>
      </w:r>
      <w:r w:rsidRPr="009A528F">
        <w:rPr>
          <w:rFonts w:ascii="Arial" w:eastAsia="Calibri" w:hAnsi="Arial" w:cs="Arial"/>
          <w:sz w:val="28"/>
          <w:szCs w:val="28"/>
        </w:rPr>
        <w:t xml:space="preserve">contra actos del </w:t>
      </w:r>
      <w:r w:rsidRPr="009A528F">
        <w:rPr>
          <w:rFonts w:ascii="Arial" w:eastAsia="Calibri" w:hAnsi="Arial" w:cs="Arial"/>
          <w:b/>
          <w:sz w:val="28"/>
          <w:szCs w:val="28"/>
        </w:rPr>
        <w:t>INSTITUTO REGISTRAL Y CATASTRAL DEL ESTADO DE SAN LUIS POTOSI</w:t>
      </w:r>
      <w:r w:rsidRPr="009A528F">
        <w:rPr>
          <w:rFonts w:ascii="Arial" w:eastAsia="Calibri" w:hAnsi="Arial" w:cs="Arial"/>
          <w:color w:val="000000"/>
          <w:sz w:val="28"/>
          <w:szCs w:val="28"/>
        </w:rPr>
        <w:t xml:space="preserve">; </w:t>
      </w:r>
      <w:r w:rsidRPr="009A528F">
        <w:rPr>
          <w:rFonts w:ascii="Arial" w:eastAsia="Calibri" w:hAnsi="Arial" w:cs="Arial"/>
          <w:sz w:val="28"/>
          <w:szCs w:val="28"/>
        </w:rPr>
        <w:t>y,</w:t>
      </w:r>
    </w:p>
    <w:p w:rsidR="006859AB" w:rsidRPr="009A528F" w:rsidRDefault="006859AB" w:rsidP="006859AB">
      <w:pPr>
        <w:autoSpaceDE w:val="0"/>
        <w:autoSpaceDN w:val="0"/>
        <w:adjustRightInd w:val="0"/>
        <w:spacing w:after="0" w:line="360" w:lineRule="atLeast"/>
        <w:jc w:val="both"/>
        <w:rPr>
          <w:rFonts w:ascii="Arial" w:eastAsia="Times New Roman" w:hAnsi="Arial" w:cs="Arial"/>
          <w:color w:val="000000"/>
          <w:sz w:val="28"/>
          <w:szCs w:val="28"/>
          <w:lang w:eastAsia="es-MX"/>
        </w:rPr>
      </w:pPr>
    </w:p>
    <w:p w:rsidR="006859AB" w:rsidRPr="009A528F" w:rsidRDefault="006859AB" w:rsidP="006859AB">
      <w:pPr>
        <w:tabs>
          <w:tab w:val="left" w:pos="2246"/>
          <w:tab w:val="left" w:pos="9784"/>
        </w:tabs>
        <w:autoSpaceDE w:val="0"/>
        <w:autoSpaceDN w:val="0"/>
        <w:adjustRightInd w:val="0"/>
        <w:spacing w:after="0" w:line="360" w:lineRule="atLeast"/>
        <w:jc w:val="center"/>
        <w:rPr>
          <w:rFonts w:ascii="Arial" w:eastAsia="Times New Roman" w:hAnsi="Arial" w:cs="Arial"/>
          <w:b/>
          <w:bCs/>
          <w:color w:val="000000"/>
          <w:sz w:val="28"/>
          <w:szCs w:val="28"/>
          <w:lang w:eastAsia="es-MX"/>
        </w:rPr>
      </w:pPr>
      <w:r w:rsidRPr="009A528F">
        <w:rPr>
          <w:rFonts w:ascii="Arial" w:eastAsia="Times New Roman" w:hAnsi="Arial" w:cs="Arial"/>
          <w:b/>
          <w:bCs/>
          <w:color w:val="000000"/>
          <w:sz w:val="28"/>
          <w:szCs w:val="28"/>
          <w:lang w:eastAsia="es-MX"/>
        </w:rPr>
        <w:t>R E S U L T A N D O</w:t>
      </w:r>
    </w:p>
    <w:p w:rsidR="006859AB" w:rsidRPr="009A528F" w:rsidRDefault="006859AB" w:rsidP="006859AB">
      <w:pPr>
        <w:tabs>
          <w:tab w:val="left" w:pos="2246"/>
          <w:tab w:val="left" w:pos="9784"/>
        </w:tabs>
        <w:autoSpaceDE w:val="0"/>
        <w:autoSpaceDN w:val="0"/>
        <w:adjustRightInd w:val="0"/>
        <w:spacing w:after="0" w:line="360" w:lineRule="atLeast"/>
        <w:jc w:val="center"/>
        <w:rPr>
          <w:rFonts w:ascii="Arial" w:eastAsia="Times New Roman" w:hAnsi="Arial" w:cs="Arial"/>
          <w:b/>
          <w:bCs/>
          <w:color w:val="000000"/>
          <w:sz w:val="28"/>
          <w:szCs w:val="28"/>
          <w:lang w:eastAsia="es-MX"/>
        </w:rPr>
      </w:pPr>
    </w:p>
    <w:p w:rsidR="006859AB" w:rsidRPr="009A528F" w:rsidRDefault="006859AB" w:rsidP="006859AB">
      <w:pPr>
        <w:spacing w:after="0" w:line="360" w:lineRule="auto"/>
        <w:ind w:firstLine="709"/>
        <w:jc w:val="both"/>
        <w:rPr>
          <w:rFonts w:ascii="Arial" w:eastAsia="Calibri" w:hAnsi="Arial" w:cs="Arial"/>
          <w:sz w:val="28"/>
          <w:szCs w:val="28"/>
          <w:lang w:val="es-ES"/>
        </w:rPr>
      </w:pPr>
      <w:r w:rsidRPr="009A528F">
        <w:rPr>
          <w:rFonts w:ascii="Arial" w:eastAsia="Times New Roman" w:hAnsi="Arial" w:cs="Arial"/>
          <w:b/>
          <w:sz w:val="28"/>
          <w:szCs w:val="28"/>
          <w:lang w:eastAsia="es-ES"/>
        </w:rPr>
        <w:t>I.-</w:t>
      </w:r>
      <w:r w:rsidRPr="009A528F">
        <w:rPr>
          <w:rFonts w:ascii="Arial" w:eastAsia="Calibri" w:hAnsi="Arial" w:cs="Arial"/>
          <w:sz w:val="28"/>
          <w:szCs w:val="28"/>
        </w:rPr>
        <w:t xml:space="preserve">  </w:t>
      </w:r>
      <w:r w:rsidRPr="009A528F">
        <w:rPr>
          <w:rFonts w:ascii="Arial" w:eastAsia="Calibri" w:hAnsi="Arial" w:cs="Arial"/>
          <w:sz w:val="28"/>
          <w:szCs w:val="28"/>
          <w:lang w:val="es-ES"/>
        </w:rPr>
        <w:t xml:space="preserve">Por escrito recibido en este Tribunal con fecha diecinueve de septiembre de dos mil veinticuatro, compareció </w:t>
      </w:r>
      <w:r w:rsidR="00486173">
        <w:rPr>
          <w:rFonts w:ascii="Arial" w:eastAsia="Calibri" w:hAnsi="Arial" w:cs="Arial"/>
          <w:color w:val="FF0000"/>
          <w:sz w:val="28"/>
          <w:szCs w:val="28"/>
          <w:lang w:val="es-ES"/>
        </w:rPr>
        <w:t>**********</w:t>
      </w:r>
      <w:r w:rsidRPr="009A528F">
        <w:rPr>
          <w:rFonts w:ascii="Arial" w:eastAsia="Calibri" w:hAnsi="Arial" w:cs="Arial"/>
          <w:sz w:val="28"/>
          <w:szCs w:val="28"/>
          <w:lang w:val="es-ES"/>
        </w:rPr>
        <w:t>, a demandar del Instituto Registral y Catastral del Estado de San Luis Potosí, por la nulidad del Rechazo de la Boleta N855295, de fecha 24 de julio de 2024.</w:t>
      </w:r>
    </w:p>
    <w:p w:rsidR="006859AB" w:rsidRPr="009A528F" w:rsidRDefault="006859AB" w:rsidP="006859AB">
      <w:pPr>
        <w:spacing w:after="0" w:line="360" w:lineRule="auto"/>
        <w:ind w:firstLine="709"/>
        <w:jc w:val="both"/>
        <w:rPr>
          <w:rFonts w:ascii="Arial" w:eastAsia="Calibri" w:hAnsi="Arial" w:cs="Arial"/>
          <w:sz w:val="28"/>
          <w:szCs w:val="28"/>
          <w:lang w:val="es-ES"/>
        </w:rPr>
      </w:pPr>
    </w:p>
    <w:p w:rsidR="006859AB" w:rsidRPr="009A528F" w:rsidRDefault="006859AB" w:rsidP="006859AB">
      <w:pPr>
        <w:spacing w:after="0" w:line="360" w:lineRule="auto"/>
        <w:ind w:firstLine="709"/>
        <w:jc w:val="both"/>
        <w:rPr>
          <w:rFonts w:ascii="Arial" w:eastAsia="Calibri" w:hAnsi="Arial" w:cs="Arial"/>
          <w:sz w:val="28"/>
          <w:szCs w:val="28"/>
          <w:lang w:val="es-ES"/>
        </w:rPr>
      </w:pPr>
      <w:r w:rsidRPr="009A528F">
        <w:rPr>
          <w:rFonts w:ascii="Arial" w:eastAsia="Calibri" w:hAnsi="Arial" w:cs="Arial"/>
          <w:b/>
          <w:sz w:val="28"/>
          <w:szCs w:val="28"/>
          <w:lang w:val="es-ES"/>
        </w:rPr>
        <w:t>II.-</w:t>
      </w:r>
      <w:r w:rsidRPr="009A528F">
        <w:rPr>
          <w:rFonts w:ascii="Arial" w:eastAsia="Calibri" w:hAnsi="Arial" w:cs="Arial"/>
          <w:sz w:val="28"/>
          <w:szCs w:val="28"/>
          <w:lang w:val="es-ES"/>
        </w:rPr>
        <w:t xml:space="preserve"> Mediante auto de cinco de noviembre de dos mil veinticuatro, se tuvo por admitida la demanda, por lo que con la copia simple y anexos, se ordenó correr traslado a la autoridad demandada, para que dentro del término de diez días hábiles, contestara lo que a su interés conviniera. Por otra parte, se tuvieron por ofrecidas las pruebas que acompañó la parte actora.</w:t>
      </w:r>
    </w:p>
    <w:p w:rsidR="006859AB" w:rsidRPr="009A528F" w:rsidRDefault="006859AB" w:rsidP="006859AB">
      <w:pPr>
        <w:spacing w:after="0" w:line="360" w:lineRule="auto"/>
        <w:ind w:firstLine="709"/>
        <w:jc w:val="both"/>
        <w:rPr>
          <w:rFonts w:ascii="Arial" w:eastAsia="Calibri" w:hAnsi="Arial" w:cs="Arial"/>
          <w:sz w:val="28"/>
          <w:szCs w:val="28"/>
          <w:lang w:val="es-ES"/>
        </w:rPr>
      </w:pPr>
    </w:p>
    <w:p w:rsidR="006859AB" w:rsidRPr="009A528F" w:rsidRDefault="006859AB" w:rsidP="006859AB">
      <w:pPr>
        <w:spacing w:after="0" w:line="360" w:lineRule="auto"/>
        <w:ind w:firstLine="709"/>
        <w:jc w:val="both"/>
        <w:rPr>
          <w:rFonts w:ascii="Arial" w:eastAsia="Calibri" w:hAnsi="Arial" w:cs="Arial"/>
          <w:sz w:val="28"/>
          <w:szCs w:val="28"/>
          <w:lang w:val="es-ES"/>
        </w:rPr>
      </w:pPr>
      <w:r w:rsidRPr="009A528F">
        <w:rPr>
          <w:rFonts w:ascii="Arial" w:eastAsia="Calibri" w:hAnsi="Arial" w:cs="Arial"/>
          <w:b/>
          <w:sz w:val="28"/>
          <w:szCs w:val="28"/>
          <w:lang w:val="es-ES"/>
        </w:rPr>
        <w:t xml:space="preserve">III.- </w:t>
      </w:r>
      <w:r w:rsidRPr="009A528F">
        <w:rPr>
          <w:rFonts w:ascii="Arial" w:eastAsia="Calibri" w:hAnsi="Arial" w:cs="Arial"/>
          <w:sz w:val="28"/>
          <w:szCs w:val="28"/>
          <w:lang w:val="es-ES"/>
        </w:rPr>
        <w:t xml:space="preserve">Con acuerdo de diecisiete de febrero de dos mil veinticinco, se tuvo a la autoridad por contestada la demanda, por lo que con la copia simple y anexos, se ordenó correr traslado a la </w:t>
      </w:r>
      <w:r w:rsidRPr="009A528F">
        <w:rPr>
          <w:rFonts w:ascii="Arial" w:eastAsia="Calibri" w:hAnsi="Arial" w:cs="Arial"/>
          <w:sz w:val="28"/>
          <w:szCs w:val="28"/>
          <w:lang w:val="es-ES"/>
        </w:rPr>
        <w:lastRenderedPageBreak/>
        <w:t xml:space="preserve">parte actora, para que dentro del término de cinco días hábiles manifestara lo que a su interés corresponda. Se tuvieron por ofrecidas y admitidas a las partes, las pruebas documentales que acompañaron a sus escritos de demanda y contestación. Asimismo, la autoridad demandada refirió que se considere se actualice la causal de sobreseimiento, en virtud de que el Rechazo de la Boleta N855295, de fecha 24 de julio de 2024, se dejó sin efecto legal alguno; por tanto, se ordenó dar vista a la parte actora, para que dentro del término de tres días hábiles contestara lo que a su interés conviniera respecto al sobreseimiento planteado por la demandada, con el apercibimiento que de no realizar manifestación alguna en el término legal concedido, esta Sala de oficio resolvería lo concerniente a la causal de sobreseimiento que se pudiera actualizar. Por lo que con auto de diez de julio de dos mil veinticinco, se le hizo efectivo el apercibimiento decretado al actor, en el auto de diecisiete de febrero de dos mil veinticinco y en consecuencia se ordenó continuar con la substanciación del presente asunto en la etapa procesal correspondiente. Por otra parte se tuvieron por ofrecidas y admitidas a las partes las pruebas documentales que acompañaron a sus escritos de demanda y contestación, así como la instrumental de actuaciones y la </w:t>
      </w:r>
      <w:proofErr w:type="spellStart"/>
      <w:r w:rsidRPr="009A528F">
        <w:rPr>
          <w:rFonts w:ascii="Arial" w:eastAsia="Calibri" w:hAnsi="Arial" w:cs="Arial"/>
          <w:sz w:val="28"/>
          <w:szCs w:val="28"/>
          <w:lang w:val="es-ES"/>
        </w:rPr>
        <w:t>presuncional</w:t>
      </w:r>
      <w:proofErr w:type="spellEnd"/>
      <w:r w:rsidRPr="009A528F">
        <w:rPr>
          <w:rFonts w:ascii="Arial" w:eastAsia="Calibri" w:hAnsi="Arial" w:cs="Arial"/>
          <w:sz w:val="28"/>
          <w:szCs w:val="28"/>
          <w:lang w:val="es-ES"/>
        </w:rPr>
        <w:t>, legal y humana.</w:t>
      </w:r>
    </w:p>
    <w:p w:rsidR="006859AB" w:rsidRPr="009A528F" w:rsidRDefault="006859AB" w:rsidP="006859AB">
      <w:pPr>
        <w:spacing w:after="0" w:line="360" w:lineRule="auto"/>
        <w:ind w:firstLine="709"/>
        <w:jc w:val="both"/>
        <w:rPr>
          <w:rFonts w:ascii="Arial" w:eastAsia="Calibri" w:hAnsi="Arial" w:cs="Arial"/>
          <w:sz w:val="28"/>
          <w:szCs w:val="28"/>
          <w:lang w:val="es-ES"/>
        </w:rPr>
      </w:pPr>
    </w:p>
    <w:p w:rsidR="006859AB" w:rsidRPr="009A528F" w:rsidRDefault="006859AB" w:rsidP="006859AB">
      <w:pPr>
        <w:spacing w:after="0" w:line="360" w:lineRule="auto"/>
        <w:ind w:firstLine="709"/>
        <w:jc w:val="both"/>
        <w:rPr>
          <w:rFonts w:ascii="Arial" w:eastAsia="Calibri" w:hAnsi="Arial" w:cs="Arial"/>
          <w:sz w:val="28"/>
          <w:szCs w:val="28"/>
          <w:lang w:val="es-ES"/>
        </w:rPr>
      </w:pPr>
      <w:r w:rsidRPr="009A528F">
        <w:rPr>
          <w:rFonts w:ascii="Arial" w:eastAsia="Calibri" w:hAnsi="Arial" w:cs="Arial"/>
          <w:b/>
          <w:sz w:val="28"/>
          <w:szCs w:val="28"/>
          <w:lang w:val="es-ES"/>
        </w:rPr>
        <w:t xml:space="preserve">IV.- </w:t>
      </w:r>
      <w:r w:rsidRPr="009A528F">
        <w:rPr>
          <w:rFonts w:ascii="Arial" w:eastAsia="Calibri" w:hAnsi="Arial" w:cs="Arial"/>
          <w:sz w:val="28"/>
          <w:szCs w:val="28"/>
          <w:lang w:val="es-ES"/>
        </w:rPr>
        <w:t xml:space="preserve"> La Audiencia de Ley, se llevó a cabo, siendo las diez horas del día trece de agosto de dos mil veinticinco, sin la asistencia de las partes. Se hizo relación de constancias; en período de pruebas, se tuvieron por desahogadas las documentales de las partes, dada su propia naturaleza; en etapa de alegatos, se certificó que estos no fueron formulados por las partes. Quedando debidamente integrado el expediente en que se actúa, se citó para resolver en definitiva el presente asunto.</w:t>
      </w:r>
    </w:p>
    <w:p w:rsidR="006859AB" w:rsidRPr="009A528F" w:rsidRDefault="006859AB" w:rsidP="006859AB">
      <w:pPr>
        <w:autoSpaceDE w:val="0"/>
        <w:autoSpaceDN w:val="0"/>
        <w:adjustRightInd w:val="0"/>
        <w:spacing w:after="0" w:line="360" w:lineRule="atLeast"/>
        <w:jc w:val="center"/>
        <w:rPr>
          <w:rFonts w:ascii="Arial" w:eastAsia="Times New Roman" w:hAnsi="Arial" w:cs="Arial"/>
          <w:b/>
          <w:bCs/>
          <w:color w:val="000000"/>
          <w:sz w:val="28"/>
          <w:szCs w:val="28"/>
          <w:lang w:eastAsia="es-MX"/>
        </w:rPr>
      </w:pPr>
      <w:r w:rsidRPr="009A528F">
        <w:rPr>
          <w:rFonts w:ascii="Arial" w:eastAsia="Times New Roman" w:hAnsi="Arial" w:cs="Arial"/>
          <w:b/>
          <w:bCs/>
          <w:color w:val="000000"/>
          <w:sz w:val="28"/>
          <w:szCs w:val="28"/>
          <w:lang w:eastAsia="es-MX"/>
        </w:rPr>
        <w:lastRenderedPageBreak/>
        <w:t>C O N S I D E R A N D O</w:t>
      </w:r>
    </w:p>
    <w:p w:rsidR="006859AB" w:rsidRPr="009A528F" w:rsidRDefault="006859AB" w:rsidP="006859AB">
      <w:pPr>
        <w:autoSpaceDE w:val="0"/>
        <w:autoSpaceDN w:val="0"/>
        <w:adjustRightInd w:val="0"/>
        <w:spacing w:after="0" w:line="360" w:lineRule="auto"/>
        <w:jc w:val="center"/>
        <w:rPr>
          <w:rFonts w:ascii="Arial" w:eastAsia="Times New Roman" w:hAnsi="Arial" w:cs="Arial"/>
          <w:b/>
          <w:bCs/>
          <w:color w:val="000000"/>
          <w:sz w:val="28"/>
          <w:szCs w:val="28"/>
          <w:lang w:eastAsia="es-MX"/>
        </w:rPr>
      </w:pPr>
    </w:p>
    <w:p w:rsidR="006859AB" w:rsidRPr="009A528F" w:rsidRDefault="006859AB" w:rsidP="006859AB">
      <w:pPr>
        <w:autoSpaceDE w:val="0"/>
        <w:autoSpaceDN w:val="0"/>
        <w:adjustRightInd w:val="0"/>
        <w:spacing w:after="0" w:line="360" w:lineRule="auto"/>
        <w:ind w:firstLine="709"/>
        <w:jc w:val="both"/>
        <w:rPr>
          <w:rFonts w:ascii="Arial" w:eastAsia="Times New Roman" w:hAnsi="Arial" w:cs="Arial"/>
          <w:sz w:val="28"/>
          <w:szCs w:val="28"/>
          <w:lang w:eastAsia="es-ES"/>
        </w:rPr>
      </w:pPr>
      <w:r w:rsidRPr="009A528F">
        <w:rPr>
          <w:rFonts w:ascii="Arial" w:eastAsia="Times New Roman" w:hAnsi="Arial" w:cs="Arial"/>
          <w:b/>
          <w:sz w:val="28"/>
          <w:szCs w:val="28"/>
          <w:lang w:eastAsia="es-ES"/>
        </w:rPr>
        <w:t>PRIMERO.-</w:t>
      </w:r>
      <w:r w:rsidRPr="009A528F">
        <w:rPr>
          <w:rFonts w:ascii="Arial" w:eastAsia="Times New Roman" w:hAnsi="Arial" w:cs="Arial"/>
          <w:sz w:val="28"/>
          <w:szCs w:val="28"/>
          <w:lang w:eastAsia="es-ES"/>
        </w:rPr>
        <w:t xml:space="preserve"> A la Tercera Sala Unitaria del Tribunal Estatal de Justicia Administrativa, corresponde conocer, substanciar y resolver los juicios de su competencia, en términos de los artículos 123 de la Constitución Política del Estado de San Luis Potosí, y 7º, 9º fracción III, 24, 25, 26, 28, 29, 30, 33, 34, 35, 36 y 37, de la Ley Orgánica del Tribunal Estatal de Justicia Administrativa de San Luis Potosí, publicada en el Periódico Oficial del Gobierno del Estado “Plan de San Luis”, mediante Decreto número 603 del diez de abril de dos mil diecisiete;</w:t>
      </w:r>
      <w:r w:rsidRPr="009A528F">
        <w:rPr>
          <w:rFonts w:ascii="Arial" w:eastAsia="Calibri" w:hAnsi="Arial" w:cs="Arial"/>
          <w:sz w:val="28"/>
          <w:szCs w:val="28"/>
        </w:rPr>
        <w:t xml:space="preserve"> </w:t>
      </w:r>
      <w:r w:rsidRPr="009A528F">
        <w:rPr>
          <w:rFonts w:ascii="Arial" w:eastAsia="Times New Roman" w:hAnsi="Arial" w:cs="Arial"/>
          <w:sz w:val="28"/>
          <w:szCs w:val="28"/>
          <w:lang w:eastAsia="es-ES"/>
        </w:rPr>
        <w:t>y en el caso de este expediente, relativo a una controversia suscitada entre un particular y autoridades de esta entidad federativa donde se ejerce jurisdicción.</w:t>
      </w:r>
    </w:p>
    <w:p w:rsidR="006859AB" w:rsidRPr="009A528F" w:rsidRDefault="006859AB" w:rsidP="006859AB">
      <w:pPr>
        <w:spacing w:after="0" w:line="360" w:lineRule="auto"/>
        <w:ind w:firstLine="709"/>
        <w:jc w:val="both"/>
        <w:rPr>
          <w:rFonts w:ascii="Arial" w:eastAsia="Calibri" w:hAnsi="Arial" w:cs="Arial"/>
          <w:sz w:val="28"/>
          <w:szCs w:val="28"/>
        </w:rPr>
      </w:pPr>
    </w:p>
    <w:p w:rsidR="006859AB" w:rsidRPr="009A528F" w:rsidRDefault="006859AB" w:rsidP="006859AB">
      <w:pPr>
        <w:spacing w:before="240" w:after="240" w:line="360" w:lineRule="auto"/>
        <w:ind w:firstLine="708"/>
        <w:jc w:val="both"/>
        <w:rPr>
          <w:rFonts w:ascii="Arial" w:eastAsia="Calibri" w:hAnsi="Arial" w:cs="Arial"/>
          <w:color w:val="000000"/>
          <w:sz w:val="28"/>
          <w:szCs w:val="28"/>
        </w:rPr>
      </w:pPr>
      <w:r w:rsidRPr="009A528F">
        <w:rPr>
          <w:rFonts w:ascii="Arial" w:eastAsia="Calibri" w:hAnsi="Arial" w:cs="Arial"/>
          <w:b/>
          <w:sz w:val="28"/>
          <w:szCs w:val="28"/>
        </w:rPr>
        <w:t xml:space="preserve">SEGUNDO.- </w:t>
      </w:r>
      <w:r w:rsidRPr="009A528F">
        <w:rPr>
          <w:rFonts w:ascii="Arial" w:eastAsia="Calibri" w:hAnsi="Arial" w:cs="Arial"/>
          <w:sz w:val="28"/>
          <w:szCs w:val="28"/>
        </w:rPr>
        <w:t>De acuerdo con lo que precisa el artículo 221 del Código Procesal Administrativo para el Estado de San Luis Potosí</w:t>
      </w:r>
      <w:r w:rsidRPr="009A528F">
        <w:rPr>
          <w:rFonts w:ascii="Arial" w:eastAsia="Calibri" w:hAnsi="Arial" w:cs="Arial"/>
          <w:color w:val="000000"/>
          <w:sz w:val="28"/>
          <w:szCs w:val="28"/>
        </w:rPr>
        <w:t>, esta Sala, procede a analizar la legitimación del compareciente en este juicio.</w:t>
      </w:r>
    </w:p>
    <w:p w:rsidR="006859AB" w:rsidRPr="009A528F" w:rsidRDefault="006859AB" w:rsidP="006859AB">
      <w:pPr>
        <w:spacing w:after="0" w:line="360" w:lineRule="auto"/>
        <w:ind w:firstLine="709"/>
        <w:jc w:val="both"/>
        <w:rPr>
          <w:rFonts w:ascii="Arial" w:eastAsia="Calibri" w:hAnsi="Arial" w:cs="Arial"/>
          <w:sz w:val="28"/>
          <w:szCs w:val="28"/>
        </w:rPr>
      </w:pPr>
      <w:r w:rsidRPr="009A528F">
        <w:rPr>
          <w:rFonts w:ascii="Arial" w:eastAsia="Calibri" w:hAnsi="Arial" w:cs="Arial"/>
          <w:sz w:val="28"/>
          <w:szCs w:val="28"/>
        </w:rPr>
        <w:t>La parte actora acreditó su personalidad al haber comparecido por derecho propio y su interés jurídico quedó demostrado, de conformidad con el artículo 231 del Código Procesal Administrativo para el Estado de San Luis Potosí, toda vez que acompañó el rechazo de la boleta N855295, emitida por el Instituto Registral y Catastral del Estado de San Luis Potosí, que constituye el acto impugnado.</w:t>
      </w:r>
    </w:p>
    <w:p w:rsidR="006859AB" w:rsidRPr="009A528F" w:rsidRDefault="006859AB" w:rsidP="006859AB">
      <w:pPr>
        <w:autoSpaceDE w:val="0"/>
        <w:autoSpaceDN w:val="0"/>
        <w:adjustRightInd w:val="0"/>
        <w:spacing w:before="240" w:after="240" w:line="360" w:lineRule="auto"/>
        <w:ind w:firstLine="709"/>
        <w:jc w:val="both"/>
        <w:rPr>
          <w:rFonts w:ascii="Arial" w:eastAsia="Calibri" w:hAnsi="Arial" w:cs="Arial"/>
          <w:sz w:val="28"/>
          <w:szCs w:val="28"/>
        </w:rPr>
      </w:pPr>
      <w:r w:rsidRPr="009A528F">
        <w:rPr>
          <w:rFonts w:ascii="Arial" w:hAnsi="Arial" w:cs="Arial"/>
          <w:color w:val="000000"/>
          <w:sz w:val="28"/>
          <w:szCs w:val="28"/>
        </w:rPr>
        <w:t xml:space="preserve">Por su parte, la Directora General del Instituto Registral y Catastral del Estado, </w:t>
      </w:r>
      <w:r w:rsidRPr="009A528F">
        <w:rPr>
          <w:rFonts w:ascii="Arial" w:eastAsia="Calibri" w:hAnsi="Arial" w:cs="Arial"/>
          <w:sz w:val="28"/>
          <w:szCs w:val="28"/>
        </w:rPr>
        <w:t>acreditó su personalidad, en términos del tercer párrafo del numeral 220 del Código Procesal Administrativo para el Estado de San Luis Potosí</w:t>
      </w:r>
      <w:r w:rsidRPr="009A528F">
        <w:rPr>
          <w:rFonts w:ascii="Arial" w:eastAsia="Calibri" w:hAnsi="Arial" w:cs="Arial"/>
          <w:smallCaps/>
          <w:sz w:val="28"/>
          <w:szCs w:val="28"/>
        </w:rPr>
        <w:t xml:space="preserve">, </w:t>
      </w:r>
      <w:r w:rsidRPr="009A528F">
        <w:rPr>
          <w:rFonts w:ascii="Arial" w:eastAsia="Calibri" w:hAnsi="Arial" w:cs="Arial"/>
          <w:sz w:val="28"/>
          <w:szCs w:val="28"/>
        </w:rPr>
        <w:t>con la copia certificada del nombramiento expedido a su favor, el cual se localiza a fojas 40 a 45 de autos.</w:t>
      </w:r>
    </w:p>
    <w:p w:rsidR="006859AB" w:rsidRPr="009A528F" w:rsidRDefault="006859AB" w:rsidP="006859AB">
      <w:pPr>
        <w:spacing w:before="240" w:after="240" w:line="360" w:lineRule="auto"/>
        <w:ind w:firstLine="708"/>
        <w:jc w:val="both"/>
        <w:rPr>
          <w:rFonts w:ascii="Arial" w:eastAsia="Calibri" w:hAnsi="Arial" w:cs="Arial"/>
          <w:sz w:val="28"/>
          <w:szCs w:val="28"/>
        </w:rPr>
      </w:pPr>
      <w:r w:rsidRPr="009A528F">
        <w:rPr>
          <w:rFonts w:ascii="Arial" w:eastAsia="Calibri" w:hAnsi="Arial" w:cs="Arial"/>
          <w:sz w:val="28"/>
          <w:szCs w:val="28"/>
        </w:rPr>
        <w:lastRenderedPageBreak/>
        <w:t>Documentales que hacen prueba plena, en términos del artículo 72 fracción I del Código Procesal Administrativo para el Estado de San Luis Potosí.</w:t>
      </w:r>
    </w:p>
    <w:p w:rsidR="006859AB" w:rsidRPr="009A528F" w:rsidRDefault="006859AB" w:rsidP="006859AB">
      <w:pPr>
        <w:spacing w:before="240" w:after="240" w:line="360" w:lineRule="auto"/>
        <w:ind w:firstLine="708"/>
        <w:jc w:val="both"/>
        <w:rPr>
          <w:rFonts w:ascii="Arial" w:eastAsia="Calibri" w:hAnsi="Arial" w:cs="Arial"/>
          <w:sz w:val="28"/>
          <w:szCs w:val="28"/>
        </w:rPr>
      </w:pPr>
    </w:p>
    <w:p w:rsidR="006859AB" w:rsidRPr="009A528F" w:rsidRDefault="006859AB" w:rsidP="006859AB">
      <w:pPr>
        <w:spacing w:line="360" w:lineRule="auto"/>
        <w:ind w:firstLine="709"/>
        <w:jc w:val="both"/>
        <w:rPr>
          <w:rFonts w:ascii="Arial" w:eastAsia="Calibri" w:hAnsi="Arial" w:cs="Arial"/>
          <w:sz w:val="28"/>
          <w:szCs w:val="28"/>
        </w:rPr>
      </w:pPr>
      <w:r w:rsidRPr="009A528F">
        <w:rPr>
          <w:rFonts w:ascii="Arial" w:eastAsia="Calibri" w:hAnsi="Arial" w:cs="Arial"/>
          <w:b/>
          <w:sz w:val="28"/>
          <w:szCs w:val="28"/>
        </w:rPr>
        <w:t>TERCERO.-</w:t>
      </w:r>
      <w:r w:rsidRPr="009A528F">
        <w:rPr>
          <w:rFonts w:ascii="Arial" w:eastAsia="Calibri" w:hAnsi="Arial" w:cs="Arial"/>
          <w:sz w:val="28"/>
          <w:szCs w:val="28"/>
        </w:rPr>
        <w:t xml:space="preserve"> La litis de la presente controversia, es determinar la legalidad o ilegalidad del acto impugnado consistente en la boleta N855295, emitida por el Instituto Registral y Catastral del Estado de San Luis Potosí, que constituye el acto impugnado</w:t>
      </w:r>
    </w:p>
    <w:p w:rsidR="006859AB" w:rsidRPr="009A528F" w:rsidRDefault="006859AB" w:rsidP="006859AB">
      <w:pPr>
        <w:spacing w:after="0" w:line="360" w:lineRule="auto"/>
        <w:ind w:firstLine="708"/>
        <w:jc w:val="both"/>
        <w:rPr>
          <w:rFonts w:ascii="Arial" w:eastAsia="Calibri" w:hAnsi="Arial" w:cs="Arial"/>
          <w:b/>
          <w:sz w:val="28"/>
          <w:szCs w:val="28"/>
        </w:rPr>
      </w:pPr>
    </w:p>
    <w:p w:rsidR="006859AB" w:rsidRPr="009A528F" w:rsidRDefault="006859AB" w:rsidP="006859AB">
      <w:pPr>
        <w:spacing w:after="0" w:line="360" w:lineRule="auto"/>
        <w:ind w:firstLine="708"/>
        <w:jc w:val="both"/>
        <w:rPr>
          <w:rFonts w:ascii="Arial" w:eastAsia="Calibri" w:hAnsi="Arial" w:cs="Arial"/>
          <w:sz w:val="28"/>
          <w:szCs w:val="28"/>
        </w:rPr>
      </w:pPr>
      <w:r w:rsidRPr="009A528F">
        <w:rPr>
          <w:rFonts w:ascii="Arial" w:eastAsia="Calibri" w:hAnsi="Arial" w:cs="Arial"/>
          <w:b/>
          <w:sz w:val="28"/>
          <w:szCs w:val="28"/>
        </w:rPr>
        <w:t xml:space="preserve">CUARTO.- </w:t>
      </w:r>
      <w:r w:rsidRPr="009A528F">
        <w:rPr>
          <w:rFonts w:ascii="Arial" w:eastAsia="Calibri" w:hAnsi="Arial" w:cs="Arial"/>
          <w:sz w:val="28"/>
          <w:szCs w:val="28"/>
        </w:rPr>
        <w:t xml:space="preserve">La parte actora hizo valer los conceptos de impugnación que obran en fojas 6 a 8 de este sumario; argumentos que no se trascriben y se tienen por reproducidos como si se insertaren a la letra, para que surtan los efectos legales que correspondan. </w:t>
      </w:r>
    </w:p>
    <w:p w:rsidR="006859AB" w:rsidRPr="009A528F" w:rsidRDefault="006859AB" w:rsidP="006859AB">
      <w:pPr>
        <w:spacing w:after="0" w:line="360" w:lineRule="auto"/>
        <w:ind w:firstLine="708"/>
        <w:jc w:val="both"/>
        <w:rPr>
          <w:rFonts w:ascii="Arial" w:eastAsia="Calibri" w:hAnsi="Arial" w:cs="Arial"/>
          <w:sz w:val="28"/>
          <w:szCs w:val="28"/>
        </w:rPr>
      </w:pPr>
    </w:p>
    <w:p w:rsidR="006859AB" w:rsidRPr="009A528F" w:rsidRDefault="006859AB" w:rsidP="006859AB">
      <w:pPr>
        <w:spacing w:after="0" w:line="360" w:lineRule="auto"/>
        <w:ind w:firstLine="708"/>
        <w:jc w:val="both"/>
        <w:rPr>
          <w:rFonts w:ascii="Arial" w:eastAsia="Calibri" w:hAnsi="Arial" w:cs="Arial"/>
          <w:sz w:val="28"/>
          <w:szCs w:val="28"/>
        </w:rPr>
      </w:pPr>
      <w:r w:rsidRPr="009A528F">
        <w:rPr>
          <w:rFonts w:ascii="Arial" w:eastAsia="Calibri" w:hAnsi="Arial" w:cs="Arial"/>
          <w:sz w:val="28"/>
          <w:szCs w:val="28"/>
        </w:rPr>
        <w:t>Resulta aplicable por analogía la Tesis de Jurisprudencia emitida por el Segundo Tribunal Colegiado del Sexto Circuito, publicada  en la página 414, Tomo VI, Común, Jurisprudencia  TCC, del Apéndice 2000, Novena Época, que a la letra dice lo siguiente:</w:t>
      </w:r>
    </w:p>
    <w:p w:rsidR="006859AB" w:rsidRPr="002C640E" w:rsidRDefault="006859AB" w:rsidP="006859AB">
      <w:pPr>
        <w:spacing w:after="0" w:line="360" w:lineRule="auto"/>
        <w:ind w:firstLine="708"/>
        <w:jc w:val="both"/>
        <w:rPr>
          <w:rFonts w:ascii="Arial" w:eastAsia="Calibri" w:hAnsi="Arial" w:cs="Arial"/>
          <w:sz w:val="26"/>
          <w:szCs w:val="26"/>
        </w:rPr>
      </w:pPr>
    </w:p>
    <w:p w:rsidR="006859AB" w:rsidRPr="002C640E" w:rsidRDefault="006859AB" w:rsidP="006859AB">
      <w:pPr>
        <w:spacing w:after="0"/>
        <w:ind w:firstLine="709"/>
        <w:jc w:val="both"/>
        <w:rPr>
          <w:rFonts w:ascii="Arial" w:eastAsia="Calibri" w:hAnsi="Arial" w:cs="Arial"/>
          <w:i/>
        </w:rPr>
      </w:pPr>
      <w:r w:rsidRPr="002C640E">
        <w:rPr>
          <w:rFonts w:ascii="Arial" w:eastAsia="Calibri" w:hAnsi="Arial" w:cs="Arial"/>
          <w:b/>
          <w:i/>
        </w:rPr>
        <w:t>“CONCEPTOS DE VIOLACIÓN. EL JUEZ NO ESTÁ OBLIGADO A TRANSCRIBIRLOS.-</w:t>
      </w:r>
      <w:r w:rsidRPr="002C640E">
        <w:rPr>
          <w:rFonts w:ascii="Arial" w:eastAsia="Calibri" w:hAnsi="Arial" w:cs="Arial"/>
          <w:i/>
        </w:rPr>
        <w:t xml:space="preserve">  El hecho de que el Juez Federal  no transcriba en su fallo los conceptos de violación expresados en la demanda, no implica que haya infringido disposiciones de </w:t>
      </w:r>
      <w:smartTag w:uri="urn:schemas-microsoft-com:office:smarttags" w:element="PersonName">
        <w:smartTagPr>
          <w:attr w:name="ProductID" w:val="la Ley"/>
        </w:smartTagPr>
        <w:r w:rsidRPr="002C640E">
          <w:rPr>
            <w:rFonts w:ascii="Arial" w:eastAsia="Calibri" w:hAnsi="Arial" w:cs="Arial"/>
            <w:i/>
          </w:rPr>
          <w:t>la Ley</w:t>
        </w:r>
      </w:smartTag>
      <w:r w:rsidRPr="002C640E">
        <w:rPr>
          <w:rFonts w:ascii="Arial" w:eastAsia="Calibri" w:hAnsi="Arial" w:cs="Arial"/>
          <w:i/>
        </w:rPr>
        <w:t xml:space="preserve"> de Amparo, a la cual sujeta su actuación, pues no hay precepto alguno que establezca la obligación de llevar a cabo tal trascripción; además de que dicha omisión no deja en estado de indefensión al quejoso, dado que no se le priva de la oportunidad para recurrir la resolución y alegar lo que estime pertinente para demostrar, en su caso, la ilegalidad de la misma.”</w:t>
      </w:r>
    </w:p>
    <w:p w:rsidR="006859AB" w:rsidRPr="002C640E" w:rsidRDefault="006859AB" w:rsidP="006859AB">
      <w:pPr>
        <w:spacing w:after="0" w:line="360" w:lineRule="auto"/>
        <w:ind w:firstLine="708"/>
        <w:jc w:val="both"/>
        <w:rPr>
          <w:rFonts w:ascii="Arial" w:eastAsia="Calibri" w:hAnsi="Arial" w:cs="Arial"/>
        </w:rPr>
      </w:pPr>
    </w:p>
    <w:p w:rsidR="006859AB" w:rsidRPr="009A528F" w:rsidRDefault="006859AB" w:rsidP="006859AB">
      <w:pPr>
        <w:spacing w:after="0" w:line="360" w:lineRule="auto"/>
        <w:ind w:firstLine="708"/>
        <w:jc w:val="both"/>
        <w:rPr>
          <w:rFonts w:ascii="Arial" w:eastAsia="Calibri" w:hAnsi="Arial" w:cs="Arial"/>
          <w:sz w:val="28"/>
          <w:szCs w:val="28"/>
        </w:rPr>
      </w:pPr>
      <w:r w:rsidRPr="009A528F">
        <w:rPr>
          <w:rFonts w:ascii="Arial" w:eastAsia="Calibri" w:hAnsi="Arial" w:cs="Arial"/>
          <w:b/>
          <w:sz w:val="28"/>
          <w:szCs w:val="28"/>
        </w:rPr>
        <w:t>QUINTO.-</w:t>
      </w:r>
      <w:r w:rsidRPr="009A528F">
        <w:rPr>
          <w:rFonts w:ascii="Arial" w:eastAsia="Calibri" w:hAnsi="Arial" w:cs="Arial"/>
          <w:sz w:val="28"/>
          <w:szCs w:val="28"/>
        </w:rPr>
        <w:t xml:space="preserve"> Previo al examen de los conceptos de impugnación que hace valer la actora, es deber de esta Sala Unitaria, analizar las causales de Improcedencia, sea que las </w:t>
      </w:r>
      <w:r w:rsidRPr="009A528F">
        <w:rPr>
          <w:rFonts w:ascii="Arial" w:eastAsia="Calibri" w:hAnsi="Arial" w:cs="Arial"/>
          <w:sz w:val="28"/>
          <w:szCs w:val="28"/>
        </w:rPr>
        <w:lastRenderedPageBreak/>
        <w:t>partes lo aleguen o no,</w:t>
      </w:r>
      <w:r w:rsidRPr="009A528F">
        <w:rPr>
          <w:rFonts w:ascii="Arial" w:eastAsia="Calibri" w:hAnsi="Arial" w:cs="Arial"/>
          <w:color w:val="000000"/>
          <w:sz w:val="28"/>
          <w:szCs w:val="28"/>
        </w:rPr>
        <w:t xml:space="preserve"> en razón de que el estudio de las mismas es de orden público y preferente a las cuestiones de fondo de la contienda planteada, </w:t>
      </w:r>
      <w:r w:rsidRPr="009A528F">
        <w:rPr>
          <w:rFonts w:ascii="Arial" w:eastAsia="Calibri" w:hAnsi="Arial" w:cs="Arial"/>
          <w:sz w:val="28"/>
          <w:szCs w:val="28"/>
        </w:rPr>
        <w:t xml:space="preserve">conforme a lo previsto en el último párrafo del artículo 228 del Código Procesal Administrativo para el Estado de San Luis Potosí; habida cuenta que, </w:t>
      </w:r>
      <w:r w:rsidRPr="009A528F">
        <w:rPr>
          <w:rFonts w:ascii="Arial" w:eastAsia="Calibri" w:hAnsi="Arial" w:cs="Arial"/>
          <w:bCs/>
          <w:iCs/>
          <w:sz w:val="28"/>
          <w:szCs w:val="28"/>
        </w:rPr>
        <w:t xml:space="preserve">la improcedencia de la acción se traduce en la imposibilidad jurídica de que el órgano jurisdiccional estudie y decida dicha cuestión, absteniéndose obligatoriamente a resolver sobre el fondo de la controversia. </w:t>
      </w:r>
      <w:r w:rsidRPr="009A528F">
        <w:rPr>
          <w:rFonts w:ascii="Arial" w:eastAsia="Calibri" w:hAnsi="Arial" w:cs="Arial"/>
          <w:sz w:val="28"/>
          <w:szCs w:val="28"/>
        </w:rPr>
        <w:t xml:space="preserve">Es aplicable al efecto, la siguiente Tesis Aislada: Registro 221332, Localización: Octava Época, Instancia: Tribunales Colegiados de Circuito, Fuente: Semanario Judicial de la Federación, VIII, Noviembre de 1991, Página: 185, Tesis Aislada, Materia(s): Administrativa, que dice: </w:t>
      </w:r>
    </w:p>
    <w:p w:rsidR="006859AB" w:rsidRPr="002C640E" w:rsidRDefault="006859AB" w:rsidP="006859AB">
      <w:pPr>
        <w:spacing w:after="0" w:line="360" w:lineRule="auto"/>
        <w:jc w:val="both"/>
        <w:rPr>
          <w:rFonts w:ascii="Arial" w:eastAsia="Calibri" w:hAnsi="Arial" w:cs="Arial"/>
          <w:sz w:val="16"/>
          <w:szCs w:val="16"/>
        </w:rPr>
      </w:pPr>
    </w:p>
    <w:p w:rsidR="006859AB" w:rsidRPr="002C640E" w:rsidRDefault="006859AB" w:rsidP="006859AB">
      <w:pPr>
        <w:spacing w:after="0"/>
        <w:ind w:firstLine="709"/>
        <w:jc w:val="both"/>
        <w:rPr>
          <w:rFonts w:ascii="Arial" w:eastAsia="Calibri" w:hAnsi="Arial" w:cs="Arial"/>
          <w:bCs/>
          <w:i/>
          <w:iCs/>
          <w:sz w:val="20"/>
          <w:szCs w:val="20"/>
        </w:rPr>
      </w:pPr>
      <w:r w:rsidRPr="002C640E">
        <w:rPr>
          <w:rFonts w:ascii="Arial" w:eastAsia="Calibri" w:hAnsi="Arial" w:cs="Arial"/>
          <w:b/>
          <w:bCs/>
          <w:i/>
          <w:sz w:val="20"/>
          <w:szCs w:val="20"/>
        </w:rPr>
        <w:t>“CONTENCIOSO ADMINISTRATIVO, IMPROCEDENCIA DEL JUICIO, ANTE EL TRIBUNAL FISCAL. CONCEPTO JURIDICO.</w:t>
      </w:r>
      <w:r w:rsidRPr="002C640E">
        <w:rPr>
          <w:rFonts w:ascii="Arial" w:eastAsia="Calibri" w:hAnsi="Arial" w:cs="Arial"/>
          <w:i/>
          <w:sz w:val="20"/>
          <w:szCs w:val="20"/>
        </w:rPr>
        <w:t xml:space="preserve"> Las causas de improcedencia que determina la ley de la materia, ven o se refieren a la procedencia del juicio mismo, esto es, los motivos de improcedencia son en cuanto a que </w:t>
      </w:r>
      <w:r w:rsidRPr="002C640E">
        <w:rPr>
          <w:rFonts w:ascii="Arial" w:eastAsia="Calibri" w:hAnsi="Arial" w:cs="Arial"/>
          <w:bCs/>
          <w:i/>
          <w:iCs/>
          <w:sz w:val="20"/>
          <w:szCs w:val="20"/>
        </w:rPr>
        <w:t>la acción en sí misma considerada no procede por las causas específicas consignadas en la ley;</w:t>
      </w:r>
      <w:r w:rsidRPr="002C640E">
        <w:rPr>
          <w:rFonts w:ascii="Arial" w:eastAsia="Calibri" w:hAnsi="Arial" w:cs="Arial"/>
          <w:i/>
          <w:sz w:val="20"/>
          <w:szCs w:val="20"/>
        </w:rPr>
        <w:t xml:space="preserve"> es verdad que las causas de improcedencia dan lugar al </w:t>
      </w:r>
      <w:r w:rsidRPr="002C640E">
        <w:rPr>
          <w:rFonts w:ascii="Arial" w:eastAsia="Calibri" w:hAnsi="Arial" w:cs="Arial"/>
          <w:bCs/>
          <w:i/>
          <w:iCs/>
          <w:sz w:val="20"/>
          <w:szCs w:val="20"/>
        </w:rPr>
        <w:t>sobreseimiento,</w:t>
      </w:r>
      <w:r w:rsidRPr="002C640E">
        <w:rPr>
          <w:rFonts w:ascii="Arial" w:eastAsia="Calibri" w:hAnsi="Arial" w:cs="Arial"/>
          <w:i/>
          <w:sz w:val="20"/>
          <w:szCs w:val="20"/>
        </w:rPr>
        <w:t xml:space="preserve"> pero no necesariamente éste sobreviene por alguna de esas causas, pues por ejemplo, de acuerdo con la fracción I del artículo 203 del Código Fiscal de la Federación, procede el sobreseimiento por desistimiento del demandante, lo anterior, no significa que el juicio sea improcedente; el juicio sí procede y lo que acontece en ese caso es que la actora por propia voluntad desiste de su acción y ello hace que se sobresea en el juicio, mas no significa que la acción en sí misma sea improcedente. Acorde con la doctrina, </w:t>
      </w:r>
      <w:r w:rsidRPr="002C640E">
        <w:rPr>
          <w:rFonts w:ascii="Arial" w:eastAsia="Calibri" w:hAnsi="Arial" w:cs="Arial"/>
          <w:bCs/>
          <w:i/>
          <w:iCs/>
          <w:sz w:val="20"/>
          <w:szCs w:val="20"/>
        </w:rPr>
        <w:t>la improcedencia de la acción se traduce en la imposibilidad de que ésta, en su concepción genérica, logre su objeto, es decir, la dicción del derecho sobre la cuestión de fondo o sustancial que su ejercicio plantea; tal improcedencia se manifiesta en que la acción no consiga su objeto propio, o sea, en que no se obtenga la pretensión del que la ejercita</w:t>
      </w:r>
      <w:r w:rsidRPr="002C640E">
        <w:rPr>
          <w:rFonts w:ascii="Arial" w:eastAsia="Calibri" w:hAnsi="Arial" w:cs="Arial"/>
          <w:bCs/>
          <w:i/>
          <w:sz w:val="20"/>
          <w:szCs w:val="20"/>
        </w:rPr>
        <w:t xml:space="preserve"> y principalmente </w:t>
      </w:r>
      <w:r w:rsidRPr="002C640E">
        <w:rPr>
          <w:rFonts w:ascii="Arial" w:eastAsia="Calibri" w:hAnsi="Arial" w:cs="Arial"/>
          <w:bCs/>
          <w:i/>
          <w:iCs/>
          <w:sz w:val="20"/>
          <w:szCs w:val="20"/>
        </w:rPr>
        <w:t>por existir un impedimento</w:t>
      </w:r>
      <w:r w:rsidRPr="002C640E">
        <w:rPr>
          <w:rFonts w:ascii="Arial" w:eastAsia="Calibri" w:hAnsi="Arial" w:cs="Arial"/>
          <w:i/>
          <w:sz w:val="20"/>
          <w:szCs w:val="20"/>
        </w:rPr>
        <w:t xml:space="preserve"> para que el órgano jurisdiccional competente analice y resuelva sobre la cuestión debatida. </w:t>
      </w:r>
      <w:r w:rsidRPr="002C640E">
        <w:rPr>
          <w:rFonts w:ascii="Arial" w:eastAsia="Calibri" w:hAnsi="Arial" w:cs="Arial"/>
          <w:bCs/>
          <w:i/>
          <w:iCs/>
          <w:sz w:val="20"/>
          <w:szCs w:val="20"/>
        </w:rPr>
        <w:t>En resumen, la improcedencia de la acción se traduce en la imposibilidad jurídica de que el órgano jurisdiccional estudie y decida dicha cuestión, absteniéndose obligatoriamente a resolver sobre el fondo de la controversia.”</w:t>
      </w:r>
    </w:p>
    <w:p w:rsidR="006859AB" w:rsidRDefault="006859AB" w:rsidP="006859AB">
      <w:pPr>
        <w:spacing w:after="0" w:line="360" w:lineRule="auto"/>
        <w:ind w:firstLine="708"/>
        <w:jc w:val="both"/>
        <w:rPr>
          <w:rFonts w:ascii="Arial" w:hAnsi="Arial" w:cs="Arial"/>
          <w:sz w:val="24"/>
          <w:szCs w:val="24"/>
        </w:rPr>
      </w:pPr>
    </w:p>
    <w:p w:rsidR="006859AB" w:rsidRPr="009A528F" w:rsidRDefault="006859AB" w:rsidP="006859AB">
      <w:pPr>
        <w:spacing w:after="0" w:line="360" w:lineRule="auto"/>
        <w:ind w:firstLine="708"/>
        <w:jc w:val="both"/>
        <w:rPr>
          <w:rFonts w:ascii="Arial" w:hAnsi="Arial" w:cs="Arial"/>
          <w:sz w:val="28"/>
          <w:szCs w:val="28"/>
        </w:rPr>
      </w:pPr>
      <w:r w:rsidRPr="009A528F">
        <w:rPr>
          <w:rFonts w:ascii="Arial" w:hAnsi="Arial" w:cs="Arial"/>
          <w:sz w:val="28"/>
          <w:szCs w:val="28"/>
        </w:rPr>
        <w:t xml:space="preserve">Al respecto, la autoridad demandada al producir su contestación, propone la causal a que se refiere la fracción IX del artículo 228 y fracción II del artículo 229 del Código Procesal Administrativo para el Estado de San Luis Potosí, al señalar que ha dejado sin efecto el acto impugnado, toda vez que de la consulta al Sistema Integral Registral SIR al Folio Electrónico Real </w:t>
      </w:r>
      <w:r w:rsidR="00486173">
        <w:rPr>
          <w:rFonts w:ascii="Arial" w:hAnsi="Arial" w:cs="Arial"/>
          <w:color w:val="FF0000"/>
          <w:sz w:val="28"/>
          <w:szCs w:val="28"/>
        </w:rPr>
        <w:t>**********</w:t>
      </w:r>
      <w:r w:rsidRPr="009A528F">
        <w:rPr>
          <w:rFonts w:ascii="Arial" w:hAnsi="Arial" w:cs="Arial"/>
          <w:sz w:val="28"/>
          <w:szCs w:val="28"/>
        </w:rPr>
        <w:t xml:space="preserve">, arrojó que se procedió al asiento registral de las medidas lineales y colindancias, así como superficie del inmueble </w:t>
      </w:r>
      <w:r w:rsidRPr="009A528F">
        <w:rPr>
          <w:rFonts w:ascii="Arial" w:hAnsi="Arial" w:cs="Arial"/>
          <w:sz w:val="28"/>
          <w:szCs w:val="28"/>
        </w:rPr>
        <w:lastRenderedPageBreak/>
        <w:t xml:space="preserve">ubicado en la Fracción del Zapote, en el que se encuentra asociado la boleta N927605 ingresada el 6 de noviembre de 2024, cuyo acto es la rectificación de Folio, acorde al Instrumento </w:t>
      </w:r>
      <w:r w:rsidR="00486173">
        <w:rPr>
          <w:rFonts w:ascii="Arial" w:hAnsi="Arial" w:cs="Arial"/>
          <w:color w:val="FF0000"/>
          <w:sz w:val="28"/>
          <w:szCs w:val="28"/>
        </w:rPr>
        <w:t>**********</w:t>
      </w:r>
      <w:r w:rsidRPr="009A528F">
        <w:rPr>
          <w:rFonts w:ascii="Arial" w:hAnsi="Arial" w:cs="Arial"/>
          <w:sz w:val="28"/>
          <w:szCs w:val="28"/>
        </w:rPr>
        <w:t xml:space="preserve">de fecha </w:t>
      </w:r>
      <w:r w:rsidR="00486173">
        <w:rPr>
          <w:rFonts w:ascii="Arial" w:hAnsi="Arial" w:cs="Arial"/>
          <w:color w:val="FF0000"/>
          <w:sz w:val="28"/>
          <w:szCs w:val="28"/>
        </w:rPr>
        <w:t>**********</w:t>
      </w:r>
      <w:r w:rsidRPr="009A528F">
        <w:rPr>
          <w:rFonts w:ascii="Arial" w:hAnsi="Arial" w:cs="Arial"/>
          <w:sz w:val="28"/>
          <w:szCs w:val="28"/>
        </w:rPr>
        <w:t xml:space="preserve">, para lo cual señala que anexa copias fotostáticas certificadas relativas a la carátula del Folio electrónico Real </w:t>
      </w:r>
      <w:r w:rsidR="00486173">
        <w:rPr>
          <w:rFonts w:ascii="Arial" w:hAnsi="Arial" w:cs="Arial"/>
          <w:color w:val="FF0000"/>
          <w:sz w:val="28"/>
          <w:szCs w:val="28"/>
        </w:rPr>
        <w:t>**********</w:t>
      </w:r>
      <w:r w:rsidRPr="009A528F">
        <w:rPr>
          <w:rFonts w:ascii="Arial" w:hAnsi="Arial" w:cs="Arial"/>
          <w:sz w:val="28"/>
          <w:szCs w:val="28"/>
        </w:rPr>
        <w:t>, así como de la Boleta N927605, mediante las cuales plenamente acredita que se satisfizo la pretensión de la actora, esto es, se rectificó el asiento registral solicitado.</w:t>
      </w:r>
    </w:p>
    <w:p w:rsidR="000D4FA4" w:rsidRPr="009A528F" w:rsidRDefault="000D4FA4" w:rsidP="006859AB">
      <w:pPr>
        <w:spacing w:after="0" w:line="360" w:lineRule="auto"/>
        <w:ind w:firstLine="708"/>
        <w:jc w:val="both"/>
        <w:rPr>
          <w:rFonts w:ascii="Arial" w:hAnsi="Arial" w:cs="Arial"/>
          <w:sz w:val="28"/>
          <w:szCs w:val="28"/>
        </w:rPr>
      </w:pPr>
    </w:p>
    <w:p w:rsidR="000D4FA4" w:rsidRPr="009A528F" w:rsidRDefault="000D4FA4" w:rsidP="000D4FA4">
      <w:pPr>
        <w:spacing w:after="0" w:line="360" w:lineRule="auto"/>
        <w:ind w:firstLine="709"/>
        <w:jc w:val="both"/>
        <w:rPr>
          <w:rFonts w:ascii="Arial" w:eastAsia="Arial Unicode MS" w:hAnsi="Arial" w:cs="Arial"/>
          <w:sz w:val="28"/>
          <w:szCs w:val="28"/>
        </w:rPr>
      </w:pPr>
      <w:r w:rsidRPr="009A528F">
        <w:rPr>
          <w:rFonts w:ascii="Arial" w:eastAsia="Arial Unicode MS" w:hAnsi="Arial" w:cs="Arial"/>
          <w:sz w:val="28"/>
          <w:szCs w:val="28"/>
        </w:rPr>
        <w:t>De lo anterior, se dio vista a la parte actora, mediante auto de diecisiete de febrero de dos mil veinticinco, para que dentro del término de tres días hábiles manifestara lo que a su interés conviniera, con el apercibimiento que de no realizar manifestación alguna en el término legal concedido, esta Sala de oficio resolvería lo que en derecho corresponda.</w:t>
      </w:r>
    </w:p>
    <w:p w:rsidR="000D4FA4" w:rsidRPr="009A528F" w:rsidRDefault="000D4FA4" w:rsidP="000D4FA4">
      <w:pPr>
        <w:spacing w:after="0" w:line="360" w:lineRule="auto"/>
        <w:ind w:firstLine="709"/>
        <w:jc w:val="both"/>
        <w:rPr>
          <w:rFonts w:ascii="Arial" w:eastAsia="Arial Unicode MS" w:hAnsi="Arial" w:cs="Arial"/>
          <w:sz w:val="28"/>
          <w:szCs w:val="28"/>
        </w:rPr>
      </w:pPr>
    </w:p>
    <w:p w:rsidR="000D4FA4" w:rsidRPr="009A528F" w:rsidRDefault="000D4FA4" w:rsidP="000D4FA4">
      <w:pPr>
        <w:spacing w:after="0" w:line="360" w:lineRule="auto"/>
        <w:ind w:firstLine="709"/>
        <w:jc w:val="both"/>
        <w:rPr>
          <w:rFonts w:ascii="Arial" w:eastAsia="Arial Unicode MS" w:hAnsi="Arial" w:cs="Arial"/>
          <w:sz w:val="28"/>
          <w:szCs w:val="28"/>
        </w:rPr>
      </w:pPr>
      <w:r w:rsidRPr="009A528F">
        <w:rPr>
          <w:rFonts w:ascii="Arial" w:eastAsia="Arial Unicode MS" w:hAnsi="Arial" w:cs="Arial"/>
          <w:sz w:val="28"/>
          <w:szCs w:val="28"/>
        </w:rPr>
        <w:t>Por lo que con proveído de diez de julio de dos mil veinticinco, se le hizo efectivo el apercibimiento decretado al actor, mediante auto de diecisiete de febrero de dos mil veinticinco, toda vez que no produjo manifestación alguna en el término legal concedido y en consecuencia se ordenó continuar con la substanciación del presente asunto, en la etapa procesal correspondiente.</w:t>
      </w:r>
    </w:p>
    <w:p w:rsidR="000D4FA4" w:rsidRPr="009A528F" w:rsidRDefault="000D4FA4" w:rsidP="000D4FA4">
      <w:pPr>
        <w:spacing w:after="0"/>
        <w:ind w:firstLine="709"/>
        <w:jc w:val="both"/>
        <w:rPr>
          <w:rFonts w:ascii="Arial" w:eastAsia="Arial Unicode MS" w:hAnsi="Arial" w:cs="Arial"/>
          <w:i/>
          <w:sz w:val="28"/>
          <w:szCs w:val="28"/>
        </w:rPr>
      </w:pPr>
    </w:p>
    <w:p w:rsidR="000D4FA4" w:rsidRPr="009A528F" w:rsidRDefault="000D4FA4" w:rsidP="000D4FA4">
      <w:pPr>
        <w:spacing w:after="0" w:line="360" w:lineRule="auto"/>
        <w:ind w:firstLine="708"/>
        <w:jc w:val="both"/>
        <w:rPr>
          <w:rFonts w:ascii="Arial" w:hAnsi="Arial" w:cs="Arial"/>
          <w:sz w:val="28"/>
          <w:szCs w:val="28"/>
        </w:rPr>
      </w:pPr>
      <w:r w:rsidRPr="009A528F">
        <w:rPr>
          <w:rFonts w:ascii="Arial" w:hAnsi="Arial" w:cs="Arial"/>
          <w:sz w:val="28"/>
          <w:szCs w:val="28"/>
        </w:rPr>
        <w:t>Por tanto, se procede al estudio de la causal que propone la autoridad demandada, en los términos correspondientes.</w:t>
      </w:r>
    </w:p>
    <w:p w:rsidR="000D4FA4" w:rsidRPr="009A528F" w:rsidRDefault="000D4FA4" w:rsidP="000D4FA4">
      <w:pPr>
        <w:spacing w:after="0" w:line="360" w:lineRule="auto"/>
        <w:ind w:firstLine="708"/>
        <w:jc w:val="both"/>
        <w:rPr>
          <w:rFonts w:ascii="Arial" w:hAnsi="Arial" w:cs="Arial"/>
          <w:sz w:val="28"/>
          <w:szCs w:val="28"/>
        </w:rPr>
      </w:pPr>
    </w:p>
    <w:p w:rsidR="000D4FA4" w:rsidRPr="009A528F" w:rsidRDefault="000D4FA4" w:rsidP="000D4FA4">
      <w:pPr>
        <w:spacing w:after="0" w:line="360" w:lineRule="auto"/>
        <w:ind w:firstLine="708"/>
        <w:jc w:val="both"/>
        <w:rPr>
          <w:rFonts w:ascii="Arial" w:hAnsi="Arial" w:cs="Arial"/>
          <w:sz w:val="28"/>
          <w:szCs w:val="28"/>
        </w:rPr>
      </w:pPr>
      <w:r w:rsidRPr="009A528F">
        <w:rPr>
          <w:rFonts w:ascii="Arial" w:hAnsi="Arial" w:cs="Arial"/>
          <w:sz w:val="28"/>
          <w:szCs w:val="28"/>
        </w:rPr>
        <w:t xml:space="preserve">La parte actora señaló como acto impugnado, en la presente controversia, el Rechazo de la Boleta de fecha 24 de julio de 2024, correspondiente a la boleta N855295 y señala como pretensión que de manera fundada y motivada emita un nuevo acto en el que proceda a la inscripción del instrumento número </w:t>
      </w:r>
      <w:r w:rsidR="00486173">
        <w:rPr>
          <w:rFonts w:ascii="Arial" w:hAnsi="Arial" w:cs="Arial"/>
          <w:color w:val="FF0000"/>
          <w:sz w:val="28"/>
          <w:szCs w:val="28"/>
        </w:rPr>
        <w:lastRenderedPageBreak/>
        <w:t>**********</w:t>
      </w:r>
      <w:r w:rsidRPr="009A528F">
        <w:rPr>
          <w:rFonts w:ascii="Arial" w:hAnsi="Arial" w:cs="Arial"/>
          <w:sz w:val="28"/>
          <w:szCs w:val="28"/>
        </w:rPr>
        <w:t xml:space="preserve"> del libro </w:t>
      </w:r>
      <w:r w:rsidR="00486173">
        <w:rPr>
          <w:rFonts w:ascii="Arial" w:hAnsi="Arial" w:cs="Arial"/>
          <w:color w:val="FF0000"/>
          <w:sz w:val="28"/>
          <w:szCs w:val="28"/>
        </w:rPr>
        <w:t>**********</w:t>
      </w:r>
      <w:r w:rsidRPr="009A528F">
        <w:rPr>
          <w:rFonts w:ascii="Arial" w:hAnsi="Arial" w:cs="Arial"/>
          <w:sz w:val="28"/>
          <w:szCs w:val="28"/>
        </w:rPr>
        <w:t xml:space="preserve">, levantado en el Protocolo del Notario Público </w:t>
      </w:r>
      <w:r w:rsidR="00486173">
        <w:rPr>
          <w:rFonts w:ascii="Arial" w:hAnsi="Arial" w:cs="Arial"/>
          <w:color w:val="FF0000"/>
          <w:sz w:val="28"/>
          <w:szCs w:val="28"/>
        </w:rPr>
        <w:t>**********</w:t>
      </w:r>
      <w:r w:rsidRPr="009A528F">
        <w:rPr>
          <w:rFonts w:ascii="Arial" w:hAnsi="Arial" w:cs="Arial"/>
          <w:sz w:val="28"/>
          <w:szCs w:val="28"/>
        </w:rPr>
        <w:t xml:space="preserve">, en el que protocoliza la certificación de superficie, medidas lineales y colindancias del inmueble del cual ostenta la nuda propiedad del predio ubicado en la </w:t>
      </w:r>
      <w:r w:rsidR="00486173">
        <w:rPr>
          <w:rFonts w:ascii="Arial" w:hAnsi="Arial" w:cs="Arial"/>
          <w:color w:val="FF0000"/>
          <w:sz w:val="28"/>
          <w:szCs w:val="28"/>
        </w:rPr>
        <w:t>**********</w:t>
      </w:r>
    </w:p>
    <w:p w:rsidR="000D4FA4" w:rsidRPr="009A528F" w:rsidRDefault="000D4FA4" w:rsidP="006859AB">
      <w:pPr>
        <w:spacing w:after="0" w:line="360" w:lineRule="auto"/>
        <w:ind w:firstLine="708"/>
        <w:jc w:val="both"/>
        <w:rPr>
          <w:rFonts w:ascii="Arial" w:hAnsi="Arial" w:cs="Arial"/>
          <w:sz w:val="28"/>
          <w:szCs w:val="28"/>
        </w:rPr>
      </w:pPr>
    </w:p>
    <w:p w:rsidR="000D4FA4" w:rsidRPr="009A528F" w:rsidRDefault="000D4FA4" w:rsidP="000D4FA4">
      <w:pPr>
        <w:spacing w:after="0" w:line="360" w:lineRule="auto"/>
        <w:ind w:firstLine="708"/>
        <w:jc w:val="both"/>
        <w:rPr>
          <w:rFonts w:ascii="Arial" w:hAnsi="Arial" w:cs="Arial"/>
          <w:sz w:val="28"/>
          <w:szCs w:val="28"/>
        </w:rPr>
      </w:pPr>
      <w:r w:rsidRPr="009A528F">
        <w:rPr>
          <w:rFonts w:ascii="Arial" w:hAnsi="Arial" w:cs="Arial"/>
          <w:sz w:val="28"/>
          <w:szCs w:val="28"/>
        </w:rPr>
        <w:t xml:space="preserve">Ahora bien, de acuerdo a lo expuesto por la parte actora, que dejó sin efecto el acto impugnado, ya que, de la consulta al Sistema Integral Registral SIR al Folio Electrónico Real </w:t>
      </w:r>
      <w:r w:rsidR="00486173">
        <w:rPr>
          <w:rFonts w:ascii="Arial" w:hAnsi="Arial" w:cs="Arial"/>
          <w:color w:val="FF0000"/>
          <w:sz w:val="28"/>
          <w:szCs w:val="28"/>
        </w:rPr>
        <w:t>**********</w:t>
      </w:r>
      <w:r w:rsidRPr="009A528F">
        <w:rPr>
          <w:rFonts w:ascii="Arial" w:hAnsi="Arial" w:cs="Arial"/>
          <w:sz w:val="28"/>
          <w:szCs w:val="28"/>
        </w:rPr>
        <w:t xml:space="preserve">, arrojó que se procedió al asiento registral de las medidas lineales y colindancias, así como superficie del inmueble ubicado en la </w:t>
      </w:r>
      <w:r w:rsidR="00486173">
        <w:rPr>
          <w:rFonts w:ascii="Arial" w:hAnsi="Arial" w:cs="Arial"/>
          <w:color w:val="FF0000"/>
          <w:sz w:val="28"/>
          <w:szCs w:val="28"/>
        </w:rPr>
        <w:t>**********</w:t>
      </w:r>
      <w:r w:rsidRPr="009A528F">
        <w:rPr>
          <w:rFonts w:ascii="Arial" w:hAnsi="Arial" w:cs="Arial"/>
          <w:sz w:val="28"/>
          <w:szCs w:val="28"/>
        </w:rPr>
        <w:t xml:space="preserve">, en el que se encuentra asociado la boleta N927605 ingresada el 6 de noviembre de 2024, cuyo acto es la rectificación de Folio, acorde al Instrumento </w:t>
      </w:r>
      <w:r w:rsidR="00486173">
        <w:rPr>
          <w:rFonts w:ascii="Arial" w:hAnsi="Arial" w:cs="Arial"/>
          <w:color w:val="FF0000"/>
          <w:sz w:val="28"/>
          <w:szCs w:val="28"/>
        </w:rPr>
        <w:t>**********</w:t>
      </w:r>
      <w:r w:rsidRPr="009A528F">
        <w:rPr>
          <w:rFonts w:ascii="Arial" w:hAnsi="Arial" w:cs="Arial"/>
          <w:sz w:val="28"/>
          <w:szCs w:val="28"/>
        </w:rPr>
        <w:t>, para lo cual señala que anexa copias fotostáticas certificadas rel</w:t>
      </w:r>
      <w:r w:rsidR="00A575CA" w:rsidRPr="009A528F">
        <w:rPr>
          <w:rFonts w:ascii="Arial" w:hAnsi="Arial" w:cs="Arial"/>
          <w:sz w:val="28"/>
          <w:szCs w:val="28"/>
        </w:rPr>
        <w:t>ativas a la carátula del Folio E</w:t>
      </w:r>
      <w:r w:rsidRPr="009A528F">
        <w:rPr>
          <w:rFonts w:ascii="Arial" w:hAnsi="Arial" w:cs="Arial"/>
          <w:sz w:val="28"/>
          <w:szCs w:val="28"/>
        </w:rPr>
        <w:t xml:space="preserve">lectrónico Real </w:t>
      </w:r>
      <w:r w:rsidR="00486173">
        <w:rPr>
          <w:rFonts w:ascii="Arial" w:hAnsi="Arial" w:cs="Arial"/>
          <w:color w:val="FF0000"/>
          <w:sz w:val="28"/>
          <w:szCs w:val="28"/>
        </w:rPr>
        <w:t>**********</w:t>
      </w:r>
      <w:r w:rsidRPr="009A528F">
        <w:rPr>
          <w:rFonts w:ascii="Arial" w:hAnsi="Arial" w:cs="Arial"/>
          <w:sz w:val="28"/>
          <w:szCs w:val="28"/>
        </w:rPr>
        <w:t>, así como de la Boleta N927605, mediante las cuales plenamente acredita que se satisfizo la pretensión de la actora, esto es, se rectificó el asiento registral solicitado.</w:t>
      </w:r>
    </w:p>
    <w:p w:rsidR="000D4FA4" w:rsidRPr="009A528F" w:rsidRDefault="000D4FA4" w:rsidP="000D4FA4">
      <w:pPr>
        <w:spacing w:after="0" w:line="360" w:lineRule="auto"/>
        <w:ind w:firstLine="708"/>
        <w:jc w:val="both"/>
        <w:rPr>
          <w:rFonts w:ascii="Arial" w:hAnsi="Arial" w:cs="Arial"/>
          <w:sz w:val="28"/>
          <w:szCs w:val="28"/>
        </w:rPr>
      </w:pPr>
    </w:p>
    <w:p w:rsidR="00A81F7A" w:rsidRPr="009A528F" w:rsidRDefault="000D4FA4" w:rsidP="000D4FA4">
      <w:pPr>
        <w:spacing w:after="0" w:line="360" w:lineRule="auto"/>
        <w:ind w:firstLine="708"/>
        <w:jc w:val="both"/>
        <w:rPr>
          <w:rFonts w:ascii="Arial" w:hAnsi="Arial" w:cs="Arial"/>
          <w:sz w:val="28"/>
          <w:szCs w:val="28"/>
        </w:rPr>
      </w:pPr>
      <w:r w:rsidRPr="009A528F">
        <w:rPr>
          <w:rFonts w:ascii="Arial" w:hAnsi="Arial" w:cs="Arial"/>
          <w:sz w:val="28"/>
          <w:szCs w:val="28"/>
        </w:rPr>
        <w:t xml:space="preserve">Y a fojas 52 a 54, se advierte que con fecha 6 de noviembre de 2024, se dio entrada a la Boleta N927605, </w:t>
      </w:r>
      <w:r w:rsidR="00A81F7A" w:rsidRPr="009A528F">
        <w:rPr>
          <w:rFonts w:ascii="Arial" w:hAnsi="Arial" w:cs="Arial"/>
          <w:sz w:val="28"/>
          <w:szCs w:val="28"/>
        </w:rPr>
        <w:t xml:space="preserve">misma que fue pagada mediante recibos PP-937137 y PP-937139, con los cuales se pagaron los derechos de Registro, presentado por el Notario Público Número </w:t>
      </w:r>
      <w:r w:rsidR="00486173">
        <w:rPr>
          <w:rFonts w:ascii="Arial" w:hAnsi="Arial" w:cs="Arial"/>
          <w:color w:val="FF0000"/>
          <w:sz w:val="28"/>
          <w:szCs w:val="28"/>
        </w:rPr>
        <w:t>**********</w:t>
      </w:r>
      <w:r w:rsidR="00A81F7A" w:rsidRPr="009A528F">
        <w:rPr>
          <w:rFonts w:ascii="Arial" w:hAnsi="Arial" w:cs="Arial"/>
          <w:sz w:val="28"/>
          <w:szCs w:val="28"/>
        </w:rPr>
        <w:t xml:space="preserve">donde se señala como Beneficiario a </w:t>
      </w:r>
      <w:r w:rsidR="00486173">
        <w:rPr>
          <w:rFonts w:ascii="Arial" w:hAnsi="Arial" w:cs="Arial"/>
          <w:color w:val="FF0000"/>
          <w:sz w:val="28"/>
          <w:szCs w:val="28"/>
        </w:rPr>
        <w:t>**********</w:t>
      </w:r>
      <w:r w:rsidR="00A81F7A" w:rsidRPr="009A528F">
        <w:rPr>
          <w:rFonts w:ascii="Arial" w:hAnsi="Arial" w:cs="Arial"/>
          <w:sz w:val="28"/>
          <w:szCs w:val="28"/>
        </w:rPr>
        <w:t xml:space="preserve">Asimismo, a fojas 50 a 51, se observa el estatus del folio </w:t>
      </w:r>
      <w:r w:rsidR="00486173">
        <w:rPr>
          <w:rFonts w:ascii="Arial" w:hAnsi="Arial" w:cs="Arial"/>
          <w:color w:val="FF0000"/>
          <w:sz w:val="28"/>
          <w:szCs w:val="28"/>
        </w:rPr>
        <w:t>**********</w:t>
      </w:r>
      <w:r w:rsidR="00A81F7A" w:rsidRPr="009A528F">
        <w:rPr>
          <w:rFonts w:ascii="Arial" w:hAnsi="Arial" w:cs="Arial"/>
          <w:sz w:val="28"/>
          <w:szCs w:val="28"/>
        </w:rPr>
        <w:t xml:space="preserve">, </w:t>
      </w:r>
      <w:r w:rsidR="00442956" w:rsidRPr="009A528F">
        <w:rPr>
          <w:rFonts w:ascii="Arial" w:hAnsi="Arial" w:cs="Arial"/>
          <w:sz w:val="28"/>
          <w:szCs w:val="28"/>
        </w:rPr>
        <w:t xml:space="preserve">Propietarios </w:t>
      </w:r>
      <w:r w:rsidR="00486173">
        <w:rPr>
          <w:rFonts w:ascii="Arial" w:hAnsi="Arial" w:cs="Arial"/>
          <w:color w:val="FF0000"/>
          <w:sz w:val="28"/>
          <w:szCs w:val="28"/>
        </w:rPr>
        <w:t>**********</w:t>
      </w:r>
      <w:r w:rsidR="00442956" w:rsidRPr="009A528F">
        <w:rPr>
          <w:rFonts w:ascii="Arial" w:hAnsi="Arial" w:cs="Arial"/>
          <w:sz w:val="28"/>
          <w:szCs w:val="28"/>
        </w:rPr>
        <w:t xml:space="preserve">, con derecho de usufructo vitalicio con porcentaje del 100% e </w:t>
      </w:r>
      <w:r w:rsidR="00486173">
        <w:rPr>
          <w:rFonts w:ascii="Arial" w:hAnsi="Arial" w:cs="Arial"/>
          <w:color w:val="FF0000"/>
          <w:sz w:val="28"/>
          <w:szCs w:val="28"/>
        </w:rPr>
        <w:t>**********</w:t>
      </w:r>
      <w:r w:rsidR="00442956" w:rsidRPr="009A528F">
        <w:rPr>
          <w:rFonts w:ascii="Arial" w:hAnsi="Arial" w:cs="Arial"/>
          <w:sz w:val="28"/>
          <w:szCs w:val="28"/>
        </w:rPr>
        <w:t xml:space="preserve">, con derecho de nuda propiedad, con porcentaje del 100%, </w:t>
      </w:r>
      <w:r w:rsidR="00A81F7A" w:rsidRPr="009A528F">
        <w:rPr>
          <w:rFonts w:ascii="Arial" w:hAnsi="Arial" w:cs="Arial"/>
          <w:sz w:val="28"/>
          <w:szCs w:val="28"/>
        </w:rPr>
        <w:t xml:space="preserve">respecto de la clave catastral </w:t>
      </w:r>
      <w:r w:rsidR="00486173">
        <w:rPr>
          <w:rFonts w:ascii="Arial" w:hAnsi="Arial" w:cs="Arial"/>
          <w:color w:val="FF0000"/>
          <w:sz w:val="28"/>
          <w:szCs w:val="28"/>
        </w:rPr>
        <w:t>**********</w:t>
      </w:r>
      <w:r w:rsidR="00A81F7A" w:rsidRPr="009A528F">
        <w:rPr>
          <w:rFonts w:ascii="Arial" w:hAnsi="Arial" w:cs="Arial"/>
          <w:sz w:val="28"/>
          <w:szCs w:val="28"/>
        </w:rPr>
        <w:t xml:space="preserve">, Colonia </w:t>
      </w:r>
      <w:r w:rsidR="00486173">
        <w:rPr>
          <w:rFonts w:ascii="Arial" w:hAnsi="Arial" w:cs="Arial"/>
          <w:color w:val="FF0000"/>
          <w:sz w:val="28"/>
          <w:szCs w:val="28"/>
        </w:rPr>
        <w:t>**********</w:t>
      </w:r>
      <w:r w:rsidR="00A81F7A" w:rsidRPr="009A528F">
        <w:rPr>
          <w:rFonts w:ascii="Arial" w:hAnsi="Arial" w:cs="Arial"/>
          <w:sz w:val="28"/>
          <w:szCs w:val="28"/>
        </w:rPr>
        <w:t xml:space="preserve">, </w:t>
      </w:r>
      <w:r w:rsidR="00486173">
        <w:rPr>
          <w:rFonts w:ascii="Arial" w:hAnsi="Arial" w:cs="Arial"/>
          <w:color w:val="FF0000"/>
          <w:sz w:val="28"/>
          <w:szCs w:val="28"/>
        </w:rPr>
        <w:t>**********</w:t>
      </w:r>
      <w:r w:rsidR="00A81F7A" w:rsidRPr="009A528F">
        <w:rPr>
          <w:rFonts w:ascii="Arial" w:hAnsi="Arial" w:cs="Arial"/>
          <w:sz w:val="28"/>
          <w:szCs w:val="28"/>
        </w:rPr>
        <w:t xml:space="preserve"> con Boleta N927605, con fecha de ingreso de 6 de noviembre de 2024, como Acto</w:t>
      </w:r>
      <w:r w:rsidR="00442956" w:rsidRPr="009A528F">
        <w:rPr>
          <w:rFonts w:ascii="Arial" w:hAnsi="Arial" w:cs="Arial"/>
          <w:sz w:val="28"/>
          <w:szCs w:val="28"/>
        </w:rPr>
        <w:t>s</w:t>
      </w:r>
      <w:r w:rsidR="00A81F7A" w:rsidRPr="009A528F">
        <w:rPr>
          <w:rFonts w:ascii="Arial" w:hAnsi="Arial" w:cs="Arial"/>
          <w:sz w:val="28"/>
          <w:szCs w:val="28"/>
        </w:rPr>
        <w:t xml:space="preserve"> de Dominio</w:t>
      </w:r>
      <w:r w:rsidR="00442956" w:rsidRPr="009A528F">
        <w:rPr>
          <w:rFonts w:ascii="Arial" w:hAnsi="Arial" w:cs="Arial"/>
          <w:sz w:val="28"/>
          <w:szCs w:val="28"/>
        </w:rPr>
        <w:t>,</w:t>
      </w:r>
      <w:r w:rsidR="00A81F7A" w:rsidRPr="009A528F">
        <w:rPr>
          <w:rFonts w:ascii="Arial" w:hAnsi="Arial" w:cs="Arial"/>
          <w:sz w:val="28"/>
          <w:szCs w:val="28"/>
        </w:rPr>
        <w:t xml:space="preserve"> Rectificación de Folio, firmado el 13 de noviembre de 2024</w:t>
      </w:r>
      <w:r w:rsidR="00442956" w:rsidRPr="009A528F">
        <w:rPr>
          <w:rFonts w:ascii="Arial" w:hAnsi="Arial" w:cs="Arial"/>
          <w:sz w:val="28"/>
          <w:szCs w:val="28"/>
        </w:rPr>
        <w:t>.</w:t>
      </w:r>
    </w:p>
    <w:p w:rsidR="000D4FA4" w:rsidRPr="009A528F" w:rsidRDefault="000D4FA4" w:rsidP="006859AB">
      <w:pPr>
        <w:spacing w:after="0" w:line="360" w:lineRule="auto"/>
        <w:ind w:firstLine="708"/>
        <w:jc w:val="both"/>
        <w:rPr>
          <w:rFonts w:ascii="Arial" w:hAnsi="Arial" w:cs="Arial"/>
          <w:sz w:val="28"/>
          <w:szCs w:val="28"/>
        </w:rPr>
      </w:pPr>
    </w:p>
    <w:p w:rsidR="000D4FA4" w:rsidRPr="009A528F" w:rsidRDefault="00B71A90" w:rsidP="006859AB">
      <w:pPr>
        <w:spacing w:after="0" w:line="360" w:lineRule="auto"/>
        <w:ind w:firstLine="708"/>
        <w:jc w:val="both"/>
        <w:rPr>
          <w:rFonts w:ascii="Arial" w:hAnsi="Arial" w:cs="Arial"/>
          <w:sz w:val="28"/>
          <w:szCs w:val="28"/>
        </w:rPr>
      </w:pPr>
      <w:r w:rsidRPr="009A528F">
        <w:rPr>
          <w:rFonts w:ascii="Arial" w:hAnsi="Arial" w:cs="Arial"/>
          <w:sz w:val="28"/>
          <w:szCs w:val="28"/>
        </w:rPr>
        <w:lastRenderedPageBreak/>
        <w:t xml:space="preserve">Actuaciones de las que se advierte el registro presentado por el Notario Público Número </w:t>
      </w:r>
      <w:r w:rsidR="00486173">
        <w:rPr>
          <w:rFonts w:ascii="Arial" w:hAnsi="Arial" w:cs="Arial"/>
          <w:color w:val="FF0000"/>
          <w:sz w:val="28"/>
          <w:szCs w:val="28"/>
        </w:rPr>
        <w:t>**********</w:t>
      </w:r>
      <w:r w:rsidRPr="009A528F">
        <w:rPr>
          <w:rFonts w:ascii="Arial" w:hAnsi="Arial" w:cs="Arial"/>
          <w:sz w:val="28"/>
          <w:szCs w:val="28"/>
        </w:rPr>
        <w:t xml:space="preserve">, donde se señala como Beneficiario a </w:t>
      </w:r>
      <w:r w:rsidR="00486173">
        <w:rPr>
          <w:rFonts w:ascii="Arial" w:hAnsi="Arial" w:cs="Arial"/>
          <w:color w:val="FF0000"/>
          <w:sz w:val="28"/>
          <w:szCs w:val="28"/>
        </w:rPr>
        <w:t>**********</w:t>
      </w:r>
      <w:r w:rsidRPr="009A528F">
        <w:rPr>
          <w:rFonts w:ascii="Arial" w:hAnsi="Arial" w:cs="Arial"/>
          <w:sz w:val="28"/>
          <w:szCs w:val="28"/>
        </w:rPr>
        <w:t xml:space="preserve">y como trámite Anotación Marginal, Folio </w:t>
      </w:r>
      <w:r w:rsidR="00A575CA" w:rsidRPr="009A528F">
        <w:rPr>
          <w:rFonts w:ascii="Arial" w:hAnsi="Arial" w:cs="Arial"/>
          <w:sz w:val="28"/>
          <w:szCs w:val="28"/>
        </w:rPr>
        <w:t xml:space="preserve">Real </w:t>
      </w:r>
      <w:r w:rsidR="00486173">
        <w:rPr>
          <w:rFonts w:ascii="Arial" w:hAnsi="Arial" w:cs="Arial"/>
          <w:color w:val="FF0000"/>
          <w:sz w:val="28"/>
          <w:szCs w:val="28"/>
        </w:rPr>
        <w:t>**********</w:t>
      </w:r>
      <w:r w:rsidR="00A575CA" w:rsidRPr="009A528F">
        <w:rPr>
          <w:rFonts w:ascii="Arial" w:hAnsi="Arial" w:cs="Arial"/>
          <w:sz w:val="28"/>
          <w:szCs w:val="28"/>
        </w:rPr>
        <w:t xml:space="preserve">, arrojó que se procedió al asiento registral de las medidas lineales y colindancias, así como superficie del inmueble ubicado en la </w:t>
      </w:r>
      <w:r w:rsidR="00486173">
        <w:rPr>
          <w:rFonts w:ascii="Arial" w:hAnsi="Arial" w:cs="Arial"/>
          <w:color w:val="FF0000"/>
          <w:sz w:val="28"/>
          <w:szCs w:val="28"/>
        </w:rPr>
        <w:t>**********</w:t>
      </w:r>
      <w:r w:rsidR="00A575CA" w:rsidRPr="009A528F">
        <w:rPr>
          <w:rFonts w:ascii="Arial" w:hAnsi="Arial" w:cs="Arial"/>
          <w:sz w:val="28"/>
          <w:szCs w:val="28"/>
        </w:rPr>
        <w:t xml:space="preserve">, en el que se encuentra asociado la boleta N927605 ingresada el 6 de noviembre de 2024, cuyo acto corresponde a Actos de Dominio-Rectificación de Folio, firmado el 13 de noviembre de 2024, el cual se relaciona con el Instrumento </w:t>
      </w:r>
      <w:r w:rsidR="00486173">
        <w:rPr>
          <w:rFonts w:ascii="Arial" w:hAnsi="Arial" w:cs="Arial"/>
          <w:color w:val="FF0000"/>
          <w:sz w:val="28"/>
          <w:szCs w:val="28"/>
        </w:rPr>
        <w:t>**********</w:t>
      </w:r>
      <w:r w:rsidR="00A575CA" w:rsidRPr="009A528F">
        <w:rPr>
          <w:rFonts w:ascii="Arial" w:hAnsi="Arial" w:cs="Arial"/>
          <w:sz w:val="28"/>
          <w:szCs w:val="28"/>
        </w:rPr>
        <w:t>, mismo cuya copia certificada obra a fojas 55 y 56 de autos.</w:t>
      </w:r>
    </w:p>
    <w:p w:rsidR="00A575CA" w:rsidRPr="009A528F" w:rsidRDefault="00A575CA" w:rsidP="006859AB">
      <w:pPr>
        <w:spacing w:after="0" w:line="360" w:lineRule="auto"/>
        <w:ind w:firstLine="708"/>
        <w:jc w:val="both"/>
        <w:rPr>
          <w:rFonts w:ascii="Arial" w:hAnsi="Arial" w:cs="Arial"/>
          <w:sz w:val="28"/>
          <w:szCs w:val="28"/>
        </w:rPr>
      </w:pPr>
    </w:p>
    <w:p w:rsidR="00B71A90" w:rsidRPr="009A528F" w:rsidRDefault="00A575CA" w:rsidP="006859AB">
      <w:pPr>
        <w:spacing w:after="0" w:line="360" w:lineRule="auto"/>
        <w:ind w:firstLine="708"/>
        <w:jc w:val="both"/>
        <w:rPr>
          <w:rFonts w:ascii="Arial" w:hAnsi="Arial" w:cs="Arial"/>
          <w:sz w:val="28"/>
          <w:szCs w:val="28"/>
        </w:rPr>
      </w:pPr>
      <w:r w:rsidRPr="009A528F">
        <w:rPr>
          <w:rFonts w:ascii="Arial" w:hAnsi="Arial" w:cs="Arial"/>
          <w:sz w:val="28"/>
          <w:szCs w:val="28"/>
        </w:rPr>
        <w:t xml:space="preserve">De acuerdo a lo anterior, tenemos que se encuentra satisfecha la pretensión del actor, pues la demandada procedió a la inscripción del instrumento número </w:t>
      </w:r>
      <w:r w:rsidR="00486173">
        <w:rPr>
          <w:rFonts w:ascii="Arial" w:hAnsi="Arial" w:cs="Arial"/>
          <w:color w:val="FF0000"/>
          <w:sz w:val="28"/>
          <w:szCs w:val="28"/>
        </w:rPr>
        <w:t>**********</w:t>
      </w:r>
      <w:r w:rsidRPr="009A528F">
        <w:rPr>
          <w:rFonts w:ascii="Arial" w:hAnsi="Arial" w:cs="Arial"/>
          <w:sz w:val="28"/>
          <w:szCs w:val="28"/>
        </w:rPr>
        <w:t xml:space="preserve"> </w:t>
      </w:r>
      <w:r w:rsidR="00486173">
        <w:rPr>
          <w:rFonts w:ascii="Arial" w:hAnsi="Arial" w:cs="Arial"/>
          <w:color w:val="FF0000"/>
          <w:sz w:val="28"/>
          <w:szCs w:val="28"/>
        </w:rPr>
        <w:t>**********</w:t>
      </w:r>
      <w:r w:rsidRPr="009A528F">
        <w:rPr>
          <w:rFonts w:ascii="Arial" w:hAnsi="Arial" w:cs="Arial"/>
          <w:sz w:val="28"/>
          <w:szCs w:val="28"/>
        </w:rPr>
        <w:t xml:space="preserve">, levantado en el Protocolo del Notario Público No. </w:t>
      </w:r>
      <w:r w:rsidR="00486173">
        <w:rPr>
          <w:rFonts w:ascii="Arial" w:hAnsi="Arial" w:cs="Arial"/>
          <w:color w:val="FF0000"/>
          <w:sz w:val="28"/>
          <w:szCs w:val="28"/>
        </w:rPr>
        <w:t>**********</w:t>
      </w:r>
    </w:p>
    <w:p w:rsidR="006859AB" w:rsidRPr="009A528F" w:rsidRDefault="0068221E" w:rsidP="006859AB">
      <w:pPr>
        <w:spacing w:after="0" w:line="360" w:lineRule="auto"/>
        <w:ind w:firstLine="708"/>
        <w:jc w:val="both"/>
        <w:rPr>
          <w:rFonts w:ascii="Arial" w:eastAsia="Calibri" w:hAnsi="Arial" w:cs="Arial"/>
          <w:sz w:val="28"/>
          <w:szCs w:val="28"/>
        </w:rPr>
      </w:pPr>
      <w:r w:rsidRPr="009A528F">
        <w:rPr>
          <w:rFonts w:ascii="Arial" w:hAnsi="Arial" w:cs="Arial"/>
          <w:sz w:val="28"/>
          <w:szCs w:val="28"/>
        </w:rPr>
        <w:t xml:space="preserve">En </w:t>
      </w:r>
      <w:r w:rsidR="006776E1" w:rsidRPr="009A528F">
        <w:rPr>
          <w:rFonts w:ascii="Arial" w:hAnsi="Arial" w:cs="Arial"/>
          <w:sz w:val="28"/>
          <w:szCs w:val="28"/>
        </w:rPr>
        <w:t xml:space="preserve">esa virtud, con fundamento en la fracción IV del artículo 229 del Código Procesal Administrativo para el Estado de San Luis Potosí, resulta procedente el </w:t>
      </w:r>
      <w:r w:rsidR="006776E1" w:rsidRPr="009A528F">
        <w:rPr>
          <w:rFonts w:ascii="Arial" w:hAnsi="Arial" w:cs="Arial"/>
          <w:b/>
          <w:sz w:val="28"/>
          <w:szCs w:val="28"/>
        </w:rPr>
        <w:t>SOBRESEIMIENTO</w:t>
      </w:r>
      <w:r w:rsidR="006776E1" w:rsidRPr="009A528F">
        <w:rPr>
          <w:rFonts w:ascii="Arial" w:hAnsi="Arial" w:cs="Arial"/>
          <w:sz w:val="28"/>
          <w:szCs w:val="28"/>
        </w:rPr>
        <w:t xml:space="preserve"> del presente juicio, en virtud de que la autoridad demandada dejó sin efecto el acto impugnado, consistente en el Rechazo de la Boleta de fecha 24 de julio de 2024, correspondiente a la boleta N855295, como se advierte a fojas 37 y 38 de autos, y satisfizo la pretensión del actor, con la entrada de la Boleta N927605, con fecha de ingreso de 6 de noviembre de 2024, como Actos de Dominio, Rectificación de Folio Real </w:t>
      </w:r>
      <w:r w:rsidR="00486173">
        <w:rPr>
          <w:rFonts w:ascii="Arial" w:hAnsi="Arial" w:cs="Arial"/>
          <w:color w:val="FF0000"/>
          <w:sz w:val="28"/>
          <w:szCs w:val="28"/>
        </w:rPr>
        <w:t>**********</w:t>
      </w:r>
      <w:r w:rsidR="006776E1" w:rsidRPr="009A528F">
        <w:rPr>
          <w:rFonts w:ascii="Arial" w:hAnsi="Arial" w:cs="Arial"/>
          <w:sz w:val="28"/>
          <w:szCs w:val="28"/>
        </w:rPr>
        <w:t xml:space="preserve">, firmado el 13 de noviembre de 2024, procediendo a la inscripción del instrumento número </w:t>
      </w:r>
      <w:r w:rsidR="00486173">
        <w:rPr>
          <w:rFonts w:ascii="Arial" w:hAnsi="Arial" w:cs="Arial"/>
          <w:color w:val="FF0000"/>
          <w:sz w:val="28"/>
          <w:szCs w:val="28"/>
        </w:rPr>
        <w:t>**********</w:t>
      </w:r>
    </w:p>
    <w:p w:rsidR="006859AB" w:rsidRPr="009A528F" w:rsidRDefault="006859AB" w:rsidP="006859AB">
      <w:pPr>
        <w:spacing w:after="0" w:line="360" w:lineRule="auto"/>
        <w:ind w:firstLine="708"/>
        <w:jc w:val="both"/>
        <w:rPr>
          <w:rFonts w:ascii="Arial" w:eastAsia="Calibri" w:hAnsi="Arial" w:cs="Arial"/>
          <w:sz w:val="28"/>
          <w:szCs w:val="28"/>
        </w:rPr>
      </w:pPr>
      <w:r w:rsidRPr="009A528F">
        <w:rPr>
          <w:rFonts w:ascii="Arial" w:eastAsia="Calibri" w:hAnsi="Arial" w:cs="Arial"/>
          <w:sz w:val="28"/>
          <w:szCs w:val="28"/>
        </w:rPr>
        <w:t xml:space="preserve">Por lo expuesto, fundado y con apoyo en </w:t>
      </w:r>
      <w:r w:rsidRPr="009A528F">
        <w:rPr>
          <w:rFonts w:ascii="Arial" w:eastAsia="Times New Roman" w:hAnsi="Arial" w:cs="Arial"/>
          <w:sz w:val="28"/>
          <w:szCs w:val="28"/>
          <w:lang w:eastAsia="es-ES"/>
        </w:rPr>
        <w:t xml:space="preserve">los artículos, 123 de la Constitución Política del Estado de San Luis Potosí; 1º, 2º, 7º fracción IX, 9º fracción III, 24, 35 fracción VIII, y Quinto Transitorio de la Ley Orgánica del Tribunal Estatal de Justicia </w:t>
      </w:r>
      <w:r w:rsidRPr="009A528F">
        <w:rPr>
          <w:rFonts w:ascii="Arial" w:eastAsia="Times New Roman" w:hAnsi="Arial" w:cs="Arial"/>
          <w:sz w:val="28"/>
          <w:szCs w:val="28"/>
          <w:lang w:eastAsia="es-ES"/>
        </w:rPr>
        <w:lastRenderedPageBreak/>
        <w:t xml:space="preserve">Administrativa de San Luis Potosí; y </w:t>
      </w:r>
      <w:r w:rsidRPr="009A528F">
        <w:rPr>
          <w:rFonts w:ascii="Arial" w:eastAsia="Calibri" w:hAnsi="Arial" w:cs="Arial"/>
          <w:sz w:val="28"/>
          <w:szCs w:val="28"/>
        </w:rPr>
        <w:t xml:space="preserve">1º, 2º, </w:t>
      </w:r>
      <w:r w:rsidRPr="009A528F">
        <w:rPr>
          <w:rFonts w:ascii="Arial" w:eastAsia="Times New Roman" w:hAnsi="Arial" w:cs="Arial"/>
          <w:color w:val="000000"/>
          <w:sz w:val="28"/>
          <w:szCs w:val="28"/>
          <w:lang w:eastAsia="es-ES"/>
        </w:rPr>
        <w:t xml:space="preserve">229 fracción </w:t>
      </w:r>
      <w:r w:rsidR="006776E1" w:rsidRPr="009A528F">
        <w:rPr>
          <w:rFonts w:ascii="Arial" w:eastAsia="Times New Roman" w:hAnsi="Arial" w:cs="Arial"/>
          <w:color w:val="000000"/>
          <w:sz w:val="28"/>
          <w:szCs w:val="28"/>
          <w:lang w:eastAsia="es-ES"/>
        </w:rPr>
        <w:t>I</w:t>
      </w:r>
      <w:r w:rsidRPr="009A528F">
        <w:rPr>
          <w:rFonts w:ascii="Arial" w:eastAsia="Times New Roman" w:hAnsi="Arial" w:cs="Arial"/>
          <w:color w:val="000000"/>
          <w:sz w:val="28"/>
          <w:szCs w:val="28"/>
          <w:lang w:eastAsia="es-ES"/>
        </w:rPr>
        <w:t>V,</w:t>
      </w:r>
      <w:r w:rsidRPr="009A528F">
        <w:rPr>
          <w:rFonts w:ascii="Arial" w:eastAsia="Times New Roman" w:hAnsi="Arial" w:cs="Arial"/>
          <w:sz w:val="28"/>
          <w:szCs w:val="28"/>
          <w:lang w:eastAsia="es-ES"/>
        </w:rPr>
        <w:t xml:space="preserve"> 248 y 249, del Código Procesal Administrativo para el Estado de San Luis Potosí; </w:t>
      </w:r>
      <w:r w:rsidRPr="009A528F">
        <w:rPr>
          <w:rFonts w:ascii="Arial" w:eastAsia="Calibri" w:hAnsi="Arial" w:cs="Arial"/>
          <w:sz w:val="28"/>
          <w:szCs w:val="28"/>
        </w:rPr>
        <w:t>es de resolverse y se,</w:t>
      </w:r>
    </w:p>
    <w:p w:rsidR="006859AB" w:rsidRPr="009A528F" w:rsidRDefault="006859AB" w:rsidP="006859AB">
      <w:pPr>
        <w:spacing w:after="0" w:line="360" w:lineRule="auto"/>
        <w:jc w:val="center"/>
        <w:rPr>
          <w:rFonts w:ascii="Arial" w:eastAsia="Calibri" w:hAnsi="Arial" w:cs="Arial"/>
          <w:b/>
          <w:sz w:val="28"/>
          <w:szCs w:val="28"/>
        </w:rPr>
      </w:pPr>
    </w:p>
    <w:p w:rsidR="006859AB" w:rsidRPr="009A528F" w:rsidRDefault="006859AB" w:rsidP="006859AB">
      <w:pPr>
        <w:spacing w:after="0" w:line="360" w:lineRule="auto"/>
        <w:jc w:val="center"/>
        <w:rPr>
          <w:rFonts w:ascii="Arial" w:eastAsia="Calibri" w:hAnsi="Arial" w:cs="Arial"/>
          <w:b/>
          <w:sz w:val="28"/>
          <w:szCs w:val="28"/>
        </w:rPr>
      </w:pPr>
      <w:r w:rsidRPr="009A528F">
        <w:rPr>
          <w:rFonts w:ascii="Arial" w:eastAsia="Calibri" w:hAnsi="Arial" w:cs="Arial"/>
          <w:b/>
          <w:sz w:val="28"/>
          <w:szCs w:val="28"/>
        </w:rPr>
        <w:t>R E S U E L V E</w:t>
      </w:r>
    </w:p>
    <w:p w:rsidR="006859AB" w:rsidRPr="009A528F" w:rsidRDefault="006859AB" w:rsidP="006859AB">
      <w:pPr>
        <w:spacing w:after="0" w:line="360" w:lineRule="auto"/>
        <w:jc w:val="center"/>
        <w:rPr>
          <w:rFonts w:ascii="Arial" w:eastAsia="Calibri" w:hAnsi="Arial" w:cs="Arial"/>
          <w:b/>
          <w:sz w:val="28"/>
          <w:szCs w:val="28"/>
        </w:rPr>
      </w:pPr>
    </w:p>
    <w:p w:rsidR="006859AB" w:rsidRPr="009A528F" w:rsidRDefault="006859AB" w:rsidP="006859AB">
      <w:pPr>
        <w:spacing w:after="0" w:line="360" w:lineRule="auto"/>
        <w:ind w:firstLine="709"/>
        <w:jc w:val="both"/>
        <w:rPr>
          <w:rFonts w:ascii="Arial" w:eastAsia="Calibri" w:hAnsi="Arial" w:cs="Arial"/>
          <w:sz w:val="28"/>
          <w:szCs w:val="28"/>
        </w:rPr>
      </w:pPr>
      <w:r w:rsidRPr="009A528F">
        <w:rPr>
          <w:rFonts w:ascii="Arial" w:eastAsia="Calibri" w:hAnsi="Arial" w:cs="Arial"/>
          <w:b/>
          <w:sz w:val="28"/>
          <w:szCs w:val="28"/>
        </w:rPr>
        <w:t>PRIMERO.-</w:t>
      </w:r>
      <w:r w:rsidRPr="009A528F">
        <w:rPr>
          <w:rFonts w:ascii="Arial" w:eastAsia="Calibri" w:hAnsi="Arial" w:cs="Arial"/>
          <w:sz w:val="28"/>
          <w:szCs w:val="28"/>
        </w:rPr>
        <w:t xml:space="preserve"> Esta </w:t>
      </w:r>
      <w:r w:rsidRPr="009A528F">
        <w:rPr>
          <w:rFonts w:ascii="Arial" w:eastAsia="Calibri" w:hAnsi="Arial" w:cs="Arial"/>
          <w:b/>
          <w:sz w:val="28"/>
          <w:szCs w:val="28"/>
        </w:rPr>
        <w:t>Tercera Sala Unitaria del Tribunal Estatal de Justicia Administrativa,</w:t>
      </w:r>
      <w:r w:rsidRPr="009A528F">
        <w:rPr>
          <w:rFonts w:ascii="Arial" w:eastAsia="Calibri" w:hAnsi="Arial" w:cs="Arial"/>
          <w:sz w:val="28"/>
          <w:szCs w:val="28"/>
        </w:rPr>
        <w:t xml:space="preserve"> resultó competente para conocer y resolver la presente controversia.</w:t>
      </w:r>
    </w:p>
    <w:p w:rsidR="006859AB" w:rsidRPr="009A528F" w:rsidRDefault="006859AB" w:rsidP="006859AB">
      <w:pPr>
        <w:spacing w:after="0" w:line="360" w:lineRule="auto"/>
        <w:ind w:firstLine="708"/>
        <w:jc w:val="both"/>
        <w:rPr>
          <w:rFonts w:ascii="Arial" w:eastAsia="Calibri" w:hAnsi="Arial" w:cs="Arial"/>
          <w:sz w:val="28"/>
          <w:szCs w:val="28"/>
        </w:rPr>
      </w:pPr>
    </w:p>
    <w:p w:rsidR="006859AB" w:rsidRPr="009A528F" w:rsidRDefault="006859AB" w:rsidP="006859AB">
      <w:pPr>
        <w:spacing w:after="0" w:line="360" w:lineRule="auto"/>
        <w:ind w:firstLine="708"/>
        <w:jc w:val="both"/>
        <w:rPr>
          <w:rFonts w:ascii="Arial" w:eastAsia="Calibri" w:hAnsi="Arial" w:cs="Arial"/>
          <w:sz w:val="28"/>
          <w:szCs w:val="28"/>
        </w:rPr>
      </w:pPr>
      <w:r w:rsidRPr="009A528F">
        <w:rPr>
          <w:rFonts w:ascii="Arial" w:eastAsia="Times New Roman" w:hAnsi="Arial" w:cs="Arial"/>
          <w:b/>
          <w:bCs/>
          <w:sz w:val="28"/>
          <w:szCs w:val="28"/>
          <w:lang w:val="es-ES" w:eastAsia="es-ES"/>
        </w:rPr>
        <w:t>SEGUNDO</w:t>
      </w:r>
      <w:r w:rsidRPr="009A528F">
        <w:rPr>
          <w:rFonts w:ascii="Arial" w:eastAsia="Times New Roman" w:hAnsi="Arial" w:cs="Arial"/>
          <w:sz w:val="28"/>
          <w:szCs w:val="28"/>
          <w:lang w:val="es-ES" w:eastAsia="es-ES"/>
        </w:rPr>
        <w:t xml:space="preserve">.- </w:t>
      </w:r>
      <w:r w:rsidRPr="009A528F">
        <w:rPr>
          <w:rFonts w:ascii="Arial" w:eastAsia="Calibri" w:hAnsi="Arial" w:cs="Arial"/>
          <w:sz w:val="28"/>
          <w:szCs w:val="28"/>
        </w:rPr>
        <w:t xml:space="preserve">Se decreta el </w:t>
      </w:r>
      <w:r w:rsidRPr="009A528F">
        <w:rPr>
          <w:rFonts w:ascii="Arial" w:eastAsia="Calibri" w:hAnsi="Arial" w:cs="Arial"/>
          <w:b/>
          <w:sz w:val="28"/>
          <w:szCs w:val="28"/>
        </w:rPr>
        <w:t xml:space="preserve">SOBRESEIMIENTO </w:t>
      </w:r>
      <w:r w:rsidRPr="009A528F">
        <w:rPr>
          <w:rFonts w:ascii="Arial" w:eastAsia="Calibri" w:hAnsi="Arial" w:cs="Arial"/>
          <w:sz w:val="28"/>
          <w:szCs w:val="28"/>
        </w:rPr>
        <w:t>del presente juicio contencioso administrativo, por las razones contenidas en el considerando quinto de esta sentencia.</w:t>
      </w:r>
    </w:p>
    <w:p w:rsidR="006859AB" w:rsidRPr="009A528F" w:rsidRDefault="006859AB" w:rsidP="006859AB">
      <w:pPr>
        <w:spacing w:after="0" w:line="360" w:lineRule="auto"/>
        <w:ind w:firstLine="709"/>
        <w:jc w:val="both"/>
        <w:rPr>
          <w:rFonts w:ascii="Arial" w:eastAsia="Times New Roman" w:hAnsi="Arial" w:cs="Arial"/>
          <w:b/>
          <w:color w:val="000000"/>
          <w:sz w:val="28"/>
          <w:szCs w:val="28"/>
          <w:lang w:eastAsia="es-MX"/>
        </w:rPr>
      </w:pPr>
    </w:p>
    <w:p w:rsidR="006859AB" w:rsidRPr="009A528F" w:rsidRDefault="006859AB" w:rsidP="006859AB">
      <w:pPr>
        <w:spacing w:after="0" w:line="360" w:lineRule="auto"/>
        <w:ind w:firstLine="709"/>
        <w:jc w:val="both"/>
        <w:rPr>
          <w:rFonts w:ascii="Arial" w:eastAsia="Calibri" w:hAnsi="Arial" w:cs="Arial"/>
          <w:sz w:val="28"/>
          <w:szCs w:val="28"/>
        </w:rPr>
      </w:pPr>
      <w:r w:rsidRPr="009A528F">
        <w:rPr>
          <w:rFonts w:ascii="Arial" w:eastAsia="Calibri" w:hAnsi="Arial" w:cs="Arial"/>
          <w:b/>
          <w:sz w:val="28"/>
          <w:szCs w:val="28"/>
        </w:rPr>
        <w:t>TERCERO.-</w:t>
      </w:r>
      <w:r w:rsidRPr="009A528F">
        <w:rPr>
          <w:rFonts w:ascii="Arial" w:eastAsia="Calibri" w:hAnsi="Arial" w:cs="Arial"/>
          <w:sz w:val="28"/>
          <w:szCs w:val="28"/>
        </w:rPr>
        <w:t xml:space="preserve"> Con copia autorizada de esta resolución, notifíquese personalmente a la parte actora y por oficio a las autoridades demandadas.</w:t>
      </w:r>
    </w:p>
    <w:p w:rsidR="006859AB" w:rsidRPr="009A528F" w:rsidRDefault="006859AB" w:rsidP="006859AB">
      <w:pPr>
        <w:spacing w:after="0" w:line="360" w:lineRule="auto"/>
        <w:ind w:firstLine="709"/>
        <w:jc w:val="both"/>
        <w:rPr>
          <w:rFonts w:ascii="Arial" w:eastAsia="Calibri" w:hAnsi="Arial" w:cs="Arial"/>
          <w:i/>
          <w:sz w:val="28"/>
          <w:szCs w:val="28"/>
          <w:lang w:val="es-ES"/>
        </w:rPr>
      </w:pPr>
    </w:p>
    <w:p w:rsidR="00B94EC1" w:rsidRDefault="006859AB" w:rsidP="002E7C01">
      <w:pPr>
        <w:spacing w:line="360" w:lineRule="auto"/>
        <w:ind w:firstLine="708"/>
        <w:jc w:val="both"/>
        <w:rPr>
          <w:rFonts w:ascii="Arial" w:eastAsia="Calibri" w:hAnsi="Arial" w:cs="Arial"/>
          <w:sz w:val="28"/>
          <w:szCs w:val="28"/>
        </w:rPr>
      </w:pPr>
      <w:r w:rsidRPr="009A528F">
        <w:rPr>
          <w:rFonts w:ascii="Arial" w:eastAsia="Calibri" w:hAnsi="Arial" w:cs="Arial"/>
          <w:sz w:val="28"/>
          <w:szCs w:val="28"/>
        </w:rPr>
        <w:t xml:space="preserve">Así lo resolvió y firma, el Magistrado Titular de la Tercera Sala Unitaria del Tribunal Estatal de Justicia Administrativa de San Luis Potosí, </w:t>
      </w:r>
      <w:r w:rsidRPr="009A528F">
        <w:rPr>
          <w:rFonts w:ascii="Arial" w:eastAsia="Calibri" w:hAnsi="Arial" w:cs="Arial"/>
          <w:b/>
          <w:sz w:val="28"/>
          <w:szCs w:val="28"/>
        </w:rPr>
        <w:t>Licenciado Jorge Alejandro Vera Noyola,</w:t>
      </w:r>
      <w:r w:rsidRPr="009A528F">
        <w:rPr>
          <w:rFonts w:ascii="Arial" w:eastAsia="Calibri" w:hAnsi="Arial" w:cs="Arial"/>
          <w:sz w:val="28"/>
          <w:szCs w:val="28"/>
        </w:rPr>
        <w:t xml:space="preserve"> quien actúa con Secretario de Acuerdos, </w:t>
      </w:r>
      <w:r w:rsidRPr="009A528F">
        <w:rPr>
          <w:rFonts w:ascii="Arial" w:eastAsia="Calibri" w:hAnsi="Arial" w:cs="Arial"/>
          <w:b/>
          <w:sz w:val="28"/>
          <w:szCs w:val="28"/>
        </w:rPr>
        <w:t>Licenciado Ismael Méndez Hernández,</w:t>
      </w:r>
      <w:r w:rsidRPr="009A528F">
        <w:rPr>
          <w:rFonts w:ascii="Arial" w:eastAsia="Calibri" w:hAnsi="Arial" w:cs="Arial"/>
          <w:sz w:val="28"/>
          <w:szCs w:val="28"/>
        </w:rPr>
        <w:t xml:space="preserve"> que autoriza y da fe. </w:t>
      </w:r>
    </w:p>
    <w:p w:rsidR="00486173" w:rsidRDefault="00486173" w:rsidP="00486173">
      <w:pPr>
        <w:spacing w:after="0" w:line="240" w:lineRule="auto"/>
        <w:jc w:val="both"/>
        <w:rPr>
          <w:rFonts w:ascii="Arial Narrow" w:eastAsia="Times New Roman" w:hAnsi="Arial Narrow" w:cs="Arial"/>
          <w:i/>
          <w:sz w:val="24"/>
          <w:szCs w:val="24"/>
          <w:lang w:val="es-ES" w:eastAsia="es-ES"/>
        </w:rPr>
      </w:pPr>
      <w:r>
        <w:rPr>
          <w:rFonts w:ascii="Arial Narrow" w:eastAsia="Times New Roman" w:hAnsi="Arial Narrow" w:cs="Arial"/>
          <w:i/>
          <w:sz w:val="24"/>
          <w:szCs w:val="24"/>
          <w:lang w:val="es-ES" w:eastAsia="es-ES"/>
        </w:rPr>
        <w:t>Se suprimen datos personales por tratarse de información confidencial de particulares cuyo resguardo y protección está a cargo del Tribunal de Estatal de Justicia Administrativa de San Luis Potosí; con motivo del ejercicio de sus funciones jurisdiccionales y administrativos que realiza conforme al ámbito de su competencia, de acuerdo a lo previsto en los artículos 3° fracción XI, XVII, XXVIII y XXXVII, 23, 82, 87 fracción III, 138 de la Ley de Transparencia y Acceso a la Información Pública del Estado de San Luis Potosí,  concatenados con los artículos 3, fracción VIII, IX, 5 y 6 de la Ley de Protección de Datos Personales del Estado de San Luis Potosí.</w:t>
      </w:r>
    </w:p>
    <w:p w:rsidR="00486173" w:rsidRPr="00E225CC" w:rsidRDefault="00486173" w:rsidP="002E7C01">
      <w:pPr>
        <w:spacing w:line="360" w:lineRule="auto"/>
        <w:ind w:firstLine="708"/>
        <w:jc w:val="both"/>
        <w:rPr>
          <w:rFonts w:ascii="CG Omega" w:eastAsia="Times New Roman" w:hAnsi="CG Omega" w:cs="Times New Roman"/>
          <w:b/>
          <w:szCs w:val="20"/>
          <w:lang w:eastAsia="es-ES"/>
        </w:rPr>
      </w:pPr>
      <w:bookmarkStart w:id="0" w:name="_GoBack"/>
      <w:bookmarkEnd w:id="0"/>
    </w:p>
    <w:sectPr w:rsidR="00486173" w:rsidRPr="00E225CC" w:rsidSect="009B1363">
      <w:headerReference w:type="even" r:id="rId7"/>
      <w:headerReference w:type="default" r:id="rId8"/>
      <w:headerReference w:type="first" r:id="rId9"/>
      <w:pgSz w:w="12242" w:h="18722" w:code="14"/>
      <w:pgMar w:top="1134" w:right="1134" w:bottom="1134" w:left="2835" w:header="720" w:footer="720" w:gutter="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63BD6" w:rsidRDefault="00C63BD6" w:rsidP="00256AFD">
      <w:pPr>
        <w:spacing w:after="0" w:line="240" w:lineRule="auto"/>
      </w:pPr>
      <w:r>
        <w:separator/>
      </w:r>
    </w:p>
  </w:endnote>
  <w:endnote w:type="continuationSeparator" w:id="0">
    <w:p w:rsidR="00C63BD6" w:rsidRDefault="00C63BD6" w:rsidP="00256A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EFF" w:usb1="F9DFFFFF" w:usb2="0000007F" w:usb3="00000000" w:csb0="003F01FF" w:csb1="00000000"/>
  </w:font>
  <w:font w:name="Arial">
    <w:panose1 w:val="020B0604020202020204"/>
    <w:charset w:val="00"/>
    <w:family w:val="swiss"/>
    <w:pitch w:val="variable"/>
    <w:sig w:usb0="E0002EFF" w:usb1="C000785B" w:usb2="00000009" w:usb3="00000000" w:csb0="000001FF" w:csb1="00000000"/>
  </w:font>
  <w:font w:name="CG Omega">
    <w:panose1 w:val="00000000000000000000"/>
    <w:charset w:val="00"/>
    <w:family w:val="swiss"/>
    <w:notTrueType/>
    <w:pitch w:val="variable"/>
    <w:sig w:usb0="00000003" w:usb1="00000000" w:usb2="00000000" w:usb3="00000000" w:csb0="00000001"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63BD6" w:rsidRDefault="00C63BD6" w:rsidP="00256AFD">
      <w:pPr>
        <w:spacing w:after="0" w:line="240" w:lineRule="auto"/>
      </w:pPr>
      <w:r>
        <w:separator/>
      </w:r>
    </w:p>
  </w:footnote>
  <w:footnote w:type="continuationSeparator" w:id="0">
    <w:p w:rsidR="00C63BD6" w:rsidRDefault="00C63BD6" w:rsidP="00256AF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1A90" w:rsidRPr="00622523" w:rsidRDefault="00B71A90" w:rsidP="00E61342">
    <w:pPr>
      <w:pStyle w:val="Encabezado"/>
      <w:rPr>
        <w:rFonts w:ascii="Arial Narrow" w:hAnsi="Arial Narrow" w:cs="Arial"/>
        <w:sz w:val="28"/>
        <w:szCs w:val="28"/>
      </w:rPr>
    </w:pPr>
  </w:p>
  <w:p w:rsidR="00B71A90" w:rsidRPr="005C4C72" w:rsidRDefault="00B71A90" w:rsidP="00E61342">
    <w:pPr>
      <w:pStyle w:val="Encabezado"/>
      <w:rPr>
        <w:rStyle w:val="Nmerodepgina"/>
        <w:rFonts w:ascii="Arial Narrow" w:hAnsi="Arial Narrow" w:cs="Arial"/>
        <w:sz w:val="20"/>
        <w:szCs w:val="20"/>
      </w:rPr>
    </w:pPr>
    <w:r w:rsidRPr="005C4C72">
      <w:rPr>
        <w:rFonts w:ascii="Arial Narrow" w:hAnsi="Arial Narrow" w:cs="Arial"/>
        <w:sz w:val="20"/>
        <w:szCs w:val="20"/>
      </w:rPr>
      <w:t xml:space="preserve">Página </w:t>
    </w:r>
    <w:r w:rsidRPr="005C4C72">
      <w:rPr>
        <w:rStyle w:val="Nmerodepgina"/>
        <w:rFonts w:ascii="Arial Narrow" w:hAnsi="Arial Narrow" w:cs="Arial"/>
        <w:sz w:val="20"/>
        <w:szCs w:val="20"/>
      </w:rPr>
      <w:fldChar w:fldCharType="begin"/>
    </w:r>
    <w:r w:rsidRPr="005C4C72">
      <w:rPr>
        <w:rStyle w:val="Nmerodepgina"/>
        <w:rFonts w:ascii="Arial Narrow" w:hAnsi="Arial Narrow" w:cs="Arial"/>
        <w:sz w:val="20"/>
        <w:szCs w:val="20"/>
      </w:rPr>
      <w:instrText xml:space="preserve"> PAGE </w:instrText>
    </w:r>
    <w:r w:rsidRPr="005C4C72">
      <w:rPr>
        <w:rStyle w:val="Nmerodepgina"/>
        <w:rFonts w:ascii="Arial Narrow" w:hAnsi="Arial Narrow" w:cs="Arial"/>
        <w:sz w:val="20"/>
        <w:szCs w:val="20"/>
      </w:rPr>
      <w:fldChar w:fldCharType="separate"/>
    </w:r>
    <w:r w:rsidR="00486173">
      <w:rPr>
        <w:rStyle w:val="Nmerodepgina"/>
        <w:rFonts w:ascii="Arial Narrow" w:hAnsi="Arial Narrow" w:cs="Arial"/>
        <w:noProof/>
        <w:sz w:val="20"/>
        <w:szCs w:val="20"/>
      </w:rPr>
      <w:t>8</w:t>
    </w:r>
    <w:r w:rsidRPr="005C4C72">
      <w:rPr>
        <w:rStyle w:val="Nmerodepgina"/>
        <w:rFonts w:ascii="Arial Narrow" w:hAnsi="Arial Narrow" w:cs="Arial"/>
        <w:sz w:val="20"/>
        <w:szCs w:val="20"/>
      </w:rPr>
      <w:fldChar w:fldCharType="end"/>
    </w:r>
  </w:p>
  <w:p w:rsidR="00B71A90" w:rsidRDefault="00B71A90" w:rsidP="00E61342">
    <w:pPr>
      <w:pStyle w:val="Encabezado"/>
      <w:rPr>
        <w:rFonts w:ascii="Arial Narrow" w:hAnsi="Arial Narrow" w:cs="Arial"/>
        <w:sz w:val="20"/>
        <w:szCs w:val="20"/>
      </w:rPr>
    </w:pPr>
    <w:proofErr w:type="spellStart"/>
    <w:r>
      <w:rPr>
        <w:rFonts w:ascii="Arial Narrow" w:hAnsi="Arial Narrow" w:cs="Arial"/>
        <w:sz w:val="20"/>
        <w:szCs w:val="20"/>
      </w:rPr>
      <w:t>Exp</w:t>
    </w:r>
    <w:proofErr w:type="spellEnd"/>
    <w:r>
      <w:rPr>
        <w:rFonts w:ascii="Arial Narrow" w:hAnsi="Arial Narrow" w:cs="Arial"/>
        <w:sz w:val="20"/>
        <w:szCs w:val="20"/>
      </w:rPr>
      <w:t>.</w:t>
    </w:r>
    <w:r w:rsidRPr="005C4C72">
      <w:rPr>
        <w:rFonts w:ascii="Arial Narrow" w:hAnsi="Arial Narrow" w:cs="Arial"/>
        <w:sz w:val="20"/>
        <w:szCs w:val="20"/>
      </w:rPr>
      <w:t xml:space="preserve"> </w:t>
    </w:r>
    <w:r>
      <w:rPr>
        <w:rFonts w:ascii="Arial Narrow" w:hAnsi="Arial Narrow" w:cs="Arial"/>
        <w:sz w:val="20"/>
        <w:szCs w:val="20"/>
      </w:rPr>
      <w:t>922/2024</w:t>
    </w:r>
    <w:r w:rsidRPr="005C4C72">
      <w:rPr>
        <w:rFonts w:ascii="Arial Narrow" w:hAnsi="Arial Narrow" w:cs="Arial"/>
        <w:sz w:val="20"/>
        <w:szCs w:val="20"/>
      </w:rPr>
      <w:t>-3</w:t>
    </w:r>
  </w:p>
  <w:p w:rsidR="00B71A90" w:rsidRDefault="00B71A90" w:rsidP="00E61342">
    <w:pPr>
      <w:pStyle w:val="Encabezado"/>
      <w:rPr>
        <w:rFonts w:ascii="Arial Narrow" w:hAnsi="Arial Narrow" w:cs="Arial"/>
        <w:sz w:val="20"/>
        <w:szCs w:val="20"/>
      </w:rPr>
    </w:pPr>
  </w:p>
  <w:p w:rsidR="00B71A90" w:rsidRPr="002D474E" w:rsidRDefault="00B71A90" w:rsidP="00E61342">
    <w:pPr>
      <w:pStyle w:val="Encabezado"/>
      <w:rPr>
        <w:rFonts w:ascii="Arial Narrow" w:hAnsi="Arial Narrow" w:cs="Arial"/>
        <w:sz w:val="20"/>
        <w:szCs w:val="2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1A90" w:rsidRDefault="00B71A90" w:rsidP="00E61342">
    <w:pPr>
      <w:pStyle w:val="Encabezado"/>
      <w:ind w:right="360"/>
      <w:jc w:val="right"/>
      <w:rPr>
        <w:rStyle w:val="Nmerodepgina"/>
        <w:rFonts w:ascii="Arial Narrow" w:hAnsi="Arial Narrow" w:cs="Arial"/>
        <w:sz w:val="20"/>
        <w:szCs w:val="20"/>
      </w:rPr>
    </w:pPr>
    <w:bookmarkStart w:id="1" w:name="PAGI_NA"/>
    <w:r>
      <w:rPr>
        <w:rFonts w:ascii="Arial Narrow" w:hAnsi="Arial Narrow"/>
        <w:noProof/>
        <w:lang w:eastAsia="es-MX"/>
      </w:rPr>
      <mc:AlternateContent>
        <mc:Choice Requires="wps">
          <w:drawing>
            <wp:anchor distT="0" distB="0" distL="114300" distR="114300" simplePos="0" relativeHeight="251660288" behindDoc="0" locked="0" layoutInCell="1" allowOverlap="1" wp14:anchorId="2DAB53D0" wp14:editId="20BB2D9A">
              <wp:simplePos x="0" y="0"/>
              <wp:positionH relativeFrom="column">
                <wp:posOffset>-1543685</wp:posOffset>
              </wp:positionH>
              <wp:positionV relativeFrom="paragraph">
                <wp:posOffset>146685</wp:posOffset>
              </wp:positionV>
              <wp:extent cx="1125855" cy="1712595"/>
              <wp:effectExtent l="0" t="0" r="0" b="1905"/>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71A90" w:rsidRDefault="00B71A90" w:rsidP="00E61342">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01BCF8CB" wp14:editId="49A13A72">
                                <wp:extent cx="941070" cy="941070"/>
                                <wp:effectExtent l="0" t="0" r="0" b="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1070" cy="941070"/>
                                        </a:xfrm>
                                        <a:prstGeom prst="rect">
                                          <a:avLst/>
                                        </a:prstGeom>
                                        <a:solidFill>
                                          <a:srgbClr val="FFFFFF">
                                            <a:alpha val="0"/>
                                          </a:srgbClr>
                                        </a:solidFill>
                                        <a:ln>
                                          <a:noFill/>
                                        </a:ln>
                                      </pic:spPr>
                                    </pic:pic>
                                  </a:graphicData>
                                </a:graphic>
                              </wp:inline>
                            </w:drawing>
                          </w:r>
                        </w:p>
                        <w:p w:rsidR="00B71A90" w:rsidRPr="00B23B9D" w:rsidRDefault="00B71A90" w:rsidP="00E61342">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B71A90" w:rsidRPr="00B23B9D" w:rsidRDefault="00B71A90" w:rsidP="00E61342">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B71A90" w:rsidRPr="00B23B9D" w:rsidRDefault="00B71A90" w:rsidP="00E61342">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B71A90" w:rsidRPr="00B23B9D" w:rsidRDefault="00B71A90" w:rsidP="00E61342">
                          <w:pPr>
                            <w:pStyle w:val="Sinespaciado"/>
                            <w:jc w:val="center"/>
                            <w:rPr>
                              <w:rFonts w:ascii="Microsoft Sans Serif" w:eastAsia="SimHei" w:hAnsi="Microsoft Sans Serif" w:cs="Microsoft Sans Serif"/>
                              <w:b/>
                              <w:sz w:val="14"/>
                              <w:szCs w:val="14"/>
                            </w:rPr>
                          </w:pPr>
                        </w:p>
                        <w:p w:rsidR="00B71A90" w:rsidRPr="00B23B9D" w:rsidRDefault="00B71A90" w:rsidP="00E61342">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3" o:spid="_x0000_s1026" type="#_x0000_t202" style="position:absolute;left:0;text-align:left;margin-left:-121.55pt;margin-top:11.55pt;width:88.65pt;height:13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" stroked="f">
              <v:textbox>
                <w:txbxContent>
                  <w:p w:rsidR="00B71A90" w:rsidRDefault="00B71A90" w:rsidP="00E61342">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01BCF8CB" wp14:editId="49A13A72">
                          <wp:extent cx="941070" cy="941070"/>
                          <wp:effectExtent l="0" t="0" r="0" b="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1070" cy="941070"/>
                                  </a:xfrm>
                                  <a:prstGeom prst="rect">
                                    <a:avLst/>
                                  </a:prstGeom>
                                  <a:solidFill>
                                    <a:srgbClr val="FFFFFF">
                                      <a:alpha val="0"/>
                                    </a:srgbClr>
                                  </a:solidFill>
                                  <a:ln>
                                    <a:noFill/>
                                  </a:ln>
                                </pic:spPr>
                              </pic:pic>
                            </a:graphicData>
                          </a:graphic>
                        </wp:inline>
                      </w:drawing>
                    </w:r>
                  </w:p>
                  <w:p w:rsidR="00B71A90" w:rsidRPr="00B23B9D" w:rsidRDefault="00B71A90" w:rsidP="00E61342">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B71A90" w:rsidRPr="00B23B9D" w:rsidRDefault="00B71A90" w:rsidP="00E61342">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B71A90" w:rsidRPr="00B23B9D" w:rsidRDefault="00B71A90" w:rsidP="00E61342">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B71A90" w:rsidRPr="00B23B9D" w:rsidRDefault="00B71A90" w:rsidP="00E61342">
                    <w:pPr>
                      <w:pStyle w:val="Sinespaciado"/>
                      <w:jc w:val="center"/>
                      <w:rPr>
                        <w:rFonts w:ascii="Microsoft Sans Serif" w:eastAsia="SimHei" w:hAnsi="Microsoft Sans Serif" w:cs="Microsoft Sans Serif"/>
                        <w:b/>
                        <w:sz w:val="14"/>
                        <w:szCs w:val="14"/>
                      </w:rPr>
                    </w:pPr>
                  </w:p>
                  <w:p w:rsidR="00B71A90" w:rsidRPr="00B23B9D" w:rsidRDefault="00B71A90" w:rsidP="00E61342">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486173">
      <w:rPr>
        <w:rStyle w:val="Nmerodepgina"/>
        <w:noProof/>
        <w:color w:val="FFFFFF"/>
      </w:rPr>
      <w:t>9</w:t>
    </w:r>
    <w:r w:rsidRPr="006C0427">
      <w:rPr>
        <w:rStyle w:val="Nmerodepgina"/>
        <w:color w:val="FFFFFF"/>
      </w:rPr>
      <w:fldChar w:fldCharType="end"/>
    </w:r>
    <w:r w:rsidRPr="006C0427">
      <w:rPr>
        <w:rStyle w:val="Nmerodepgina"/>
        <w:color w:val="FFFFFF"/>
      </w:rPr>
      <w:t xml:space="preserve"> </w:t>
    </w:r>
    <w:bookmarkEnd w:id="1"/>
    <w:r w:rsidRPr="005C4C72">
      <w:rPr>
        <w:rFonts w:ascii="Arial Narrow" w:hAnsi="Arial Narrow" w:cs="Arial"/>
        <w:sz w:val="20"/>
        <w:szCs w:val="20"/>
      </w:rPr>
      <w:t xml:space="preserve">Página </w:t>
    </w:r>
    <w:r w:rsidRPr="005C4C72">
      <w:rPr>
        <w:rStyle w:val="Nmerodepgina"/>
        <w:rFonts w:ascii="Arial Narrow" w:hAnsi="Arial Narrow" w:cs="Arial"/>
        <w:sz w:val="20"/>
        <w:szCs w:val="20"/>
      </w:rPr>
      <w:fldChar w:fldCharType="begin"/>
    </w:r>
    <w:r w:rsidRPr="005C4C72">
      <w:rPr>
        <w:rStyle w:val="Nmerodepgina"/>
        <w:rFonts w:ascii="Arial Narrow" w:hAnsi="Arial Narrow" w:cs="Arial"/>
        <w:sz w:val="20"/>
        <w:szCs w:val="20"/>
      </w:rPr>
      <w:instrText xml:space="preserve"> PAGE </w:instrText>
    </w:r>
    <w:r w:rsidRPr="005C4C72">
      <w:rPr>
        <w:rStyle w:val="Nmerodepgina"/>
        <w:rFonts w:ascii="Arial Narrow" w:hAnsi="Arial Narrow" w:cs="Arial"/>
        <w:sz w:val="20"/>
        <w:szCs w:val="20"/>
      </w:rPr>
      <w:fldChar w:fldCharType="separate"/>
    </w:r>
    <w:r w:rsidR="00486173">
      <w:rPr>
        <w:rStyle w:val="Nmerodepgina"/>
        <w:rFonts w:ascii="Arial Narrow" w:hAnsi="Arial Narrow" w:cs="Arial"/>
        <w:noProof/>
        <w:sz w:val="20"/>
        <w:szCs w:val="20"/>
      </w:rPr>
      <w:t>9</w:t>
    </w:r>
    <w:r w:rsidRPr="005C4C72">
      <w:rPr>
        <w:rStyle w:val="Nmerodepgina"/>
        <w:rFonts w:ascii="Arial Narrow" w:hAnsi="Arial Narrow" w:cs="Arial"/>
        <w:sz w:val="20"/>
        <w:szCs w:val="20"/>
      </w:rPr>
      <w:fldChar w:fldCharType="end"/>
    </w:r>
  </w:p>
  <w:p w:rsidR="00B71A90" w:rsidRDefault="00B71A90" w:rsidP="00E61342">
    <w:pPr>
      <w:pStyle w:val="Encabezado"/>
      <w:ind w:right="360"/>
      <w:jc w:val="right"/>
      <w:rPr>
        <w:rFonts w:ascii="Arial Narrow" w:hAnsi="Arial Narrow" w:cs="Arial"/>
        <w:sz w:val="20"/>
        <w:szCs w:val="20"/>
      </w:rPr>
    </w:pPr>
    <w:proofErr w:type="spellStart"/>
    <w:r>
      <w:rPr>
        <w:rFonts w:ascii="Arial Narrow" w:hAnsi="Arial Narrow" w:cs="Arial"/>
        <w:sz w:val="20"/>
        <w:szCs w:val="20"/>
      </w:rPr>
      <w:t>Exp</w:t>
    </w:r>
    <w:proofErr w:type="spellEnd"/>
    <w:r>
      <w:rPr>
        <w:rFonts w:ascii="Arial Narrow" w:hAnsi="Arial Narrow" w:cs="Arial"/>
        <w:sz w:val="20"/>
        <w:szCs w:val="20"/>
      </w:rPr>
      <w:t>. 922</w:t>
    </w:r>
    <w:r w:rsidRPr="005C4C72">
      <w:rPr>
        <w:rFonts w:ascii="Arial Narrow" w:hAnsi="Arial Narrow" w:cs="Arial"/>
        <w:sz w:val="20"/>
        <w:szCs w:val="20"/>
      </w:rPr>
      <w:t>/20</w:t>
    </w:r>
    <w:r>
      <w:rPr>
        <w:rFonts w:ascii="Arial Narrow" w:hAnsi="Arial Narrow" w:cs="Arial"/>
        <w:sz w:val="20"/>
        <w:szCs w:val="20"/>
      </w:rPr>
      <w:t>24</w:t>
    </w:r>
    <w:r w:rsidRPr="005C4C72">
      <w:rPr>
        <w:rFonts w:ascii="Arial Narrow" w:hAnsi="Arial Narrow" w:cs="Arial"/>
        <w:sz w:val="20"/>
        <w:szCs w:val="20"/>
      </w:rPr>
      <w:t>-3</w:t>
    </w:r>
  </w:p>
  <w:p w:rsidR="00B71A90" w:rsidRDefault="00B71A90" w:rsidP="00E61342">
    <w:pPr>
      <w:pStyle w:val="Encabezado"/>
      <w:ind w:right="360"/>
      <w:jc w:val="right"/>
      <w:rPr>
        <w:rFonts w:ascii="Arial Narrow" w:hAnsi="Arial Narrow" w:cs="Arial"/>
        <w:sz w:val="20"/>
        <w:szCs w:val="20"/>
      </w:rPr>
    </w:pPr>
  </w:p>
  <w:p w:rsidR="00B71A90" w:rsidRPr="002D474E" w:rsidRDefault="00B71A90" w:rsidP="00E61342">
    <w:pPr>
      <w:pStyle w:val="Encabezado"/>
      <w:jc w:val="right"/>
      <w:rPr>
        <w:rFonts w:ascii="Arial Narrow" w:hAnsi="Arial Narrow" w:cs="Arial"/>
        <w:sz w:val="20"/>
        <w:szCs w:val="20"/>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1A90" w:rsidRPr="004A456E" w:rsidRDefault="00B71A90" w:rsidP="00E61342">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47D13B05" wp14:editId="40D212FF">
              <wp:simplePos x="0" y="0"/>
              <wp:positionH relativeFrom="column">
                <wp:posOffset>-1424940</wp:posOffset>
              </wp:positionH>
              <wp:positionV relativeFrom="paragraph">
                <wp:posOffset>101600</wp:posOffset>
              </wp:positionV>
              <wp:extent cx="1421765" cy="1999615"/>
              <wp:effectExtent l="0" t="0" r="6985" b="635"/>
              <wp:wrapThrough wrapText="bothSides">
                <wp:wrapPolygon edited="0">
                  <wp:start x="0" y="0"/>
                  <wp:lineTo x="0" y="21401"/>
                  <wp:lineTo x="21417" y="21401"/>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19996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71A90" w:rsidRDefault="00B71A90" w:rsidP="00E61342">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0D892F6E" wp14:editId="62ED4189">
                                <wp:extent cx="1030605" cy="1030605"/>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0605" cy="1030605"/>
                                        </a:xfrm>
                                        <a:prstGeom prst="rect">
                                          <a:avLst/>
                                        </a:prstGeom>
                                        <a:solidFill>
                                          <a:srgbClr val="FFFFFF">
                                            <a:alpha val="0"/>
                                          </a:srgbClr>
                                        </a:solidFill>
                                        <a:ln>
                                          <a:noFill/>
                                        </a:ln>
                                      </pic:spPr>
                                    </pic:pic>
                                  </a:graphicData>
                                </a:graphic>
                              </wp:inline>
                            </w:drawing>
                          </w:r>
                        </w:p>
                        <w:p w:rsidR="00B71A90" w:rsidRPr="00B23B9D" w:rsidRDefault="00B71A90" w:rsidP="00E61342">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B71A90" w:rsidRPr="00B23B9D" w:rsidRDefault="00B71A90" w:rsidP="00E61342">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B71A90" w:rsidRPr="00B23B9D" w:rsidRDefault="00B71A90" w:rsidP="00E61342">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B71A90" w:rsidRPr="00B23B9D" w:rsidRDefault="00B71A90" w:rsidP="00E61342">
                          <w:pPr>
                            <w:pStyle w:val="Sinespaciado"/>
                            <w:jc w:val="center"/>
                            <w:rPr>
                              <w:rFonts w:ascii="Microsoft Sans Serif" w:eastAsia="SimHei" w:hAnsi="Microsoft Sans Serif" w:cs="Microsoft Sans Serif"/>
                              <w:b/>
                              <w:sz w:val="14"/>
                              <w:szCs w:val="14"/>
                            </w:rPr>
                          </w:pPr>
                        </w:p>
                        <w:p w:rsidR="00B71A90" w:rsidRPr="00B23B9D" w:rsidRDefault="00B71A90" w:rsidP="00E61342">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7" type="#_x0000_t202" style="position:absolute;margin-left:-112.2pt;margin-top:8pt;width:111.95pt;height:157.4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" stroked="f">
              <v:textbox>
                <w:txbxContent>
                  <w:p w:rsidR="00B71A90" w:rsidRDefault="00B71A90" w:rsidP="00E61342">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0D892F6E" wp14:editId="62ED4189">
                          <wp:extent cx="1030605" cy="1030605"/>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0605" cy="1030605"/>
                                  </a:xfrm>
                                  <a:prstGeom prst="rect">
                                    <a:avLst/>
                                  </a:prstGeom>
                                  <a:solidFill>
                                    <a:srgbClr val="FFFFFF">
                                      <a:alpha val="0"/>
                                    </a:srgbClr>
                                  </a:solidFill>
                                  <a:ln>
                                    <a:noFill/>
                                  </a:ln>
                                </pic:spPr>
                              </pic:pic>
                            </a:graphicData>
                          </a:graphic>
                        </wp:inline>
                      </w:drawing>
                    </w:r>
                  </w:p>
                  <w:p w:rsidR="00B71A90" w:rsidRPr="00B23B9D" w:rsidRDefault="00B71A90" w:rsidP="00E61342">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B71A90" w:rsidRPr="00B23B9D" w:rsidRDefault="00B71A90" w:rsidP="00E61342">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B71A90" w:rsidRPr="00B23B9D" w:rsidRDefault="00B71A90" w:rsidP="00E61342">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B71A90" w:rsidRPr="00B23B9D" w:rsidRDefault="00B71A90" w:rsidP="00E61342">
                    <w:pPr>
                      <w:pStyle w:val="Sinespaciado"/>
                      <w:jc w:val="center"/>
                      <w:rPr>
                        <w:rFonts w:ascii="Microsoft Sans Serif" w:eastAsia="SimHei" w:hAnsi="Microsoft Sans Serif" w:cs="Microsoft Sans Serif"/>
                        <w:b/>
                        <w:sz w:val="14"/>
                        <w:szCs w:val="14"/>
                      </w:rPr>
                    </w:pPr>
                  </w:p>
                  <w:p w:rsidR="00B71A90" w:rsidRPr="00B23B9D" w:rsidRDefault="00B71A90" w:rsidP="00E61342">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16"/>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59AB"/>
    <w:rsid w:val="000D4FA4"/>
    <w:rsid w:val="00256AFD"/>
    <w:rsid w:val="002E7C01"/>
    <w:rsid w:val="00442956"/>
    <w:rsid w:val="00486173"/>
    <w:rsid w:val="006776E1"/>
    <w:rsid w:val="0068221E"/>
    <w:rsid w:val="006859AB"/>
    <w:rsid w:val="006A1817"/>
    <w:rsid w:val="009A528F"/>
    <w:rsid w:val="009B1363"/>
    <w:rsid w:val="00A448FC"/>
    <w:rsid w:val="00A575CA"/>
    <w:rsid w:val="00A81F7A"/>
    <w:rsid w:val="00B71A90"/>
    <w:rsid w:val="00B94EC1"/>
    <w:rsid w:val="00BE7EAF"/>
    <w:rsid w:val="00C63BD6"/>
    <w:rsid w:val="00DC3A6F"/>
    <w:rsid w:val="00E6134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59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EncabezadoCar">
    <w:name w:val="Encabezado Car"/>
    <w:basedOn w:val="Fuentedeprrafopredeter"/>
    <w:link w:val="Encabezado"/>
    <w:uiPriority w:val="99"/>
    <w:semiHidden/>
    <w:rsid w:val="006859AB"/>
  </w:style>
  <w:style w:type="paragraph" w:styleId="Encabezado">
    <w:name w:val="header"/>
    <w:basedOn w:val="Normal"/>
    <w:link w:val="EncabezadoCar"/>
    <w:uiPriority w:val="99"/>
    <w:semiHidden/>
    <w:unhideWhenUsed/>
    <w:rsid w:val="006859AB"/>
    <w:pPr>
      <w:tabs>
        <w:tab w:val="center" w:pos="4419"/>
        <w:tab w:val="right" w:pos="8838"/>
      </w:tabs>
      <w:spacing w:after="0" w:line="240" w:lineRule="auto"/>
    </w:pPr>
  </w:style>
  <w:style w:type="paragraph" w:styleId="Sinespaciado">
    <w:name w:val="No Spacing"/>
    <w:link w:val="SinespaciadoCar"/>
    <w:uiPriority w:val="1"/>
    <w:qFormat/>
    <w:rsid w:val="006859AB"/>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6859AB"/>
    <w:rPr>
      <w:rFonts w:ascii="Calibri" w:eastAsia="Calibri" w:hAnsi="Calibri" w:cs="Times New Roman"/>
    </w:rPr>
  </w:style>
  <w:style w:type="character" w:customStyle="1" w:styleId="TextodegloboCar">
    <w:name w:val="Texto de globo Car"/>
    <w:basedOn w:val="Fuentedeprrafopredeter"/>
    <w:link w:val="Textodeglobo"/>
    <w:uiPriority w:val="99"/>
    <w:semiHidden/>
    <w:rsid w:val="006859AB"/>
    <w:rPr>
      <w:rFonts w:ascii="Tahoma" w:hAnsi="Tahoma" w:cs="Tahoma"/>
      <w:sz w:val="16"/>
      <w:szCs w:val="16"/>
    </w:rPr>
  </w:style>
  <w:style w:type="paragraph" w:styleId="Textodeglobo">
    <w:name w:val="Balloon Text"/>
    <w:basedOn w:val="Normal"/>
    <w:link w:val="TextodegloboCar"/>
    <w:uiPriority w:val="99"/>
    <w:semiHidden/>
    <w:unhideWhenUsed/>
    <w:rsid w:val="006859AB"/>
    <w:pPr>
      <w:spacing w:after="0" w:line="240" w:lineRule="auto"/>
    </w:pPr>
    <w:rPr>
      <w:rFonts w:ascii="Tahoma" w:hAnsi="Tahoma" w:cs="Tahoma"/>
      <w:sz w:val="16"/>
      <w:szCs w:val="16"/>
    </w:rPr>
  </w:style>
  <w:style w:type="character" w:customStyle="1" w:styleId="PiedepginaCar">
    <w:name w:val="Pie de página Car"/>
    <w:basedOn w:val="Fuentedeprrafopredeter"/>
    <w:link w:val="Piedepgina"/>
    <w:uiPriority w:val="99"/>
    <w:rsid w:val="006859AB"/>
  </w:style>
  <w:style w:type="paragraph" w:styleId="Piedepgina">
    <w:name w:val="footer"/>
    <w:basedOn w:val="Normal"/>
    <w:link w:val="PiedepginaCar"/>
    <w:uiPriority w:val="99"/>
    <w:unhideWhenUsed/>
    <w:rsid w:val="006859AB"/>
    <w:pPr>
      <w:tabs>
        <w:tab w:val="center" w:pos="4419"/>
        <w:tab w:val="right" w:pos="8838"/>
      </w:tabs>
      <w:spacing w:after="0" w:line="240" w:lineRule="auto"/>
    </w:pPr>
  </w:style>
  <w:style w:type="character" w:styleId="Nmerodepgina">
    <w:name w:val="page number"/>
    <w:basedOn w:val="Fuentedeprrafopredeter"/>
    <w:rsid w:val="006859AB"/>
  </w:style>
  <w:style w:type="paragraph" w:customStyle="1" w:styleId="Style1">
    <w:name w:val="Style 1"/>
    <w:basedOn w:val="Normal"/>
    <w:uiPriority w:val="99"/>
    <w:rsid w:val="00256AFD"/>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59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EncabezadoCar">
    <w:name w:val="Encabezado Car"/>
    <w:basedOn w:val="Fuentedeprrafopredeter"/>
    <w:link w:val="Encabezado"/>
    <w:uiPriority w:val="99"/>
    <w:semiHidden/>
    <w:rsid w:val="006859AB"/>
  </w:style>
  <w:style w:type="paragraph" w:styleId="Encabezado">
    <w:name w:val="header"/>
    <w:basedOn w:val="Normal"/>
    <w:link w:val="EncabezadoCar"/>
    <w:uiPriority w:val="99"/>
    <w:semiHidden/>
    <w:unhideWhenUsed/>
    <w:rsid w:val="006859AB"/>
    <w:pPr>
      <w:tabs>
        <w:tab w:val="center" w:pos="4419"/>
        <w:tab w:val="right" w:pos="8838"/>
      </w:tabs>
      <w:spacing w:after="0" w:line="240" w:lineRule="auto"/>
    </w:pPr>
  </w:style>
  <w:style w:type="paragraph" w:styleId="Sinespaciado">
    <w:name w:val="No Spacing"/>
    <w:link w:val="SinespaciadoCar"/>
    <w:uiPriority w:val="1"/>
    <w:qFormat/>
    <w:rsid w:val="006859AB"/>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6859AB"/>
    <w:rPr>
      <w:rFonts w:ascii="Calibri" w:eastAsia="Calibri" w:hAnsi="Calibri" w:cs="Times New Roman"/>
    </w:rPr>
  </w:style>
  <w:style w:type="character" w:customStyle="1" w:styleId="TextodegloboCar">
    <w:name w:val="Texto de globo Car"/>
    <w:basedOn w:val="Fuentedeprrafopredeter"/>
    <w:link w:val="Textodeglobo"/>
    <w:uiPriority w:val="99"/>
    <w:semiHidden/>
    <w:rsid w:val="006859AB"/>
    <w:rPr>
      <w:rFonts w:ascii="Tahoma" w:hAnsi="Tahoma" w:cs="Tahoma"/>
      <w:sz w:val="16"/>
      <w:szCs w:val="16"/>
    </w:rPr>
  </w:style>
  <w:style w:type="paragraph" w:styleId="Textodeglobo">
    <w:name w:val="Balloon Text"/>
    <w:basedOn w:val="Normal"/>
    <w:link w:val="TextodegloboCar"/>
    <w:uiPriority w:val="99"/>
    <w:semiHidden/>
    <w:unhideWhenUsed/>
    <w:rsid w:val="006859AB"/>
    <w:pPr>
      <w:spacing w:after="0" w:line="240" w:lineRule="auto"/>
    </w:pPr>
    <w:rPr>
      <w:rFonts w:ascii="Tahoma" w:hAnsi="Tahoma" w:cs="Tahoma"/>
      <w:sz w:val="16"/>
      <w:szCs w:val="16"/>
    </w:rPr>
  </w:style>
  <w:style w:type="character" w:customStyle="1" w:styleId="PiedepginaCar">
    <w:name w:val="Pie de página Car"/>
    <w:basedOn w:val="Fuentedeprrafopredeter"/>
    <w:link w:val="Piedepgina"/>
    <w:uiPriority w:val="99"/>
    <w:rsid w:val="006859AB"/>
  </w:style>
  <w:style w:type="paragraph" w:styleId="Piedepgina">
    <w:name w:val="footer"/>
    <w:basedOn w:val="Normal"/>
    <w:link w:val="PiedepginaCar"/>
    <w:uiPriority w:val="99"/>
    <w:unhideWhenUsed/>
    <w:rsid w:val="006859AB"/>
    <w:pPr>
      <w:tabs>
        <w:tab w:val="center" w:pos="4419"/>
        <w:tab w:val="right" w:pos="8838"/>
      </w:tabs>
      <w:spacing w:after="0" w:line="240" w:lineRule="auto"/>
    </w:pPr>
  </w:style>
  <w:style w:type="character" w:styleId="Nmerodepgina">
    <w:name w:val="page number"/>
    <w:basedOn w:val="Fuentedeprrafopredeter"/>
    <w:rsid w:val="006859AB"/>
  </w:style>
  <w:style w:type="paragraph" w:customStyle="1" w:styleId="Style1">
    <w:name w:val="Style 1"/>
    <w:basedOn w:val="Normal"/>
    <w:uiPriority w:val="99"/>
    <w:rsid w:val="00256AFD"/>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162</TotalTime>
  <Pages>9</Pages>
  <Words>2539</Words>
  <Characters>13967</Characters>
  <Application>Microsoft Office Word</Application>
  <DocSecurity>0</DocSecurity>
  <Lines>116</Lines>
  <Paragraphs>32</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16474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MONTELONGO</dc:creator>
  <cp:lastModifiedBy>ENRIQUE</cp:lastModifiedBy>
  <cp:revision>15</cp:revision>
  <cp:lastPrinted>2025-10-28T17:17:00Z</cp:lastPrinted>
  <dcterms:created xsi:type="dcterms:W3CDTF">2025-10-24T18:08:00Z</dcterms:created>
  <dcterms:modified xsi:type="dcterms:W3CDTF">2025-11-10T20:07:00Z</dcterms:modified>
</cp:coreProperties>
</file>