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BE9" w:rsidRPr="00FC5BE9" w:rsidRDefault="00FC5BE9" w:rsidP="00FC5BE9">
      <w:pPr>
        <w:spacing w:after="0" w:line="240" w:lineRule="auto"/>
        <w:ind w:left="3969"/>
        <w:jc w:val="both"/>
        <w:rPr>
          <w:rFonts w:ascii="Arial" w:eastAsia="Calibri" w:hAnsi="Arial" w:cs="Arial"/>
          <w:b/>
        </w:rPr>
      </w:pPr>
      <w:r w:rsidRPr="00FC5BE9">
        <w:rPr>
          <w:rFonts w:ascii="Arial" w:eastAsia="Calibri" w:hAnsi="Arial" w:cs="Arial"/>
          <w:b/>
        </w:rPr>
        <w:t>TRIBUNAL ESTATAL DE JUSTICIA ADMINISTRATIVA</w:t>
      </w:r>
    </w:p>
    <w:p w:rsidR="00FC5BE9" w:rsidRPr="00FC5BE9" w:rsidRDefault="00FC5BE9" w:rsidP="00FC5BE9">
      <w:pPr>
        <w:spacing w:after="0" w:line="240" w:lineRule="auto"/>
        <w:ind w:left="3969"/>
        <w:jc w:val="both"/>
        <w:rPr>
          <w:rFonts w:ascii="Arial" w:eastAsia="Calibri" w:hAnsi="Arial" w:cs="Arial"/>
          <w:b/>
        </w:rPr>
      </w:pPr>
    </w:p>
    <w:p w:rsidR="00FC5BE9" w:rsidRPr="00FC5BE9" w:rsidRDefault="00FC5BE9" w:rsidP="00FC5BE9">
      <w:pPr>
        <w:spacing w:after="0" w:line="240" w:lineRule="auto"/>
        <w:ind w:left="3969"/>
        <w:jc w:val="both"/>
        <w:rPr>
          <w:rFonts w:ascii="Arial" w:eastAsia="Calibri" w:hAnsi="Arial" w:cs="Arial"/>
          <w:b/>
        </w:rPr>
      </w:pPr>
      <w:r w:rsidRPr="00FC5BE9">
        <w:rPr>
          <w:rFonts w:ascii="Arial" w:eastAsia="Calibri" w:hAnsi="Arial" w:cs="Arial"/>
          <w:b/>
        </w:rPr>
        <w:t>TERCERA SALA UNITARIA</w:t>
      </w:r>
    </w:p>
    <w:p w:rsidR="00FC5BE9" w:rsidRPr="00FC5BE9" w:rsidRDefault="00FC5BE9" w:rsidP="00FC5BE9">
      <w:pPr>
        <w:spacing w:after="0" w:line="240" w:lineRule="auto"/>
        <w:ind w:left="3969"/>
        <w:jc w:val="center"/>
        <w:rPr>
          <w:rFonts w:ascii="Arial" w:eastAsia="Calibri" w:hAnsi="Arial" w:cs="Arial"/>
          <w:b/>
        </w:rPr>
      </w:pPr>
    </w:p>
    <w:p w:rsidR="002C478D" w:rsidRDefault="00FC5BE9" w:rsidP="00FC5BE9">
      <w:pPr>
        <w:spacing w:after="0" w:line="240" w:lineRule="auto"/>
        <w:ind w:left="3969"/>
        <w:jc w:val="both"/>
        <w:rPr>
          <w:rFonts w:ascii="Arial" w:eastAsia="Calibri" w:hAnsi="Arial" w:cs="Arial"/>
          <w:b/>
        </w:rPr>
      </w:pPr>
      <w:r w:rsidRPr="00FC5BE9">
        <w:rPr>
          <w:rFonts w:ascii="Arial" w:eastAsia="Calibri" w:hAnsi="Arial" w:cs="Arial"/>
          <w:b/>
        </w:rPr>
        <w:t xml:space="preserve">EXPEDIENTE: </w:t>
      </w:r>
      <w:r w:rsidR="002C478D">
        <w:rPr>
          <w:rFonts w:ascii="Arial" w:eastAsia="Calibri" w:hAnsi="Arial" w:cs="Arial"/>
          <w:b/>
        </w:rPr>
        <w:t>177</w:t>
      </w:r>
      <w:r w:rsidRPr="00FC5BE9">
        <w:rPr>
          <w:rFonts w:ascii="Arial" w:eastAsia="Calibri" w:hAnsi="Arial" w:cs="Arial"/>
          <w:b/>
        </w:rPr>
        <w:t>/</w:t>
      </w:r>
      <w:r w:rsidR="002C478D">
        <w:rPr>
          <w:rFonts w:ascii="Arial" w:eastAsia="Calibri" w:hAnsi="Arial" w:cs="Arial"/>
          <w:b/>
        </w:rPr>
        <w:t>2025-3</w:t>
      </w:r>
    </w:p>
    <w:p w:rsidR="002C478D" w:rsidRDefault="002C478D" w:rsidP="00FC5BE9">
      <w:pPr>
        <w:spacing w:after="0" w:line="240" w:lineRule="auto"/>
        <w:ind w:left="3969"/>
        <w:jc w:val="both"/>
        <w:rPr>
          <w:rFonts w:ascii="Arial" w:eastAsia="Calibri" w:hAnsi="Arial" w:cs="Arial"/>
          <w:b/>
        </w:rPr>
      </w:pPr>
    </w:p>
    <w:p w:rsidR="00FC5BE9" w:rsidRPr="00FC5BE9" w:rsidRDefault="00FC5BE9" w:rsidP="00FC5BE9">
      <w:pPr>
        <w:spacing w:after="0" w:line="240" w:lineRule="auto"/>
        <w:ind w:left="3969"/>
        <w:jc w:val="both"/>
        <w:rPr>
          <w:rFonts w:ascii="Arial" w:eastAsia="Calibri" w:hAnsi="Arial" w:cs="Arial"/>
          <w:b/>
        </w:rPr>
      </w:pPr>
      <w:r w:rsidRPr="00FC5BE9">
        <w:rPr>
          <w:rFonts w:ascii="Arial" w:eastAsia="Calibri" w:hAnsi="Arial" w:cs="Arial"/>
          <w:b/>
        </w:rPr>
        <w:t xml:space="preserve">ACTOR: </w:t>
      </w:r>
    </w:p>
    <w:p w:rsidR="002C478D" w:rsidRPr="00FC5BE9" w:rsidRDefault="006E2263" w:rsidP="00FC5BE9">
      <w:pPr>
        <w:spacing w:after="0" w:line="240" w:lineRule="auto"/>
        <w:ind w:left="3969"/>
        <w:jc w:val="both"/>
        <w:rPr>
          <w:rFonts w:ascii="Arial" w:eastAsia="Calibri" w:hAnsi="Arial" w:cs="Arial"/>
        </w:rPr>
      </w:pPr>
      <w:r>
        <w:rPr>
          <w:rFonts w:ascii="Arial" w:eastAsia="Calibri" w:hAnsi="Arial" w:cs="Arial"/>
          <w:color w:val="FF0000"/>
        </w:rPr>
        <w:t>**********</w:t>
      </w:r>
    </w:p>
    <w:p w:rsidR="00FC5BE9" w:rsidRPr="00FC5BE9" w:rsidRDefault="00FC5BE9" w:rsidP="00FC5BE9">
      <w:pPr>
        <w:spacing w:after="0" w:line="240" w:lineRule="auto"/>
        <w:ind w:left="3969"/>
        <w:jc w:val="both"/>
        <w:rPr>
          <w:rFonts w:ascii="Arial" w:eastAsia="Calibri" w:hAnsi="Arial" w:cs="Arial"/>
          <w:b/>
        </w:rPr>
      </w:pPr>
      <w:r w:rsidRPr="00FC5BE9">
        <w:rPr>
          <w:rFonts w:ascii="Arial" w:eastAsia="Calibri" w:hAnsi="Arial" w:cs="Arial"/>
          <w:b/>
        </w:rPr>
        <w:t>MAGISTRADO:</w:t>
      </w:r>
    </w:p>
    <w:p w:rsidR="00FC5BE9" w:rsidRPr="00FC5BE9" w:rsidRDefault="00FC5BE9" w:rsidP="00FC5BE9">
      <w:pPr>
        <w:spacing w:after="0" w:line="240" w:lineRule="auto"/>
        <w:ind w:left="3969"/>
        <w:jc w:val="both"/>
        <w:rPr>
          <w:rFonts w:ascii="Arial" w:eastAsia="Calibri" w:hAnsi="Arial" w:cs="Arial"/>
        </w:rPr>
      </w:pPr>
      <w:r w:rsidRPr="00FC5BE9">
        <w:rPr>
          <w:rFonts w:ascii="Arial" w:eastAsia="Calibri" w:hAnsi="Arial" w:cs="Arial"/>
        </w:rPr>
        <w:t>LICENCIADO JORGE ALEJANDRO VERA NOYOLA.</w:t>
      </w:r>
    </w:p>
    <w:p w:rsidR="00FC5BE9" w:rsidRPr="00FC5BE9" w:rsidRDefault="00FC5BE9" w:rsidP="00FC5BE9">
      <w:pPr>
        <w:spacing w:after="0" w:line="240" w:lineRule="auto"/>
        <w:ind w:left="3969"/>
        <w:jc w:val="both"/>
        <w:rPr>
          <w:rFonts w:ascii="Arial" w:eastAsia="Arial Unicode MS" w:hAnsi="Arial" w:cs="Arial"/>
          <w:b/>
        </w:rPr>
      </w:pPr>
    </w:p>
    <w:p w:rsidR="00FC5BE9" w:rsidRPr="00FC5BE9" w:rsidRDefault="00FC5BE9" w:rsidP="00FC5BE9">
      <w:pPr>
        <w:spacing w:after="0" w:line="240" w:lineRule="auto"/>
        <w:ind w:left="3969"/>
        <w:jc w:val="both"/>
        <w:rPr>
          <w:rFonts w:ascii="Arial" w:eastAsia="Arial Unicode MS" w:hAnsi="Arial" w:cs="Arial"/>
          <w:b/>
        </w:rPr>
      </w:pPr>
      <w:r w:rsidRPr="00FC5BE9">
        <w:rPr>
          <w:rFonts w:ascii="Arial" w:eastAsia="Arial Unicode MS" w:hAnsi="Arial" w:cs="Arial"/>
          <w:b/>
        </w:rPr>
        <w:t>SECRETARIO DE ESTUDIO Y CUENTA:</w:t>
      </w:r>
    </w:p>
    <w:p w:rsidR="00FC5BE9" w:rsidRPr="00FC5BE9" w:rsidRDefault="00FC5BE9" w:rsidP="00FC5BE9">
      <w:pPr>
        <w:spacing w:after="0" w:line="240" w:lineRule="auto"/>
        <w:ind w:left="3969"/>
        <w:jc w:val="both"/>
        <w:rPr>
          <w:rFonts w:ascii="Arial" w:eastAsia="Arial Unicode MS" w:hAnsi="Arial" w:cs="Arial"/>
        </w:rPr>
      </w:pPr>
      <w:r w:rsidRPr="00FC5BE9">
        <w:rPr>
          <w:rFonts w:ascii="Arial" w:eastAsia="Arial Unicode MS" w:hAnsi="Arial" w:cs="Arial"/>
        </w:rPr>
        <w:t xml:space="preserve">LICENCIADA </w:t>
      </w:r>
      <w:r w:rsidR="00B71497">
        <w:rPr>
          <w:rFonts w:ascii="Arial" w:eastAsia="Arial Unicode MS" w:hAnsi="Arial" w:cs="Arial"/>
        </w:rPr>
        <w:t>DIANA CAROLINA MONTELONGO ORTIZ</w:t>
      </w:r>
    </w:p>
    <w:p w:rsidR="00FC5BE9" w:rsidRPr="00FC5BE9" w:rsidRDefault="00FC5BE9" w:rsidP="00FC5BE9">
      <w:pPr>
        <w:spacing w:after="0"/>
        <w:ind w:firstLine="709"/>
        <w:jc w:val="both"/>
        <w:rPr>
          <w:rFonts w:ascii="Arial" w:eastAsia="Arial Unicode MS" w:hAnsi="Arial" w:cs="Arial"/>
          <w:w w:val="95"/>
        </w:rPr>
      </w:pPr>
    </w:p>
    <w:p w:rsidR="00FC5BE9" w:rsidRPr="00FC5BE9" w:rsidRDefault="00FC5BE9" w:rsidP="00FC5BE9">
      <w:pPr>
        <w:spacing w:after="0" w:line="360" w:lineRule="auto"/>
        <w:ind w:firstLine="709"/>
        <w:jc w:val="both"/>
        <w:rPr>
          <w:rFonts w:ascii="Arial" w:eastAsia="Arial Unicode MS" w:hAnsi="Arial" w:cs="Arial"/>
          <w:sz w:val="24"/>
          <w:szCs w:val="24"/>
        </w:rPr>
      </w:pPr>
      <w:r w:rsidRPr="00FC5BE9">
        <w:rPr>
          <w:rFonts w:ascii="Arial" w:eastAsia="Arial Unicode MS" w:hAnsi="Arial" w:cs="Arial"/>
          <w:sz w:val="24"/>
          <w:szCs w:val="24"/>
        </w:rPr>
        <w:t xml:space="preserve">San Luis Potosí, S.L.P., </w:t>
      </w:r>
      <w:r w:rsidR="002C478D">
        <w:rPr>
          <w:rFonts w:ascii="Arial" w:eastAsia="Arial Unicode MS" w:hAnsi="Arial" w:cs="Arial"/>
          <w:sz w:val="24"/>
          <w:szCs w:val="24"/>
        </w:rPr>
        <w:t>catorce de octubre de dos mil veinticinco</w:t>
      </w:r>
      <w:r w:rsidRPr="00FC5BE9">
        <w:rPr>
          <w:rFonts w:ascii="Arial" w:eastAsia="Arial Unicode MS" w:hAnsi="Arial" w:cs="Arial"/>
          <w:sz w:val="24"/>
          <w:szCs w:val="24"/>
        </w:rPr>
        <w:t xml:space="preserve">. </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Pr="00FC5BE9" w:rsidRDefault="00FC5BE9" w:rsidP="00520AA6">
      <w:pPr>
        <w:spacing w:after="0" w:line="360" w:lineRule="auto"/>
        <w:ind w:firstLine="709"/>
        <w:jc w:val="both"/>
        <w:rPr>
          <w:rFonts w:ascii="Arial" w:eastAsia="Arial Unicode MS" w:hAnsi="Arial" w:cs="Arial"/>
          <w:sz w:val="24"/>
          <w:szCs w:val="24"/>
        </w:rPr>
      </w:pPr>
      <w:r w:rsidRPr="00FC5BE9">
        <w:rPr>
          <w:rFonts w:ascii="Arial" w:eastAsia="Arial Unicode MS" w:hAnsi="Arial" w:cs="Arial"/>
          <w:b/>
          <w:sz w:val="24"/>
          <w:szCs w:val="24"/>
        </w:rPr>
        <w:t>V I S T O S</w:t>
      </w:r>
      <w:r w:rsidRPr="00FC5BE9">
        <w:rPr>
          <w:rFonts w:ascii="Arial" w:eastAsia="Arial Unicode MS" w:hAnsi="Arial" w:cs="Arial"/>
          <w:sz w:val="24"/>
          <w:szCs w:val="24"/>
        </w:rPr>
        <w:t xml:space="preserve"> para resolver en definitiva los autos del Juicio Contencioso Administrativo </w:t>
      </w:r>
      <w:r w:rsidR="002C478D" w:rsidRPr="002C478D">
        <w:rPr>
          <w:rFonts w:ascii="Arial" w:eastAsia="Arial Unicode MS" w:hAnsi="Arial" w:cs="Arial"/>
          <w:b/>
          <w:sz w:val="24"/>
          <w:szCs w:val="24"/>
        </w:rPr>
        <w:t>177</w:t>
      </w:r>
      <w:r w:rsidRPr="00FC5BE9">
        <w:rPr>
          <w:rFonts w:ascii="Arial" w:eastAsia="Arial Unicode MS" w:hAnsi="Arial" w:cs="Arial"/>
          <w:b/>
          <w:sz w:val="24"/>
          <w:szCs w:val="24"/>
        </w:rPr>
        <w:t>/202</w:t>
      </w:r>
      <w:r w:rsidR="002C478D" w:rsidRPr="002C478D">
        <w:rPr>
          <w:rFonts w:ascii="Arial" w:eastAsia="Arial Unicode MS" w:hAnsi="Arial" w:cs="Arial"/>
          <w:b/>
          <w:sz w:val="24"/>
          <w:szCs w:val="24"/>
        </w:rPr>
        <w:t>5</w:t>
      </w:r>
      <w:r w:rsidRPr="00FC5BE9">
        <w:rPr>
          <w:rFonts w:ascii="Arial" w:eastAsia="Arial Unicode MS" w:hAnsi="Arial" w:cs="Arial"/>
          <w:b/>
          <w:sz w:val="24"/>
          <w:szCs w:val="24"/>
        </w:rPr>
        <w:t xml:space="preserve">-3 </w:t>
      </w:r>
      <w:r w:rsidRPr="00FC5BE9">
        <w:rPr>
          <w:rFonts w:ascii="Arial" w:eastAsia="Arial Unicode MS" w:hAnsi="Arial" w:cs="Arial"/>
          <w:sz w:val="24"/>
          <w:szCs w:val="24"/>
        </w:rPr>
        <w:t>promovido por</w:t>
      </w:r>
      <w:r w:rsidR="006E2263">
        <w:rPr>
          <w:rFonts w:ascii="Arial" w:eastAsia="Arial Unicode MS" w:hAnsi="Arial" w:cs="Arial"/>
          <w:b/>
          <w:color w:val="FF0000"/>
          <w:sz w:val="24"/>
          <w:szCs w:val="24"/>
        </w:rPr>
        <w:t>**********</w:t>
      </w:r>
      <w:r w:rsidRPr="00FC5BE9">
        <w:rPr>
          <w:rFonts w:ascii="Arial" w:eastAsia="Arial Unicode MS" w:hAnsi="Arial" w:cs="Arial"/>
          <w:sz w:val="24"/>
          <w:szCs w:val="24"/>
        </w:rPr>
        <w:t xml:space="preserve">contra actos </w:t>
      </w:r>
      <w:r w:rsidR="00520AA6">
        <w:rPr>
          <w:rFonts w:ascii="Arial" w:eastAsia="Arial Unicode MS" w:hAnsi="Arial" w:cs="Arial"/>
          <w:sz w:val="24"/>
          <w:szCs w:val="24"/>
        </w:rPr>
        <w:t xml:space="preserve">del </w:t>
      </w:r>
      <w:r w:rsidR="00520AA6" w:rsidRPr="00520AA6">
        <w:rPr>
          <w:rFonts w:ascii="Arial" w:eastAsia="Arial Unicode MS" w:hAnsi="Arial" w:cs="Arial"/>
          <w:b/>
          <w:sz w:val="24"/>
          <w:szCs w:val="24"/>
        </w:rPr>
        <w:t>Presidente Municipal, Primer Síndico Municipal y Representante Jurídico del H. Ayuntamiento de San Luis Potosí</w:t>
      </w:r>
      <w:r w:rsidRPr="00FC5BE9">
        <w:rPr>
          <w:rFonts w:ascii="Arial" w:eastAsia="Arial Unicode MS" w:hAnsi="Arial" w:cs="Arial"/>
          <w:b/>
          <w:sz w:val="24"/>
          <w:szCs w:val="24"/>
        </w:rPr>
        <w:t xml:space="preserve">; </w:t>
      </w:r>
      <w:r w:rsidRPr="00FC5BE9">
        <w:rPr>
          <w:rFonts w:ascii="Arial" w:eastAsia="Arial Unicode MS" w:hAnsi="Arial" w:cs="Arial"/>
          <w:sz w:val="24"/>
          <w:szCs w:val="24"/>
        </w:rPr>
        <w:t>y</w:t>
      </w:r>
      <w:r w:rsidR="00520AA6">
        <w:rPr>
          <w:rFonts w:ascii="Arial" w:eastAsia="Arial Unicode MS" w:hAnsi="Arial" w:cs="Arial"/>
          <w:sz w:val="24"/>
          <w:szCs w:val="24"/>
        </w:rPr>
        <w:t>,</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Pr="00FC5BE9" w:rsidRDefault="00FC5BE9" w:rsidP="00FC5BE9">
      <w:pPr>
        <w:spacing w:after="0" w:line="360" w:lineRule="auto"/>
        <w:jc w:val="center"/>
        <w:rPr>
          <w:rFonts w:ascii="Arial" w:eastAsia="Arial Unicode MS" w:hAnsi="Arial" w:cs="Arial"/>
          <w:b/>
          <w:sz w:val="24"/>
          <w:szCs w:val="24"/>
        </w:rPr>
      </w:pPr>
      <w:r w:rsidRPr="00FC5BE9">
        <w:rPr>
          <w:rFonts w:ascii="Arial" w:eastAsia="Arial Unicode MS" w:hAnsi="Arial" w:cs="Arial"/>
          <w:b/>
          <w:sz w:val="24"/>
          <w:szCs w:val="24"/>
        </w:rPr>
        <w:t>R E S U L T A N D O</w:t>
      </w:r>
    </w:p>
    <w:p w:rsidR="00FC5BE9" w:rsidRPr="00FC5BE9" w:rsidRDefault="00FC5BE9" w:rsidP="00FC5BE9">
      <w:pPr>
        <w:spacing w:after="0" w:line="360" w:lineRule="auto"/>
        <w:ind w:firstLine="709"/>
        <w:jc w:val="both"/>
        <w:rPr>
          <w:rFonts w:ascii="Arial" w:eastAsia="Arial Unicode MS" w:hAnsi="Arial" w:cs="Arial"/>
          <w:b/>
          <w:sz w:val="24"/>
          <w:szCs w:val="24"/>
        </w:rPr>
      </w:pPr>
    </w:p>
    <w:p w:rsidR="00FC5BE9" w:rsidRPr="00FC5BE9" w:rsidRDefault="00FC5BE9" w:rsidP="00520AA6">
      <w:pPr>
        <w:spacing w:after="0" w:line="360" w:lineRule="auto"/>
        <w:ind w:firstLine="709"/>
        <w:jc w:val="both"/>
        <w:rPr>
          <w:rFonts w:ascii="Arial" w:eastAsia="Arial Unicode MS" w:hAnsi="Arial" w:cs="Arial"/>
          <w:sz w:val="24"/>
          <w:szCs w:val="24"/>
        </w:rPr>
      </w:pPr>
      <w:r w:rsidRPr="00FC5BE9">
        <w:rPr>
          <w:rFonts w:ascii="Arial" w:eastAsia="Calibri" w:hAnsi="Arial" w:cs="Arial"/>
          <w:b/>
          <w:sz w:val="24"/>
          <w:szCs w:val="24"/>
        </w:rPr>
        <w:t>I.-</w:t>
      </w:r>
      <w:r w:rsidRPr="00FC5BE9">
        <w:rPr>
          <w:rFonts w:ascii="Arial" w:eastAsia="Calibri" w:hAnsi="Arial" w:cs="Arial"/>
          <w:sz w:val="24"/>
          <w:szCs w:val="24"/>
        </w:rPr>
        <w:t xml:space="preserve"> </w:t>
      </w:r>
      <w:r w:rsidRPr="00FC5BE9">
        <w:rPr>
          <w:rFonts w:ascii="Arial" w:eastAsia="Calibri" w:hAnsi="Arial" w:cs="Arial"/>
          <w:sz w:val="24"/>
          <w:szCs w:val="24"/>
          <w:lang w:val="es-ES"/>
        </w:rPr>
        <w:t xml:space="preserve">Por escrito recibido en este Tribunal con fecha </w:t>
      </w:r>
      <w:r w:rsidR="00520AA6">
        <w:rPr>
          <w:rFonts w:ascii="Arial" w:eastAsia="Calibri" w:hAnsi="Arial" w:cs="Arial"/>
          <w:sz w:val="24"/>
          <w:szCs w:val="24"/>
          <w:lang w:val="es-ES"/>
        </w:rPr>
        <w:t>catorce de febrero de dos mil veinticinco</w:t>
      </w:r>
      <w:r w:rsidRPr="00FC5BE9">
        <w:rPr>
          <w:rFonts w:ascii="Arial" w:eastAsia="Calibri" w:hAnsi="Arial" w:cs="Arial"/>
          <w:sz w:val="24"/>
          <w:szCs w:val="24"/>
          <w:lang w:val="es-ES"/>
        </w:rPr>
        <w:t>, compareci</w:t>
      </w:r>
      <w:r w:rsidR="00520AA6">
        <w:rPr>
          <w:rFonts w:ascii="Arial" w:eastAsia="Calibri" w:hAnsi="Arial" w:cs="Arial"/>
          <w:sz w:val="24"/>
          <w:szCs w:val="24"/>
          <w:lang w:val="es-ES"/>
        </w:rPr>
        <w:t xml:space="preserve">eron </w:t>
      </w:r>
      <w:r w:rsidR="006E2263">
        <w:rPr>
          <w:rFonts w:ascii="Arial" w:eastAsia="Calibri" w:hAnsi="Arial" w:cs="Arial"/>
          <w:color w:val="FF0000"/>
          <w:sz w:val="24"/>
          <w:szCs w:val="24"/>
          <w:lang w:val="es-ES"/>
        </w:rPr>
        <w:t>**********</w:t>
      </w:r>
      <w:r w:rsidRPr="00FC5BE9">
        <w:rPr>
          <w:rFonts w:ascii="Arial" w:eastAsia="Arial Unicode MS" w:hAnsi="Arial" w:cs="Arial"/>
          <w:sz w:val="24"/>
          <w:szCs w:val="24"/>
        </w:rPr>
        <w:t>;</w:t>
      </w:r>
      <w:r w:rsidRPr="00FC5BE9">
        <w:rPr>
          <w:rFonts w:ascii="Arial" w:eastAsia="Calibri" w:hAnsi="Arial" w:cs="Arial"/>
          <w:sz w:val="24"/>
          <w:szCs w:val="24"/>
        </w:rPr>
        <w:t xml:space="preserve"> </w:t>
      </w:r>
      <w:r w:rsidRPr="00FC5BE9">
        <w:rPr>
          <w:rFonts w:ascii="Arial" w:eastAsia="Arial Unicode MS" w:hAnsi="Arial" w:cs="Arial"/>
          <w:sz w:val="24"/>
          <w:szCs w:val="24"/>
        </w:rPr>
        <w:t xml:space="preserve">por la nulidad del siguiente acto: </w:t>
      </w:r>
    </w:p>
    <w:p w:rsidR="00FC5BE9" w:rsidRPr="00FC5BE9" w:rsidRDefault="00FC5BE9" w:rsidP="00FC5BE9">
      <w:pPr>
        <w:spacing w:after="0" w:line="360" w:lineRule="auto"/>
        <w:ind w:firstLine="709"/>
        <w:jc w:val="both"/>
        <w:rPr>
          <w:rFonts w:ascii="Arial" w:eastAsia="Calibri" w:hAnsi="Arial" w:cs="Arial"/>
          <w:b/>
          <w:sz w:val="24"/>
          <w:szCs w:val="24"/>
        </w:rPr>
      </w:pPr>
    </w:p>
    <w:p w:rsidR="00520AA6" w:rsidRDefault="00520AA6" w:rsidP="00FC5BE9">
      <w:pPr>
        <w:spacing w:after="0" w:line="360" w:lineRule="auto"/>
        <w:ind w:firstLine="709"/>
        <w:jc w:val="both"/>
        <w:rPr>
          <w:rFonts w:ascii="Arial" w:eastAsia="Calibri" w:hAnsi="Arial" w:cs="Arial"/>
          <w:i/>
        </w:rPr>
      </w:pPr>
      <w:r>
        <w:rPr>
          <w:rFonts w:ascii="Arial" w:eastAsia="Calibri" w:hAnsi="Arial" w:cs="Arial"/>
          <w:i/>
        </w:rPr>
        <w:t xml:space="preserve">“La Ilegal determinación o Resolución dictada mediante Oficio número SIN/209/BIS/2024 de fecha 09 de Diciembre </w:t>
      </w:r>
      <w:r w:rsidR="003A7C39">
        <w:rPr>
          <w:rFonts w:ascii="Arial" w:eastAsia="Calibri" w:hAnsi="Arial" w:cs="Arial"/>
          <w:i/>
        </w:rPr>
        <w:t>de 2024, suscrito por EL C. LIC. LUIS VICTOR HUGO SALGADO DELGADILLO en su Carácter de SINDICO MUNICIPAL DEL H. AYUNTAMIENTO DE SAN LUIS POTOSI Y/O REPRESENTANTE JURIDICO DEL H. AYUNTAMIENTO, en respuesta a la Conclusión del Trámite seguido ante esa Administración Municipal, iniciado en la oficina de Catastro de esa Municipalidad, con número de folio 1908811245 derivado de una solicitud realizada por las suscritas, referente a una Certificación de Medidas y Colindancias de una superficie de tierra de nuestra propiedad, ante dicha recaudadora de impuestos. Debiendo señalar que ahora se da una negativa en nuestro trámite por parte del SINDICO MUNICIPAL DEL H. AYUNTAMIENTO DE ESTA CIUDAD DE SAN LUIS POTOSI, limitándonos en su determinación al conocimiento de información, de quien se ostenta como un diverso propietario de nuestra superficie de tierra, mediante una invasión administrativa ante la Instancia Municipal y nos deja en un completo estado de insolvencia legal, porque además de no proporcionarnos el nombre de dicha persona, tampoco solventa con documentación alguna su negativa, para poder impugnar tal documentación y poder ejercer nuestro derecho ante esa PRESIDENCIA MUNICIPAL….”</w:t>
      </w:r>
    </w:p>
    <w:p w:rsidR="00520AA6" w:rsidRDefault="00520AA6" w:rsidP="00FC5BE9">
      <w:pPr>
        <w:spacing w:after="0" w:line="360" w:lineRule="auto"/>
        <w:ind w:firstLine="709"/>
        <w:jc w:val="both"/>
        <w:rPr>
          <w:rFonts w:ascii="Arial" w:eastAsia="Calibri" w:hAnsi="Arial" w:cs="Arial"/>
          <w:i/>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b/>
          <w:sz w:val="24"/>
          <w:szCs w:val="24"/>
        </w:rPr>
        <w:t>II.-</w:t>
      </w:r>
      <w:r w:rsidRPr="00FC5BE9">
        <w:rPr>
          <w:rFonts w:ascii="Arial" w:eastAsia="Calibri" w:hAnsi="Arial" w:cs="Arial"/>
          <w:sz w:val="24"/>
          <w:szCs w:val="24"/>
        </w:rPr>
        <w:t xml:space="preserve"> Por auto de fecha </w:t>
      </w:r>
      <w:r w:rsidR="004F4BDC">
        <w:rPr>
          <w:rFonts w:ascii="Arial" w:eastAsia="Calibri" w:hAnsi="Arial" w:cs="Arial"/>
          <w:sz w:val="24"/>
          <w:szCs w:val="24"/>
        </w:rPr>
        <w:t>veintiséis de febrero de dos mil veinticinco</w:t>
      </w:r>
      <w:r w:rsidRPr="00FC5BE9">
        <w:rPr>
          <w:rFonts w:ascii="Arial" w:eastAsia="Calibri" w:hAnsi="Arial" w:cs="Arial"/>
          <w:sz w:val="24"/>
          <w:szCs w:val="24"/>
        </w:rPr>
        <w:t xml:space="preserve">, </w:t>
      </w:r>
      <w:r w:rsidRPr="00FC5BE9">
        <w:rPr>
          <w:rFonts w:ascii="Arial" w:eastAsia="Calibri" w:hAnsi="Arial" w:cs="Arial"/>
          <w:sz w:val="24"/>
          <w:szCs w:val="24"/>
          <w:lang w:val="es-ES_tradnl"/>
        </w:rPr>
        <w:t>se admitió a trámite la demanda y se ordenó correr traslado a la</w:t>
      </w:r>
      <w:r w:rsidR="004F4BDC">
        <w:rPr>
          <w:rFonts w:ascii="Arial" w:eastAsia="Calibri" w:hAnsi="Arial" w:cs="Arial"/>
          <w:sz w:val="24"/>
          <w:szCs w:val="24"/>
          <w:lang w:val="es-ES_tradnl"/>
        </w:rPr>
        <w:t>s</w:t>
      </w:r>
      <w:r w:rsidRPr="00FC5BE9">
        <w:rPr>
          <w:rFonts w:ascii="Arial" w:eastAsia="Calibri" w:hAnsi="Arial" w:cs="Arial"/>
          <w:sz w:val="24"/>
          <w:szCs w:val="24"/>
          <w:lang w:val="es-ES_tradnl"/>
        </w:rPr>
        <w:t xml:space="preserve"> autoridad</w:t>
      </w:r>
      <w:r w:rsidR="004F4BDC">
        <w:rPr>
          <w:rFonts w:ascii="Arial" w:eastAsia="Calibri" w:hAnsi="Arial" w:cs="Arial"/>
          <w:sz w:val="24"/>
          <w:szCs w:val="24"/>
          <w:lang w:val="es-ES_tradnl"/>
        </w:rPr>
        <w:t>es</w:t>
      </w:r>
      <w:r w:rsidRPr="00FC5BE9">
        <w:rPr>
          <w:rFonts w:ascii="Arial" w:eastAsia="Calibri" w:hAnsi="Arial" w:cs="Arial"/>
          <w:sz w:val="24"/>
          <w:szCs w:val="24"/>
          <w:lang w:val="es-ES_tradnl"/>
        </w:rPr>
        <w:t xml:space="preserve"> demandada</w:t>
      </w:r>
      <w:r w:rsidR="004F4BDC">
        <w:rPr>
          <w:rFonts w:ascii="Arial" w:eastAsia="Calibri" w:hAnsi="Arial" w:cs="Arial"/>
          <w:sz w:val="24"/>
          <w:szCs w:val="24"/>
          <w:lang w:val="es-ES_tradnl"/>
        </w:rPr>
        <w:t>s</w:t>
      </w:r>
      <w:r w:rsidRPr="00FC5BE9">
        <w:rPr>
          <w:rFonts w:ascii="Arial" w:eastAsia="Calibri" w:hAnsi="Arial" w:cs="Arial"/>
          <w:sz w:val="24"/>
          <w:szCs w:val="24"/>
          <w:lang w:val="es-ES_tradnl"/>
        </w:rPr>
        <w:t>, para que contestara</w:t>
      </w:r>
      <w:r w:rsidR="004F4BDC">
        <w:rPr>
          <w:rFonts w:ascii="Arial" w:eastAsia="Calibri" w:hAnsi="Arial" w:cs="Arial"/>
          <w:sz w:val="24"/>
          <w:szCs w:val="24"/>
          <w:lang w:val="es-ES_tradnl"/>
        </w:rPr>
        <w:t>n</w:t>
      </w:r>
      <w:r w:rsidRPr="00FC5BE9">
        <w:rPr>
          <w:rFonts w:ascii="Arial" w:eastAsia="Calibri" w:hAnsi="Arial" w:cs="Arial"/>
          <w:sz w:val="24"/>
          <w:szCs w:val="24"/>
          <w:lang w:val="es-ES_tradnl"/>
        </w:rPr>
        <w:t xml:space="preserve"> dentro del término legal lo que a su interés conviniera.</w:t>
      </w:r>
    </w:p>
    <w:p w:rsidR="00FC5BE9" w:rsidRPr="00FC5BE9" w:rsidRDefault="00FC5BE9" w:rsidP="00FC5BE9">
      <w:pPr>
        <w:spacing w:after="0" w:line="360" w:lineRule="auto"/>
        <w:ind w:firstLine="709"/>
        <w:jc w:val="both"/>
        <w:rPr>
          <w:rFonts w:ascii="Arial" w:eastAsia="Calibri" w:hAnsi="Arial" w:cs="Arial"/>
          <w:sz w:val="24"/>
          <w:szCs w:val="24"/>
          <w:lang w:val="es-ES_tradnl"/>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b/>
          <w:sz w:val="24"/>
          <w:szCs w:val="24"/>
          <w:lang w:val="es-ES_tradnl"/>
        </w:rPr>
        <w:t>III.-</w:t>
      </w:r>
      <w:r w:rsidRPr="00FC5BE9">
        <w:rPr>
          <w:rFonts w:ascii="Arial" w:eastAsia="Calibri" w:hAnsi="Arial" w:cs="Arial"/>
          <w:sz w:val="24"/>
          <w:szCs w:val="24"/>
          <w:lang w:val="es-ES_tradnl"/>
        </w:rPr>
        <w:t>P</w:t>
      </w:r>
      <w:proofErr w:type="spellStart"/>
      <w:r w:rsidRPr="00FC5BE9">
        <w:rPr>
          <w:rFonts w:ascii="Arial" w:eastAsia="Calibri" w:hAnsi="Arial" w:cs="Arial"/>
          <w:sz w:val="24"/>
          <w:szCs w:val="24"/>
        </w:rPr>
        <w:t>or</w:t>
      </w:r>
      <w:proofErr w:type="spellEnd"/>
      <w:r w:rsidRPr="00FC5BE9">
        <w:rPr>
          <w:rFonts w:ascii="Arial" w:eastAsia="Calibri" w:hAnsi="Arial" w:cs="Arial"/>
          <w:sz w:val="24"/>
          <w:szCs w:val="24"/>
        </w:rPr>
        <w:t xml:space="preserve"> proveído de fecha</w:t>
      </w:r>
      <w:r w:rsidR="003B0128">
        <w:rPr>
          <w:rFonts w:ascii="Arial" w:eastAsia="Calibri" w:hAnsi="Arial" w:cs="Arial"/>
          <w:sz w:val="24"/>
          <w:szCs w:val="24"/>
        </w:rPr>
        <w:t xml:space="preserve"> treinta y uno de marzo de dos mil veinticinco</w:t>
      </w:r>
      <w:r w:rsidRPr="00FC5BE9">
        <w:rPr>
          <w:rFonts w:ascii="Arial" w:eastAsia="Calibri" w:hAnsi="Arial" w:cs="Arial"/>
          <w:sz w:val="24"/>
          <w:szCs w:val="24"/>
          <w:lang w:val="es-ES_tradnl"/>
        </w:rPr>
        <w:t>, se tuvo a la autoridad demandada, por contestando la demanda</w:t>
      </w:r>
      <w:r w:rsidR="002B5E54">
        <w:rPr>
          <w:rFonts w:ascii="Arial" w:eastAsia="Calibri" w:hAnsi="Arial" w:cs="Arial"/>
          <w:sz w:val="24"/>
          <w:szCs w:val="24"/>
          <w:lang w:val="es-ES_tradnl"/>
        </w:rPr>
        <w:t xml:space="preserve"> y</w:t>
      </w:r>
      <w:r w:rsidRPr="00FC5BE9">
        <w:rPr>
          <w:rFonts w:ascii="Arial" w:eastAsia="Calibri" w:hAnsi="Arial" w:cs="Arial"/>
          <w:sz w:val="24"/>
          <w:szCs w:val="24"/>
          <w:lang w:val="es-ES_tradnl"/>
        </w:rPr>
        <w:t xml:space="preserve"> se ordenó correr traslado a la parte actora con copia del escrito de contestación para que manifestara lo que a su derecho correspondía; se admitieron las pruebas</w:t>
      </w:r>
      <w:r w:rsidRPr="00FC5BE9">
        <w:rPr>
          <w:rFonts w:ascii="Arial" w:eastAsia="Arial Unicode MS" w:hAnsi="Arial" w:cs="Arial"/>
          <w:sz w:val="24"/>
          <w:szCs w:val="24"/>
        </w:rPr>
        <w:t xml:space="preserve">; y </w:t>
      </w:r>
      <w:r w:rsidRPr="00FC5BE9">
        <w:rPr>
          <w:rFonts w:ascii="Arial" w:eastAsia="Calibri" w:hAnsi="Arial" w:cs="Arial"/>
          <w:sz w:val="24"/>
          <w:szCs w:val="24"/>
        </w:rPr>
        <w:t>se fijó  fecha y hora para la audiencia final a que se refiere el artículo 246 del Código Procesal Administrativo para el Estado de San Luis Potosí.</w:t>
      </w:r>
    </w:p>
    <w:p w:rsidR="00FC5BE9" w:rsidRPr="00FC5BE9" w:rsidRDefault="00FC5BE9" w:rsidP="00FC5BE9">
      <w:pPr>
        <w:spacing w:after="0" w:line="360" w:lineRule="auto"/>
        <w:ind w:firstLine="709"/>
        <w:jc w:val="both"/>
        <w:rPr>
          <w:rFonts w:ascii="Arial" w:eastAsia="Calibri" w:hAnsi="Arial" w:cs="Arial"/>
          <w:sz w:val="24"/>
          <w:szCs w:val="24"/>
        </w:rPr>
      </w:pPr>
    </w:p>
    <w:p w:rsidR="00FC5BE9" w:rsidRPr="00FC5BE9" w:rsidRDefault="00FC5BE9" w:rsidP="00FC5BE9">
      <w:pPr>
        <w:spacing w:after="0" w:line="360" w:lineRule="auto"/>
        <w:ind w:firstLine="709"/>
        <w:jc w:val="both"/>
        <w:rPr>
          <w:rFonts w:ascii="Arial" w:eastAsia="Arial Unicode MS" w:hAnsi="Arial" w:cs="Arial"/>
          <w:sz w:val="24"/>
          <w:szCs w:val="24"/>
        </w:rPr>
      </w:pPr>
      <w:r w:rsidRPr="00FC5BE9">
        <w:rPr>
          <w:rFonts w:ascii="Arial" w:eastAsia="Calibri" w:hAnsi="Arial" w:cs="Arial"/>
          <w:b/>
          <w:sz w:val="24"/>
          <w:szCs w:val="24"/>
        </w:rPr>
        <w:t>IV.-</w:t>
      </w:r>
      <w:r w:rsidRPr="00FC5BE9">
        <w:rPr>
          <w:rFonts w:ascii="Arial" w:eastAsia="Calibri" w:hAnsi="Arial" w:cs="Arial"/>
          <w:sz w:val="24"/>
          <w:szCs w:val="24"/>
        </w:rPr>
        <w:t xml:space="preserve">  Con fecha </w:t>
      </w:r>
      <w:r w:rsidR="002B5E54">
        <w:rPr>
          <w:rFonts w:ascii="Arial" w:eastAsia="Calibri" w:hAnsi="Arial" w:cs="Arial"/>
          <w:sz w:val="24"/>
          <w:szCs w:val="24"/>
        </w:rPr>
        <w:t>veinticinco de abril de dos mil veinticinco</w:t>
      </w:r>
      <w:r w:rsidRPr="00FC5BE9">
        <w:rPr>
          <w:rFonts w:ascii="Arial" w:eastAsia="Calibri" w:hAnsi="Arial" w:cs="Arial"/>
          <w:sz w:val="24"/>
          <w:szCs w:val="24"/>
        </w:rPr>
        <w:t xml:space="preserve">, </w:t>
      </w:r>
      <w:r w:rsidRPr="00FC5BE9">
        <w:rPr>
          <w:rFonts w:ascii="Arial" w:eastAsia="Calibri" w:hAnsi="Arial" w:cs="Arial"/>
          <w:sz w:val="24"/>
          <w:szCs w:val="24"/>
          <w:lang w:val="es-ES_tradnl"/>
        </w:rPr>
        <w:t xml:space="preserve">tuvo verificativo la Audiencia de Ley en este juicio, con la inasistencia de las partes; </w:t>
      </w:r>
      <w:r w:rsidRPr="00FC5BE9">
        <w:rPr>
          <w:rFonts w:ascii="Arial" w:eastAsia="Calibri" w:hAnsi="Arial" w:cs="Arial"/>
          <w:sz w:val="24"/>
          <w:szCs w:val="24"/>
        </w:rPr>
        <w:t>el Secretario de Acuerdos hizo relación de las constancias de autos; e hizo relación de las constancias; en la etapa de pruebas, se tienen por desahogadas las pruebas documentales ofrecidas por las partes de acuerdo a su propia naturaleza, y se hizo constar que no existen pruebas pendientes que desahogar, en etapa de alegatos</w:t>
      </w:r>
      <w:r w:rsidRPr="00FC5BE9">
        <w:rPr>
          <w:rFonts w:ascii="Arial" w:eastAsia="Arial Unicode MS" w:hAnsi="Arial" w:cs="Arial"/>
          <w:sz w:val="24"/>
          <w:szCs w:val="24"/>
        </w:rPr>
        <w:t>; se dio cuenta</w:t>
      </w:r>
      <w:r w:rsidR="002B5E54">
        <w:rPr>
          <w:rFonts w:ascii="Arial" w:eastAsia="Arial Unicode MS" w:hAnsi="Arial" w:cs="Arial"/>
          <w:sz w:val="24"/>
          <w:szCs w:val="24"/>
        </w:rPr>
        <w:t xml:space="preserve"> con los que por escrito formuló la parte actora, certificándose que estos no fueron presentados por las autoridades demandadas</w:t>
      </w:r>
      <w:r w:rsidRPr="00FC5BE9">
        <w:rPr>
          <w:rFonts w:ascii="Arial" w:eastAsia="Arial Unicode MS" w:hAnsi="Arial" w:cs="Arial"/>
          <w:sz w:val="24"/>
          <w:szCs w:val="24"/>
        </w:rPr>
        <w:t>; concluida la audiencia se citó para resolver en definitiva.</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Pr="00FC5BE9" w:rsidRDefault="00FC5BE9" w:rsidP="00FC5BE9">
      <w:pPr>
        <w:spacing w:after="0" w:line="360" w:lineRule="auto"/>
        <w:jc w:val="center"/>
        <w:rPr>
          <w:rFonts w:ascii="Arial" w:eastAsia="Arial Unicode MS" w:hAnsi="Arial" w:cs="Arial"/>
          <w:b/>
          <w:sz w:val="24"/>
          <w:szCs w:val="24"/>
        </w:rPr>
      </w:pPr>
      <w:r w:rsidRPr="00FC5BE9">
        <w:rPr>
          <w:rFonts w:ascii="Arial" w:eastAsia="Arial Unicode MS" w:hAnsi="Arial" w:cs="Arial"/>
          <w:b/>
          <w:sz w:val="24"/>
          <w:szCs w:val="24"/>
        </w:rPr>
        <w:t>C O N S I D E R A N D O</w:t>
      </w:r>
    </w:p>
    <w:p w:rsidR="00FC5BE9" w:rsidRPr="00FC5BE9" w:rsidRDefault="00FC5BE9" w:rsidP="00FC5BE9">
      <w:pPr>
        <w:spacing w:after="0" w:line="360" w:lineRule="auto"/>
        <w:jc w:val="center"/>
        <w:rPr>
          <w:rFonts w:ascii="Arial" w:eastAsia="Arial Unicode MS" w:hAnsi="Arial" w:cs="Arial"/>
          <w:b/>
          <w:sz w:val="24"/>
          <w:szCs w:val="24"/>
        </w:rPr>
      </w:pPr>
    </w:p>
    <w:p w:rsidR="00FC5BE9" w:rsidRPr="00FC5BE9" w:rsidRDefault="00FC5BE9" w:rsidP="00FC5BE9">
      <w:pPr>
        <w:spacing w:after="0" w:line="360" w:lineRule="auto"/>
        <w:ind w:firstLine="709"/>
        <w:jc w:val="both"/>
        <w:rPr>
          <w:rFonts w:ascii="Arial" w:eastAsia="Arial Unicode MS" w:hAnsi="Arial" w:cs="Arial"/>
          <w:sz w:val="24"/>
          <w:szCs w:val="24"/>
        </w:rPr>
      </w:pPr>
      <w:r w:rsidRPr="00FC5BE9">
        <w:rPr>
          <w:rFonts w:ascii="Arial" w:eastAsia="Arial Unicode MS" w:hAnsi="Arial" w:cs="Arial"/>
          <w:b/>
          <w:sz w:val="24"/>
          <w:szCs w:val="24"/>
        </w:rPr>
        <w:t>PRIMERO.-</w:t>
      </w:r>
      <w:r w:rsidRPr="00FC5BE9">
        <w:rPr>
          <w:rFonts w:ascii="Arial" w:eastAsia="Arial Unicode MS" w:hAnsi="Arial" w:cs="Arial"/>
          <w:sz w:val="24"/>
          <w:szCs w:val="24"/>
        </w:rPr>
        <w:t xml:space="preserve"> </w:t>
      </w:r>
      <w:r w:rsidRPr="00FC5BE9">
        <w:rPr>
          <w:rFonts w:ascii="Arial" w:eastAsia="Arial Unicode MS" w:hAnsi="Arial" w:cs="Arial"/>
          <w:b/>
          <w:sz w:val="24"/>
          <w:szCs w:val="24"/>
        </w:rPr>
        <w:t>Esta Tercera Sala Unitaria del Tribunal Estatal de Justicia administrativa</w:t>
      </w:r>
      <w:r w:rsidRPr="00FC5BE9">
        <w:rPr>
          <w:rFonts w:ascii="Arial" w:eastAsia="Arial Unicode MS" w:hAnsi="Arial" w:cs="Arial"/>
          <w:sz w:val="24"/>
          <w:szCs w:val="24"/>
        </w:rPr>
        <w:t>,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Luís Potosí y 1°, 2°, 161, 174, 175, 176, y 177 del Código Procesal Administrativo para el Estado de San Luis Potosí;  y en el caso de este expediente, le compete conocer y resolver por tratarse de una controversia suscitada entre un particular y autoridades municipales de esta entidad federativa, donde se ejerce jurisdicción.</w:t>
      </w:r>
    </w:p>
    <w:p w:rsidR="00FC5BE9" w:rsidRPr="00FC5BE9" w:rsidRDefault="00FC5BE9" w:rsidP="00FC5BE9">
      <w:pPr>
        <w:spacing w:after="0" w:line="360" w:lineRule="auto"/>
        <w:ind w:firstLine="709"/>
        <w:jc w:val="both"/>
        <w:rPr>
          <w:rFonts w:ascii="Arial" w:eastAsia="Calibri" w:hAnsi="Arial" w:cs="Arial"/>
          <w:sz w:val="24"/>
          <w:szCs w:val="24"/>
        </w:rPr>
      </w:pPr>
    </w:p>
    <w:p w:rsidR="00FC5BE9" w:rsidRPr="00FC5BE9" w:rsidRDefault="00FC5BE9" w:rsidP="00FC5BE9">
      <w:pPr>
        <w:autoSpaceDE w:val="0"/>
        <w:autoSpaceDN w:val="0"/>
        <w:adjustRightInd w:val="0"/>
        <w:spacing w:after="0" w:line="360" w:lineRule="auto"/>
        <w:ind w:firstLine="709"/>
        <w:jc w:val="both"/>
        <w:rPr>
          <w:rFonts w:ascii="Arial" w:eastAsia="Times New Roman" w:hAnsi="Arial" w:cs="Arial"/>
          <w:sz w:val="24"/>
          <w:szCs w:val="24"/>
          <w:lang w:eastAsia="es-ES"/>
        </w:rPr>
      </w:pPr>
      <w:r w:rsidRPr="00FC5BE9">
        <w:rPr>
          <w:rFonts w:ascii="Arial" w:eastAsia="Calibri" w:hAnsi="Arial" w:cs="Arial"/>
          <w:b/>
          <w:sz w:val="24"/>
          <w:szCs w:val="24"/>
        </w:rPr>
        <w:lastRenderedPageBreak/>
        <w:t xml:space="preserve">SEGUNDO.- </w:t>
      </w:r>
      <w:r w:rsidRPr="00FC5BE9">
        <w:rPr>
          <w:rFonts w:ascii="Arial" w:eastAsia="Times New Roman" w:hAnsi="Arial" w:cs="Arial"/>
          <w:sz w:val="24"/>
          <w:szCs w:val="24"/>
          <w:lang w:eastAsia="es-ES"/>
        </w:rPr>
        <w:t>De acuerdo con lo que precisa el artículo 221 del Código Procesal Administrativo para el Estado, esta Sala Unitaria procede a analizar la personalidad y legitimación de los comparecientes a este juicio.</w:t>
      </w:r>
    </w:p>
    <w:p w:rsidR="00FC5BE9" w:rsidRPr="00FC5BE9" w:rsidRDefault="00FC5BE9" w:rsidP="00FC5BE9">
      <w:pPr>
        <w:autoSpaceDE w:val="0"/>
        <w:autoSpaceDN w:val="0"/>
        <w:adjustRightInd w:val="0"/>
        <w:spacing w:after="0" w:line="360" w:lineRule="auto"/>
        <w:ind w:firstLine="709"/>
        <w:jc w:val="both"/>
        <w:rPr>
          <w:rFonts w:ascii="Arial" w:eastAsia="Times New Roman" w:hAnsi="Arial" w:cs="Arial"/>
          <w:sz w:val="24"/>
          <w:szCs w:val="24"/>
          <w:lang w:eastAsia="es-ES"/>
        </w:rPr>
      </w:pPr>
    </w:p>
    <w:p w:rsidR="00FC5BE9" w:rsidRPr="00FC5BE9" w:rsidRDefault="00FC5BE9" w:rsidP="00FC5BE9">
      <w:pPr>
        <w:spacing w:after="0" w:line="360" w:lineRule="auto"/>
        <w:ind w:firstLine="709"/>
        <w:jc w:val="both"/>
        <w:rPr>
          <w:rFonts w:ascii="Arial" w:eastAsia="Arial Unicode MS" w:hAnsi="Arial" w:cs="Arial"/>
          <w:sz w:val="24"/>
          <w:szCs w:val="24"/>
        </w:rPr>
      </w:pPr>
      <w:r w:rsidRPr="00FC5BE9">
        <w:rPr>
          <w:rFonts w:ascii="Arial" w:eastAsia="Calibri" w:hAnsi="Arial" w:cs="Arial"/>
          <w:sz w:val="24"/>
          <w:szCs w:val="24"/>
        </w:rPr>
        <w:t>La parte actora compareció por derecho propio; acreditando su interés jurídico en términos del artículo 231 del Código Procesal Administrativo para el Estado de San Luis Potosí, con el original del acto impugnado que obra en fojas 2</w:t>
      </w:r>
      <w:r w:rsidR="009274CC">
        <w:rPr>
          <w:rFonts w:ascii="Arial" w:eastAsia="Calibri" w:hAnsi="Arial" w:cs="Arial"/>
          <w:sz w:val="24"/>
          <w:szCs w:val="24"/>
        </w:rPr>
        <w:t>4</w:t>
      </w:r>
      <w:r w:rsidRPr="00FC5BE9">
        <w:rPr>
          <w:rFonts w:ascii="Arial" w:eastAsia="Arial Unicode MS" w:hAnsi="Arial" w:cs="Arial"/>
          <w:sz w:val="24"/>
          <w:szCs w:val="24"/>
        </w:rPr>
        <w:t xml:space="preserve"> de este sumario. </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Default="00FC5BE9" w:rsidP="00FC5BE9">
      <w:pPr>
        <w:tabs>
          <w:tab w:val="left" w:pos="2835"/>
        </w:tabs>
        <w:spacing w:after="0" w:line="360" w:lineRule="auto"/>
        <w:ind w:firstLine="709"/>
        <w:jc w:val="both"/>
        <w:rPr>
          <w:rFonts w:ascii="Arial" w:eastAsia="Arial Unicode MS" w:hAnsi="Arial" w:cs="Arial"/>
          <w:sz w:val="24"/>
          <w:szCs w:val="24"/>
        </w:rPr>
      </w:pPr>
      <w:r w:rsidRPr="00FC5BE9">
        <w:rPr>
          <w:rFonts w:ascii="Arial" w:eastAsia="Times New Roman" w:hAnsi="Arial" w:cs="Arial"/>
          <w:sz w:val="24"/>
          <w:szCs w:val="24"/>
          <w:lang w:val="es-ES" w:eastAsia="es-ES"/>
        </w:rPr>
        <w:t>La personalidad y legitimidad de</w:t>
      </w:r>
      <w:r w:rsidR="009274CC">
        <w:rPr>
          <w:rFonts w:ascii="Arial" w:eastAsia="Times New Roman" w:hAnsi="Arial" w:cs="Arial"/>
          <w:sz w:val="24"/>
          <w:szCs w:val="24"/>
          <w:lang w:val="es-ES" w:eastAsia="es-ES"/>
        </w:rPr>
        <w:t xml:space="preserve">l Director de Asuntos Jurídicos del H. Ayuntamiento de San Luis Potosí, </w:t>
      </w:r>
      <w:r w:rsidRPr="00FC5BE9">
        <w:rPr>
          <w:rFonts w:ascii="Arial" w:eastAsia="Arial Unicode MS" w:hAnsi="Arial" w:cs="Arial"/>
          <w:sz w:val="24"/>
          <w:szCs w:val="24"/>
        </w:rPr>
        <w:t>se encuentra legalmente acreditada, con la copia certificada de su nombramiento, visible en fojas 5</w:t>
      </w:r>
      <w:r w:rsidR="009274CC">
        <w:rPr>
          <w:rFonts w:ascii="Arial" w:eastAsia="Arial Unicode MS" w:hAnsi="Arial" w:cs="Arial"/>
          <w:sz w:val="24"/>
          <w:szCs w:val="24"/>
        </w:rPr>
        <w:t>0</w:t>
      </w:r>
      <w:r w:rsidRPr="00FC5BE9">
        <w:rPr>
          <w:rFonts w:ascii="Arial" w:eastAsia="Arial Unicode MS" w:hAnsi="Arial" w:cs="Arial"/>
          <w:sz w:val="24"/>
          <w:szCs w:val="24"/>
        </w:rPr>
        <w:t xml:space="preserve"> del sumario, conforme a lo establecido por el numeral 220 del Código Procesal Administrativo para el Estado de San Luis Potosí.</w:t>
      </w:r>
    </w:p>
    <w:p w:rsidR="009274CC" w:rsidRDefault="009274CC" w:rsidP="00FC5BE9">
      <w:pPr>
        <w:tabs>
          <w:tab w:val="left" w:pos="2835"/>
        </w:tabs>
        <w:spacing w:after="0" w:line="360" w:lineRule="auto"/>
        <w:ind w:firstLine="709"/>
        <w:jc w:val="both"/>
        <w:rPr>
          <w:rFonts w:ascii="Arial" w:eastAsia="Arial Unicode MS" w:hAnsi="Arial" w:cs="Arial"/>
          <w:sz w:val="24"/>
          <w:szCs w:val="24"/>
        </w:rPr>
      </w:pPr>
    </w:p>
    <w:p w:rsidR="009274CC" w:rsidRDefault="009274CC" w:rsidP="00FC5BE9">
      <w:pPr>
        <w:tabs>
          <w:tab w:val="left" w:pos="2835"/>
        </w:tabs>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Asimismo, la personalidad del Síndico Municipal y Representante Legal del H. Ayuntamiento de San Luis Potosí, </w:t>
      </w:r>
      <w:r w:rsidR="00EA3770">
        <w:rPr>
          <w:rFonts w:ascii="Arial" w:eastAsia="Arial Unicode MS" w:hAnsi="Arial" w:cs="Arial"/>
          <w:sz w:val="24"/>
          <w:szCs w:val="24"/>
        </w:rPr>
        <w:t>se encuentra acreditada con la publicación de la Edición Extraordinaria del Periódico Oficial del Estado, publicado el 03 de octubre de 2024, en el que consta la Declaración de Validez de la Elección de los 58 Ayuntamientos del Estado de San Luis Potosí, para el Periodo Constitucional comprendido entre el 1º de octubre del año 2024 al 30 de septiembre del año 2027</w:t>
      </w:r>
      <w:r w:rsidR="00FC5BDD">
        <w:rPr>
          <w:rFonts w:ascii="Arial" w:eastAsia="Arial Unicode MS" w:hAnsi="Arial" w:cs="Arial"/>
          <w:sz w:val="24"/>
          <w:szCs w:val="24"/>
        </w:rPr>
        <w:t>, lo anterior, de conformidad con el artículo 220 del Código Procesal Administrativo para el Estado de San Luis Potosí.</w:t>
      </w:r>
    </w:p>
    <w:p w:rsidR="00FC5BE9" w:rsidRPr="00FC5BE9" w:rsidRDefault="00FC5BE9" w:rsidP="00FC5BE9">
      <w:pPr>
        <w:tabs>
          <w:tab w:val="left" w:pos="2835"/>
        </w:tabs>
        <w:spacing w:after="0" w:line="360" w:lineRule="auto"/>
        <w:ind w:firstLine="709"/>
        <w:jc w:val="both"/>
        <w:rPr>
          <w:rFonts w:ascii="Arial" w:eastAsia="Arial Unicode MS" w:hAnsi="Arial" w:cs="Arial"/>
          <w:sz w:val="24"/>
          <w:szCs w:val="24"/>
        </w:rPr>
      </w:pPr>
    </w:p>
    <w:p w:rsidR="00FC5BE9" w:rsidRPr="00FC5BE9" w:rsidRDefault="00FC5BE9" w:rsidP="00FC5BE9">
      <w:pPr>
        <w:tabs>
          <w:tab w:val="left" w:pos="2835"/>
        </w:tabs>
        <w:spacing w:after="0" w:line="360" w:lineRule="auto"/>
        <w:ind w:firstLine="709"/>
        <w:jc w:val="both"/>
        <w:rPr>
          <w:rFonts w:ascii="Arial" w:eastAsia="Times New Roman" w:hAnsi="Arial" w:cs="Arial"/>
          <w:sz w:val="24"/>
          <w:szCs w:val="24"/>
          <w:lang w:val="es-ES" w:eastAsia="es-ES"/>
        </w:rPr>
      </w:pPr>
      <w:r w:rsidRPr="00FC5BE9">
        <w:rPr>
          <w:rFonts w:ascii="Arial" w:eastAsia="Calibri" w:hAnsi="Arial" w:cs="Arial"/>
          <w:sz w:val="24"/>
          <w:szCs w:val="24"/>
        </w:rPr>
        <w:t xml:space="preserve">Las documentales </w:t>
      </w:r>
      <w:r w:rsidRPr="00FC5BE9">
        <w:rPr>
          <w:rFonts w:ascii="Arial" w:eastAsia="Times New Roman" w:hAnsi="Arial" w:cs="Arial"/>
          <w:sz w:val="24"/>
          <w:szCs w:val="24"/>
          <w:lang w:val="es-ES" w:eastAsia="es-ES"/>
        </w:rPr>
        <w:t xml:space="preserve">anteriormente referidas, adquieren </w:t>
      </w:r>
      <w:r w:rsidRPr="00FC5BE9">
        <w:rPr>
          <w:rFonts w:ascii="Arial" w:eastAsia="Calibri" w:hAnsi="Arial" w:cs="Arial"/>
          <w:sz w:val="24"/>
          <w:szCs w:val="24"/>
        </w:rPr>
        <w:t xml:space="preserve">valor probatorio pleno de acuerdo con </w:t>
      </w:r>
      <w:r w:rsidRPr="00FC5BE9">
        <w:rPr>
          <w:rFonts w:ascii="Arial" w:eastAsia="Times New Roman" w:hAnsi="Arial" w:cs="Arial"/>
          <w:sz w:val="24"/>
          <w:szCs w:val="24"/>
          <w:lang w:val="es-ES" w:eastAsia="es-ES"/>
        </w:rPr>
        <w:t>los artículos 72 fracción I, 74 y 91 del Código Procesal Administrativo para el Estado, por tratarse de documentos públicos expedidos por servidor y fedatario públicos, en el desempeño de sus respectivas funciones.</w:t>
      </w:r>
    </w:p>
    <w:p w:rsidR="00FC5BE9" w:rsidRPr="00FC5BE9" w:rsidRDefault="00FC5BE9" w:rsidP="00FC5BE9">
      <w:pPr>
        <w:spacing w:after="0" w:line="360" w:lineRule="auto"/>
        <w:ind w:firstLine="709"/>
        <w:jc w:val="both"/>
        <w:rPr>
          <w:rFonts w:ascii="Arial" w:eastAsia="Arial Unicode MS" w:hAnsi="Arial" w:cs="Arial"/>
          <w:b/>
          <w:sz w:val="24"/>
          <w:szCs w:val="24"/>
        </w:rPr>
      </w:pPr>
    </w:p>
    <w:p w:rsidR="00FC5BE9" w:rsidRPr="00FC5BE9" w:rsidRDefault="00FC5BE9" w:rsidP="00FC5BDD">
      <w:pPr>
        <w:spacing w:after="0" w:line="360" w:lineRule="auto"/>
        <w:ind w:firstLine="709"/>
        <w:jc w:val="both"/>
        <w:rPr>
          <w:rFonts w:ascii="Arial" w:eastAsia="Calibri" w:hAnsi="Arial" w:cs="Arial"/>
          <w:sz w:val="24"/>
          <w:szCs w:val="24"/>
        </w:rPr>
      </w:pPr>
      <w:r w:rsidRPr="00FC5BE9">
        <w:rPr>
          <w:rFonts w:ascii="Arial" w:eastAsia="Arial Unicode MS" w:hAnsi="Arial" w:cs="Arial"/>
          <w:b/>
          <w:sz w:val="24"/>
          <w:szCs w:val="24"/>
        </w:rPr>
        <w:t>TERCERO.-</w:t>
      </w:r>
      <w:r w:rsidRPr="00FC5BE9">
        <w:rPr>
          <w:rFonts w:ascii="Arial" w:eastAsia="Arial Unicode MS" w:hAnsi="Arial" w:cs="Arial"/>
          <w:sz w:val="24"/>
          <w:szCs w:val="24"/>
        </w:rPr>
        <w:t xml:space="preserve"> </w:t>
      </w:r>
      <w:r w:rsidRPr="00FC5BE9">
        <w:rPr>
          <w:rFonts w:ascii="Arial" w:eastAsia="Calibri" w:hAnsi="Arial" w:cs="Arial"/>
          <w:sz w:val="24"/>
          <w:szCs w:val="24"/>
        </w:rPr>
        <w:t xml:space="preserve">La litis de la presente controversia, consiste en determinar la legalidad o ilegalidad de la Resolución contenida en el oficio número </w:t>
      </w:r>
      <w:r w:rsidR="00FC5BDD">
        <w:rPr>
          <w:rFonts w:ascii="Arial" w:eastAsia="Calibri" w:hAnsi="Arial" w:cs="Arial"/>
          <w:sz w:val="24"/>
          <w:szCs w:val="24"/>
        </w:rPr>
        <w:t>SIN/209/BIS/2024, de fecha nueve de diciembre de dos mil veinticuatro, emitido por el Síndico Municipal del H. Ayuntamiento de San Luis Potosí</w:t>
      </w:r>
      <w:r w:rsidRPr="00FC5BE9">
        <w:rPr>
          <w:rFonts w:ascii="Arial" w:eastAsia="Calibri" w:hAnsi="Arial" w:cs="Arial"/>
          <w:sz w:val="24"/>
          <w:szCs w:val="24"/>
        </w:rPr>
        <w:t xml:space="preserve">, en el cual le da respuesta al escrito </w:t>
      </w:r>
      <w:r w:rsidR="00FC5BDD">
        <w:rPr>
          <w:rFonts w:ascii="Arial" w:eastAsia="Calibri" w:hAnsi="Arial" w:cs="Arial"/>
          <w:sz w:val="24"/>
          <w:szCs w:val="24"/>
        </w:rPr>
        <w:t xml:space="preserve">dirigido al Presidente Municipal, con atención a dicho funcionario, el cual fue recibido por esa Sindicatura, en el que hace alusión a un bien inmueble que refiere fue </w:t>
      </w:r>
      <w:r w:rsidR="00FC5BDD">
        <w:rPr>
          <w:rFonts w:ascii="Arial" w:eastAsia="Calibri" w:hAnsi="Arial" w:cs="Arial"/>
          <w:sz w:val="24"/>
          <w:szCs w:val="24"/>
        </w:rPr>
        <w:lastRenderedPageBreak/>
        <w:t xml:space="preserve">adquirido en copropiedad con sus hermanos y mediante el cual solicita se le proporcione información donde se indique el nombre del supuesto diverso propietario con la debida documentación que ampare su propiedad </w:t>
      </w:r>
      <w:r w:rsidRPr="00FC5BE9">
        <w:rPr>
          <w:rFonts w:ascii="Arial" w:eastAsia="Calibri" w:hAnsi="Arial" w:cs="Arial"/>
          <w:sz w:val="24"/>
          <w:szCs w:val="24"/>
        </w:rPr>
        <w:t xml:space="preserve">y en el que se le informa lo que en forma  medular refiere: </w:t>
      </w:r>
    </w:p>
    <w:p w:rsidR="00FC5BE9" w:rsidRPr="00FC5BE9" w:rsidRDefault="00FC5BE9" w:rsidP="00FC5BE9">
      <w:pPr>
        <w:spacing w:after="0" w:line="360" w:lineRule="auto"/>
        <w:ind w:firstLine="709"/>
        <w:jc w:val="both"/>
        <w:rPr>
          <w:rFonts w:ascii="Arial" w:eastAsia="Calibri" w:hAnsi="Arial" w:cs="Arial"/>
          <w:sz w:val="24"/>
          <w:szCs w:val="24"/>
        </w:rPr>
      </w:pPr>
    </w:p>
    <w:p w:rsidR="00FC5BDD" w:rsidRDefault="00FC5BE9" w:rsidP="00FC5BE9">
      <w:pPr>
        <w:spacing w:after="0"/>
        <w:ind w:firstLine="709"/>
        <w:jc w:val="both"/>
        <w:rPr>
          <w:rFonts w:ascii="Arial" w:eastAsia="Calibri" w:hAnsi="Arial" w:cs="Arial"/>
          <w:i/>
        </w:rPr>
      </w:pPr>
      <w:r w:rsidRPr="00FC5BE9">
        <w:rPr>
          <w:rFonts w:ascii="Arial" w:eastAsia="Calibri" w:hAnsi="Arial" w:cs="Arial"/>
          <w:i/>
        </w:rPr>
        <w:t>“…</w:t>
      </w:r>
      <w:r w:rsidR="00FC5BDD">
        <w:rPr>
          <w:rFonts w:ascii="Arial" w:eastAsia="Calibri" w:hAnsi="Arial" w:cs="Arial"/>
          <w:i/>
        </w:rPr>
        <w:t>Que de los antecedentes que se encuentran dentro del padrón de la Dirección de Catastro, existe una inscripción a favor de una tercera persona, por lo que en ese sentido y con el fin de no  trasgredir la esfera jurídica de la misma, no se le puede brindar la información alguna, lo anterior de conformidad con el artículo 98 de la Ley de Protección de Datos Personales en Posesión de los Sujetos Obligados del Estado de San Luis Potosí, se deberá otorgar el tratamiento y protección a la documentación que contenga datos personales de particulares…”</w:t>
      </w:r>
    </w:p>
    <w:p w:rsidR="00FC5BDD" w:rsidRDefault="00FC5BDD" w:rsidP="00FC5BE9">
      <w:pPr>
        <w:spacing w:after="0"/>
        <w:ind w:firstLine="709"/>
        <w:jc w:val="both"/>
        <w:rPr>
          <w:rFonts w:ascii="Arial" w:eastAsia="Calibri" w:hAnsi="Arial" w:cs="Arial"/>
          <w:i/>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sz w:val="24"/>
          <w:szCs w:val="24"/>
        </w:rPr>
        <w:t>Acto el cual fue exhibido por la parte accionante, y que obra en fojas 2</w:t>
      </w:r>
      <w:r w:rsidR="00FC5BDD">
        <w:rPr>
          <w:rFonts w:ascii="Arial" w:eastAsia="Calibri" w:hAnsi="Arial" w:cs="Arial"/>
          <w:sz w:val="24"/>
          <w:szCs w:val="24"/>
        </w:rPr>
        <w:t>4</w:t>
      </w:r>
      <w:r w:rsidRPr="00FC5BE9">
        <w:rPr>
          <w:rFonts w:ascii="Arial" w:eastAsia="Calibri" w:hAnsi="Arial" w:cs="Arial"/>
          <w:sz w:val="24"/>
          <w:szCs w:val="24"/>
        </w:rPr>
        <w:t xml:space="preserve"> de este sumario, conforme lo dispuesto por los numerales 233 </w:t>
      </w:r>
      <w:proofErr w:type="gramStart"/>
      <w:r w:rsidRPr="00FC5BE9">
        <w:rPr>
          <w:rFonts w:ascii="Arial" w:eastAsia="Calibri" w:hAnsi="Arial" w:cs="Arial"/>
          <w:sz w:val="24"/>
          <w:szCs w:val="24"/>
        </w:rPr>
        <w:t>fracción</w:t>
      </w:r>
      <w:proofErr w:type="gramEnd"/>
      <w:r w:rsidRPr="00FC5BE9">
        <w:rPr>
          <w:rFonts w:ascii="Arial" w:eastAsia="Calibri" w:hAnsi="Arial" w:cs="Arial"/>
          <w:sz w:val="24"/>
          <w:szCs w:val="24"/>
        </w:rPr>
        <w:t xml:space="preserve"> IV y 234 fracción II del Código Procesal Administrativo para el Estado.</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Pr="00FC5BE9" w:rsidRDefault="00FC5BE9" w:rsidP="00FC5BE9">
      <w:pPr>
        <w:spacing w:after="0" w:line="360" w:lineRule="auto"/>
        <w:ind w:firstLine="709"/>
        <w:jc w:val="both"/>
        <w:rPr>
          <w:rFonts w:ascii="Arial" w:eastAsia="Calibri" w:hAnsi="Arial" w:cs="Arial"/>
          <w:bCs/>
          <w:iCs/>
          <w:sz w:val="24"/>
          <w:szCs w:val="24"/>
        </w:rPr>
      </w:pPr>
      <w:r w:rsidRPr="00FC5BE9">
        <w:rPr>
          <w:rFonts w:ascii="Arial" w:eastAsia="Arial Unicode MS" w:hAnsi="Arial" w:cs="Arial"/>
          <w:b/>
          <w:sz w:val="24"/>
          <w:szCs w:val="24"/>
        </w:rPr>
        <w:t>CUARTO.-</w:t>
      </w:r>
      <w:r w:rsidRPr="00FC5BE9">
        <w:rPr>
          <w:rFonts w:ascii="Arial" w:eastAsia="Arial Unicode MS" w:hAnsi="Arial" w:cs="Arial"/>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 </w:t>
      </w:r>
      <w:r w:rsidRPr="00FC5BE9">
        <w:rPr>
          <w:rFonts w:ascii="Arial" w:eastAsia="Calibri" w:hAnsi="Arial" w:cs="Arial"/>
          <w:sz w:val="24"/>
          <w:szCs w:val="24"/>
        </w:rPr>
        <w:t xml:space="preserve">habida cuenta que, </w:t>
      </w:r>
      <w:r w:rsidRPr="00FC5BE9">
        <w:rPr>
          <w:rFonts w:ascii="Arial" w:eastAsia="Calibri" w:hAnsi="Arial" w:cs="Arial"/>
          <w:bCs/>
          <w:iCs/>
          <w:sz w:val="24"/>
          <w:szCs w:val="24"/>
        </w:rPr>
        <w:t xml:space="preserve">la improcedencia y sobreseimiento de la acción se traduce en la imposibilidad jurídica de que el órgano jurisdiccional estudie y decida dicha cuestión, absteniéndose obligatoriamente a resolver sobre el fondo de la controversia. </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sz w:val="24"/>
          <w:szCs w:val="24"/>
        </w:rPr>
        <w:t xml:space="preserve">Es aplicable al efecto, la siguiente Tesis Aislada del </w:t>
      </w:r>
      <w:r w:rsidRPr="00FC5BE9">
        <w:rPr>
          <w:rFonts w:ascii="Arial" w:eastAsia="Calibri" w:hAnsi="Arial" w:cs="Arial"/>
          <w:sz w:val="24"/>
          <w:szCs w:val="24"/>
          <w:lang w:val="es-ES"/>
        </w:rPr>
        <w:t>Cuarto Tribunal Colegiado en Materia Administrativa del Primer Circuito</w:t>
      </w:r>
      <w:r w:rsidRPr="00FC5BE9">
        <w:rPr>
          <w:rFonts w:ascii="Arial" w:eastAsia="Calibri" w:hAnsi="Arial" w:cs="Arial"/>
          <w:sz w:val="24"/>
          <w:szCs w:val="24"/>
        </w:rPr>
        <w:t xml:space="preserve">, Época: Octava Época, Registro: 221332, Instancia: Tribunales Colegiados de Circuito, Fuente: Semanario Judicial de la Federación, Tesis Aislada, Materia(s): Administrativa, VIII, Noviembre de 1991, Página: 185, que dice: </w:t>
      </w:r>
    </w:p>
    <w:p w:rsidR="00FC5BE9" w:rsidRPr="00FC5BE9" w:rsidRDefault="00FC5BE9" w:rsidP="00FC5BE9">
      <w:pPr>
        <w:autoSpaceDE w:val="0"/>
        <w:autoSpaceDN w:val="0"/>
        <w:adjustRightInd w:val="0"/>
        <w:spacing w:after="0"/>
        <w:ind w:left="709"/>
        <w:jc w:val="both"/>
        <w:rPr>
          <w:rFonts w:ascii="Arial" w:eastAsia="Calibri" w:hAnsi="Arial" w:cs="Arial"/>
          <w:b/>
          <w:bCs/>
          <w:i/>
        </w:rPr>
      </w:pPr>
    </w:p>
    <w:p w:rsidR="00FC5BE9" w:rsidRPr="00FC5BE9" w:rsidRDefault="00FC5BE9" w:rsidP="00FC5BE9">
      <w:pPr>
        <w:autoSpaceDE w:val="0"/>
        <w:autoSpaceDN w:val="0"/>
        <w:adjustRightInd w:val="0"/>
        <w:spacing w:after="0"/>
        <w:ind w:left="709"/>
        <w:jc w:val="both"/>
        <w:rPr>
          <w:rFonts w:ascii="Arial" w:eastAsia="Times New Roman" w:hAnsi="Arial" w:cs="Arial"/>
          <w:i/>
          <w:lang w:val="es-ES" w:eastAsia="es-ES"/>
        </w:rPr>
      </w:pPr>
      <w:r w:rsidRPr="00FC5BE9">
        <w:rPr>
          <w:rFonts w:ascii="Arial" w:eastAsia="Calibri" w:hAnsi="Arial" w:cs="Arial"/>
          <w:b/>
          <w:bCs/>
          <w:i/>
        </w:rPr>
        <w:t>“CONTENCIOSO ADMINISTRATIVO,</w:t>
      </w:r>
      <w:r w:rsidRPr="00FC5BE9">
        <w:rPr>
          <w:rFonts w:ascii="Arial" w:eastAsia="Calibri" w:hAnsi="Arial" w:cs="Arial"/>
          <w:bCs/>
          <w:i/>
        </w:rPr>
        <w:t xml:space="preserve"> </w:t>
      </w:r>
      <w:r w:rsidRPr="00FC5BE9">
        <w:rPr>
          <w:rFonts w:ascii="Arial" w:eastAsia="Calibri" w:hAnsi="Arial" w:cs="Arial"/>
          <w:b/>
          <w:bCs/>
          <w:i/>
        </w:rPr>
        <w:t>IMPROCEDENCIA</w:t>
      </w:r>
      <w:r w:rsidRPr="00FC5BE9">
        <w:rPr>
          <w:rFonts w:ascii="Arial" w:eastAsia="Calibri" w:hAnsi="Arial" w:cs="Arial"/>
          <w:bCs/>
          <w:i/>
        </w:rPr>
        <w:t xml:space="preserve"> </w:t>
      </w:r>
      <w:r w:rsidRPr="00FC5BE9">
        <w:rPr>
          <w:rFonts w:ascii="Arial" w:eastAsia="Calibri" w:hAnsi="Arial" w:cs="Arial"/>
          <w:b/>
          <w:bCs/>
          <w:i/>
        </w:rPr>
        <w:t>DEL JUICIO, ANTE EL TRIBUNAL FISCAL. CONCEPTO</w:t>
      </w:r>
      <w:r w:rsidRPr="00FC5BE9">
        <w:rPr>
          <w:rFonts w:ascii="Arial" w:eastAsia="Calibri" w:hAnsi="Arial" w:cs="Arial"/>
          <w:bCs/>
          <w:i/>
        </w:rPr>
        <w:t xml:space="preserve"> </w:t>
      </w:r>
      <w:r w:rsidRPr="00FC5BE9">
        <w:rPr>
          <w:rFonts w:ascii="Arial" w:eastAsia="Calibri" w:hAnsi="Arial" w:cs="Arial"/>
          <w:b/>
          <w:bCs/>
          <w:i/>
        </w:rPr>
        <w:t>JURIDICO.</w:t>
      </w:r>
      <w:r w:rsidRPr="00FC5BE9">
        <w:rPr>
          <w:rFonts w:ascii="Arial" w:eastAsia="Calibri" w:hAnsi="Arial" w:cs="Arial"/>
          <w:i/>
        </w:rPr>
        <w:t xml:space="preserve"> Las causas de improcedencia que determina la ley de la materia, ven o se refieren a la procedencia del juicio mismo, esto es, los motivos de improcedencia son en cuanto a que </w:t>
      </w:r>
      <w:r w:rsidRPr="00FC5BE9">
        <w:rPr>
          <w:rFonts w:ascii="Arial" w:eastAsia="Calibri" w:hAnsi="Arial" w:cs="Arial"/>
          <w:bCs/>
          <w:i/>
          <w:iCs/>
        </w:rPr>
        <w:t>la acción en sí misma considerada no procede por las causas específicas consignadas en la ley;</w:t>
      </w:r>
      <w:r w:rsidRPr="00FC5BE9">
        <w:rPr>
          <w:rFonts w:ascii="Arial" w:eastAsia="Calibri" w:hAnsi="Arial" w:cs="Arial"/>
          <w:i/>
        </w:rPr>
        <w:t xml:space="preserve"> es verdad que las causas de improcedencia dan lugar al </w:t>
      </w:r>
      <w:r w:rsidRPr="00FC5BE9">
        <w:rPr>
          <w:rFonts w:ascii="Arial" w:eastAsia="Calibri" w:hAnsi="Arial" w:cs="Arial"/>
          <w:bCs/>
          <w:i/>
          <w:iCs/>
        </w:rPr>
        <w:t>sobreseimiento,</w:t>
      </w:r>
      <w:r w:rsidRPr="00FC5BE9">
        <w:rPr>
          <w:rFonts w:ascii="Arial" w:eastAsia="Calibri" w:hAnsi="Arial" w:cs="Arial"/>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FC5BE9">
          <w:rPr>
            <w:rFonts w:ascii="Arial" w:eastAsia="Calibri" w:hAnsi="Arial" w:cs="Arial"/>
            <w:i/>
          </w:rPr>
          <w:t>la Federación</w:t>
        </w:r>
      </w:smartTag>
      <w:r w:rsidRPr="00FC5BE9">
        <w:rPr>
          <w:rFonts w:ascii="Arial" w:eastAsia="Calibri" w:hAnsi="Arial" w:cs="Arial"/>
          <w:i/>
        </w:rPr>
        <w:t xml:space="preserve">, procede el sobreseimiento por desistimiento del demandante, lo anterior, no significa </w:t>
      </w:r>
      <w:r w:rsidRPr="00FC5BE9">
        <w:rPr>
          <w:rFonts w:ascii="Arial" w:eastAsia="Calibri" w:hAnsi="Arial" w:cs="Arial"/>
          <w:i/>
        </w:rPr>
        <w:lastRenderedPageBreak/>
        <w:t xml:space="preserve">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FC5BE9">
        <w:rPr>
          <w:rFonts w:ascii="Arial" w:eastAsia="Calibri" w:hAnsi="Arial"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FC5BE9">
        <w:rPr>
          <w:rFonts w:ascii="Arial" w:eastAsia="Calibri" w:hAnsi="Arial" w:cs="Arial"/>
          <w:bCs/>
          <w:i/>
        </w:rPr>
        <w:t xml:space="preserve"> y principalmente </w:t>
      </w:r>
      <w:r w:rsidRPr="00FC5BE9">
        <w:rPr>
          <w:rFonts w:ascii="Arial" w:eastAsia="Calibri" w:hAnsi="Arial" w:cs="Arial"/>
          <w:bCs/>
          <w:i/>
          <w:iCs/>
        </w:rPr>
        <w:t>por existir un impedimento</w:t>
      </w:r>
      <w:r w:rsidRPr="00FC5BE9">
        <w:rPr>
          <w:rFonts w:ascii="Arial" w:eastAsia="Calibri" w:hAnsi="Arial" w:cs="Arial"/>
          <w:i/>
        </w:rPr>
        <w:t xml:space="preserve"> para que el órgano jurisdiccional competente analice y resuelva sobre la cuestión debatida. </w:t>
      </w:r>
      <w:r w:rsidRPr="00FC5BE9">
        <w:rPr>
          <w:rFonts w:ascii="Arial" w:eastAsia="Calibri" w:hAnsi="Arial" w:cs="Arial"/>
          <w:bCs/>
          <w:i/>
          <w:iCs/>
        </w:rPr>
        <w:t>En resumen, la improcedencia de la acción se traduce en la imposibilidad jurídica de que el órgano jurisdiccional estudie y decida dicha cuestión, absteniéndose obligatoriamente a resolver sobre el fondo de la controversia. ..</w:t>
      </w:r>
      <w:r w:rsidRPr="00FC5BE9">
        <w:rPr>
          <w:rFonts w:ascii="Arial" w:eastAsia="Times New Roman" w:hAnsi="Arial" w:cs="Arial"/>
          <w:i/>
          <w:lang w:val="es-ES" w:eastAsia="es-ES"/>
        </w:rPr>
        <w:t>.”</w:t>
      </w:r>
    </w:p>
    <w:p w:rsidR="00FC5BE9" w:rsidRPr="00FC5BE9" w:rsidRDefault="00FC5BE9" w:rsidP="00FC5BE9">
      <w:pPr>
        <w:spacing w:after="0" w:line="360" w:lineRule="auto"/>
        <w:ind w:firstLine="709"/>
        <w:jc w:val="both"/>
        <w:rPr>
          <w:rFonts w:ascii="Arial" w:eastAsia="Calibri" w:hAnsi="Arial" w:cs="Arial"/>
          <w:bCs/>
          <w:iCs/>
          <w:sz w:val="24"/>
          <w:szCs w:val="24"/>
        </w:rPr>
      </w:pPr>
    </w:p>
    <w:p w:rsidR="00026045" w:rsidRDefault="00026045" w:rsidP="00026045">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b/>
          <w:sz w:val="24"/>
          <w:szCs w:val="24"/>
          <w:lang w:val="es-ES" w:eastAsia="es-ES"/>
        </w:rPr>
        <w:t>En ese tenor, se tiene que el Director de Asuntos Jurídicos del H. Ayuntamiento de San Luis Potosí, a</w:t>
      </w:r>
      <w:r w:rsidR="00FC5BE9" w:rsidRPr="00FC5BE9">
        <w:rPr>
          <w:rFonts w:ascii="Arial" w:eastAsia="Times New Roman" w:hAnsi="Arial" w:cs="Arial"/>
          <w:sz w:val="24"/>
          <w:szCs w:val="24"/>
          <w:lang w:val="es-ES" w:eastAsia="es-ES"/>
        </w:rPr>
        <w:t xml:space="preserve">l producir su contestación, </w:t>
      </w:r>
      <w:r>
        <w:rPr>
          <w:rFonts w:ascii="Arial" w:eastAsia="Times New Roman" w:hAnsi="Arial" w:cs="Arial"/>
          <w:sz w:val="24"/>
          <w:szCs w:val="24"/>
          <w:lang w:val="es-ES" w:eastAsia="es-ES"/>
        </w:rPr>
        <w:t>señala que debe sobreseerse el juicio, con respecto a los actos que se reclaman del Presidente Municipal, pues no existen los actos que reclaman los dolientes en su escrito inicial de demanda, pues no se ha dispuesto ni expedido determinación alguna de su parte.</w:t>
      </w:r>
    </w:p>
    <w:p w:rsidR="00026045" w:rsidRDefault="00026045" w:rsidP="00026045">
      <w:pPr>
        <w:spacing w:after="0" w:line="360" w:lineRule="auto"/>
        <w:ind w:firstLine="709"/>
        <w:jc w:val="both"/>
        <w:rPr>
          <w:rFonts w:ascii="Arial" w:eastAsia="Times New Roman" w:hAnsi="Arial" w:cs="Arial"/>
          <w:sz w:val="24"/>
          <w:szCs w:val="24"/>
          <w:lang w:val="es-ES" w:eastAsia="es-ES"/>
        </w:rPr>
      </w:pPr>
    </w:p>
    <w:p w:rsidR="00026045" w:rsidRDefault="00026045" w:rsidP="00026045">
      <w:pPr>
        <w:spacing w:after="0" w:line="360" w:lineRule="auto"/>
        <w:ind w:firstLine="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Lo que resulta infundado, en virtud de que la solicitud formulada por la aquí actora </w:t>
      </w:r>
      <w:r w:rsidR="006E2263">
        <w:rPr>
          <w:rFonts w:ascii="Arial" w:eastAsia="Times New Roman" w:hAnsi="Arial" w:cs="Arial"/>
          <w:color w:val="FF0000"/>
          <w:sz w:val="24"/>
          <w:szCs w:val="24"/>
          <w:lang w:val="es-ES" w:eastAsia="es-ES"/>
        </w:rPr>
        <w:t>**********</w:t>
      </w:r>
      <w:r>
        <w:rPr>
          <w:rFonts w:ascii="Arial" w:eastAsia="Times New Roman" w:hAnsi="Arial" w:cs="Arial"/>
          <w:sz w:val="24"/>
          <w:szCs w:val="24"/>
          <w:lang w:val="es-ES" w:eastAsia="es-ES"/>
        </w:rPr>
        <w:t>, se dirige al Presidente Municipal del H. Ayuntamiento de San Luis Potosí, mismo que fue debidamente recibido por esa autoridad, según se advierte a fojas 26 a 28 de autos, con fecha 6 de marzo de 2024 y si bien, la solicitud fue contestada por el Síndico Municipal demandado, también lo es que dicha petición se dirige al Presidente Municipal, por lo que si tiene int</w:t>
      </w:r>
      <w:r w:rsidR="002B2C93">
        <w:rPr>
          <w:rFonts w:ascii="Arial" w:eastAsia="Times New Roman" w:hAnsi="Arial" w:cs="Arial"/>
          <w:sz w:val="24"/>
          <w:szCs w:val="24"/>
          <w:lang w:val="es-ES" w:eastAsia="es-ES"/>
        </w:rPr>
        <w:t xml:space="preserve">ervención en el presente asunto, razón por la cual </w:t>
      </w:r>
      <w:r w:rsidR="00663DBD">
        <w:rPr>
          <w:rFonts w:ascii="Arial" w:eastAsia="Times New Roman" w:hAnsi="Arial" w:cs="Arial"/>
          <w:sz w:val="24"/>
          <w:szCs w:val="24"/>
          <w:lang w:val="es-ES" w:eastAsia="es-ES"/>
        </w:rPr>
        <w:t>resulta</w:t>
      </w:r>
      <w:r w:rsidR="002B2C93">
        <w:rPr>
          <w:rFonts w:ascii="Arial" w:eastAsia="Times New Roman" w:hAnsi="Arial" w:cs="Arial"/>
          <w:sz w:val="24"/>
          <w:szCs w:val="24"/>
          <w:lang w:val="es-ES" w:eastAsia="es-ES"/>
        </w:rPr>
        <w:t xml:space="preserve"> infundada la causal a estudio.</w:t>
      </w:r>
    </w:p>
    <w:p w:rsidR="00026045" w:rsidRDefault="00026045" w:rsidP="00026045">
      <w:pPr>
        <w:spacing w:after="0" w:line="360" w:lineRule="auto"/>
        <w:ind w:firstLine="709"/>
        <w:jc w:val="both"/>
        <w:rPr>
          <w:rFonts w:ascii="Arial" w:eastAsia="Times New Roman" w:hAnsi="Arial" w:cs="Arial"/>
          <w:sz w:val="24"/>
          <w:szCs w:val="24"/>
          <w:lang w:val="es-ES" w:eastAsia="es-ES"/>
        </w:rPr>
      </w:pPr>
    </w:p>
    <w:p w:rsidR="00FC5BE9" w:rsidRPr="00FC5BE9" w:rsidRDefault="00026045" w:rsidP="00026045">
      <w:pPr>
        <w:spacing w:after="0" w:line="360" w:lineRule="auto"/>
        <w:ind w:firstLine="709"/>
        <w:jc w:val="both"/>
        <w:rPr>
          <w:rFonts w:ascii="Arial" w:eastAsia="Calibri" w:hAnsi="Arial" w:cs="Arial"/>
          <w:sz w:val="24"/>
          <w:szCs w:val="24"/>
        </w:rPr>
      </w:pPr>
      <w:r>
        <w:rPr>
          <w:rFonts w:ascii="Arial" w:eastAsia="Calibri" w:hAnsi="Arial" w:cs="Arial"/>
          <w:sz w:val="24"/>
          <w:szCs w:val="24"/>
        </w:rPr>
        <w:t xml:space="preserve">Por otra parte, el Síndico Municipal del H. Ayuntamiento de San Luis Potosí, al producir su contestación de demanda, </w:t>
      </w:r>
      <w:r w:rsidR="005315B0">
        <w:rPr>
          <w:rFonts w:ascii="Arial" w:eastAsia="Calibri" w:hAnsi="Arial" w:cs="Arial"/>
          <w:sz w:val="24"/>
          <w:szCs w:val="24"/>
        </w:rPr>
        <w:t xml:space="preserve">hace valer las causales previstas en los artículos 228, fracción X y 229, fracción II del Código Procesal Administrativo para el Estado de San Luis Potosí, en relación con el artículo 7º de la Ley Orgánica del Tribunal Estatal de Justicia Administrativa, ello en razón de que el acto impugnado no se configura como una </w:t>
      </w:r>
      <w:r w:rsidR="004957C5">
        <w:rPr>
          <w:rFonts w:ascii="Arial" w:eastAsia="Calibri" w:hAnsi="Arial" w:cs="Arial"/>
          <w:sz w:val="24"/>
          <w:szCs w:val="24"/>
        </w:rPr>
        <w:t>a</w:t>
      </w:r>
      <w:r w:rsidR="005315B0">
        <w:rPr>
          <w:rFonts w:ascii="Arial" w:eastAsia="Calibri" w:hAnsi="Arial" w:cs="Arial"/>
          <w:sz w:val="24"/>
          <w:szCs w:val="24"/>
        </w:rPr>
        <w:t xml:space="preserve">cto administrativo definitivo, y ser distinto de los actos y resoluciones enunciados en el indicado artículo 7º de la misma Ley Orgánica, que con la respuesta impugnada, no puso a fin ningún procedimiento administrativo, ni resolvió de ninguna manera crear o imponer obligaciones o conceder derechos a los demandantes, por el contrario, el oficio en mención se limita a dar una </w:t>
      </w:r>
      <w:r w:rsidR="005315B0">
        <w:rPr>
          <w:rFonts w:ascii="Arial" w:eastAsia="Calibri" w:hAnsi="Arial" w:cs="Arial"/>
          <w:sz w:val="24"/>
          <w:szCs w:val="24"/>
        </w:rPr>
        <w:lastRenderedPageBreak/>
        <w:t>respuesta formal derivada de una solicitud de petición formulada por un particular, lo cual no modifica o extingue derecho alguno, ni establece una situación concreta que afecte los intereses jurídicos de las actoras; asimismo propone las excepciones y defensas de Improcedencia de la acción y carencia de derecho y la de Obscuridad e irregularidad en la demanda, al considerar que la respuesta emitida se circunscribe exclusivamente al ámbito de información, sin que ello pueda considerarse como una resolución definitiva.</w:t>
      </w:r>
    </w:p>
    <w:p w:rsidR="00FC5BE9" w:rsidRPr="00FC5BE9" w:rsidRDefault="00FC5BE9" w:rsidP="00FC5BE9">
      <w:pPr>
        <w:spacing w:after="0" w:line="360" w:lineRule="auto"/>
        <w:ind w:firstLine="709"/>
        <w:jc w:val="both"/>
        <w:rPr>
          <w:rFonts w:ascii="Arial" w:eastAsia="Calibri" w:hAnsi="Arial" w:cs="Arial"/>
          <w:sz w:val="24"/>
          <w:szCs w:val="24"/>
        </w:rPr>
      </w:pPr>
    </w:p>
    <w:p w:rsidR="00FC5BE9" w:rsidRPr="00FC5BE9" w:rsidRDefault="00FC5BE9" w:rsidP="00FC5BE9">
      <w:pPr>
        <w:spacing w:after="0" w:line="360" w:lineRule="auto"/>
        <w:ind w:firstLine="709"/>
        <w:jc w:val="both"/>
        <w:rPr>
          <w:rFonts w:ascii="Times New Roman" w:eastAsia="Times New Roman" w:hAnsi="Times New Roman" w:cs="Times New Roman"/>
          <w:sz w:val="24"/>
          <w:szCs w:val="24"/>
          <w:lang w:val="es-ES" w:eastAsia="es-ES"/>
        </w:rPr>
      </w:pPr>
      <w:r w:rsidRPr="00FC5BE9">
        <w:rPr>
          <w:rFonts w:ascii="Arial" w:eastAsia="Arial Unicode MS" w:hAnsi="Arial" w:cs="Arial"/>
          <w:sz w:val="24"/>
          <w:szCs w:val="24"/>
        </w:rPr>
        <w:t xml:space="preserve">A ese respecto, cabe señalar que dichas causales y excepciones deben desestimarse, ya que contrario a lo que aduce la demandada, </w:t>
      </w:r>
      <w:r w:rsidRPr="00FC5BE9">
        <w:rPr>
          <w:rFonts w:ascii="Arial" w:eastAsia="Calibri" w:hAnsi="Arial" w:cs="Arial"/>
          <w:sz w:val="24"/>
          <w:szCs w:val="24"/>
        </w:rPr>
        <w:t>se advierte que</w:t>
      </w:r>
      <w:r w:rsidR="005315B0">
        <w:rPr>
          <w:rFonts w:ascii="Arial" w:eastAsia="Calibri" w:hAnsi="Arial" w:cs="Arial"/>
          <w:sz w:val="24"/>
          <w:szCs w:val="24"/>
        </w:rPr>
        <w:t>,</w:t>
      </w:r>
      <w:r w:rsidRPr="00FC5BE9">
        <w:rPr>
          <w:rFonts w:ascii="Arial" w:eastAsia="Calibri" w:hAnsi="Arial" w:cs="Arial"/>
          <w:sz w:val="24"/>
          <w:szCs w:val="24"/>
        </w:rPr>
        <w:t xml:space="preserve"> el acto impugnado </w:t>
      </w:r>
      <w:r w:rsidR="00DB460B">
        <w:rPr>
          <w:rFonts w:ascii="Arial" w:eastAsia="Calibri" w:hAnsi="Arial" w:cs="Arial"/>
          <w:sz w:val="24"/>
          <w:szCs w:val="24"/>
        </w:rPr>
        <w:t xml:space="preserve">lo </w:t>
      </w:r>
      <w:r w:rsidRPr="00FC5BE9">
        <w:rPr>
          <w:rFonts w:ascii="Arial" w:eastAsia="Calibri" w:hAnsi="Arial" w:cs="Arial"/>
          <w:sz w:val="24"/>
          <w:szCs w:val="24"/>
        </w:rPr>
        <w:t xml:space="preserve">constituye un acto definitivo en el cual le dan respuesta al escrito </w:t>
      </w:r>
      <w:r w:rsidR="00DB460B">
        <w:rPr>
          <w:rFonts w:ascii="Arial" w:eastAsia="Calibri" w:hAnsi="Arial" w:cs="Arial"/>
          <w:sz w:val="24"/>
          <w:szCs w:val="24"/>
        </w:rPr>
        <w:t>formulado por la parte actora</w:t>
      </w:r>
      <w:r w:rsidRPr="00FC5BE9">
        <w:rPr>
          <w:rFonts w:ascii="Arial" w:eastAsia="Calibri" w:hAnsi="Arial" w:cs="Arial"/>
          <w:sz w:val="24"/>
          <w:szCs w:val="24"/>
        </w:rPr>
        <w:t xml:space="preserve">, lo que genera que se constituya como respuesta definitiva a lo que </w:t>
      </w:r>
      <w:r w:rsidR="00C31DDF" w:rsidRPr="00FC5BE9">
        <w:rPr>
          <w:rFonts w:ascii="Arial" w:eastAsia="Calibri" w:hAnsi="Arial" w:cs="Arial"/>
          <w:sz w:val="24"/>
          <w:szCs w:val="24"/>
        </w:rPr>
        <w:t>peti</w:t>
      </w:r>
      <w:r w:rsidR="00C31DDF">
        <w:rPr>
          <w:rFonts w:ascii="Arial" w:eastAsia="Calibri" w:hAnsi="Arial" w:cs="Arial"/>
          <w:sz w:val="24"/>
          <w:szCs w:val="24"/>
        </w:rPr>
        <w:t>ciona</w:t>
      </w:r>
      <w:r w:rsidRPr="00FC5BE9">
        <w:rPr>
          <w:rFonts w:ascii="Arial" w:eastAsia="Calibri" w:hAnsi="Arial" w:cs="Arial"/>
          <w:sz w:val="24"/>
          <w:szCs w:val="24"/>
        </w:rPr>
        <w:t>, no obrando en autos constancia alguna en la que se corrobore que pudiera tratarse de un procedimiento en el cual se tenga que emitir una sentencia definitiva, por lo que le resulta interés jurídico del actor, dado que es la titular del derecho subjetivo que tiene y que al pretender ser vulnerado por la actuación de la demandada al emitir el acto que se recurre, faculta a la promovente para acudir ante este Tribunal, a ejercer su derecho, demandando en el carácter que se ostenta, entendiéndose como interés jurídico aquél que tienen las partes con relación a los derechos o a las cosas materia del juicio en el que intervienen, siendo inexacto lo aseverado por la autoridad demandada.</w:t>
      </w:r>
    </w:p>
    <w:p w:rsidR="00FC5BE9" w:rsidRPr="00FC5BE9" w:rsidRDefault="00FC5BE9" w:rsidP="00FC5BE9">
      <w:pPr>
        <w:spacing w:after="0" w:line="360" w:lineRule="auto"/>
        <w:rPr>
          <w:rFonts w:ascii="Arial" w:eastAsia="Times New Roman" w:hAnsi="Arial" w:cs="Arial"/>
          <w:sz w:val="24"/>
          <w:szCs w:val="24"/>
          <w:lang w:val="es-ES" w:eastAsia="es-ES"/>
        </w:rPr>
      </w:pPr>
    </w:p>
    <w:p w:rsidR="00FC5BE9" w:rsidRPr="00FC5BE9" w:rsidRDefault="00FC5BE9" w:rsidP="00FC5BE9">
      <w:pPr>
        <w:spacing w:after="0" w:line="360" w:lineRule="auto"/>
        <w:ind w:firstLine="709"/>
        <w:jc w:val="both"/>
        <w:rPr>
          <w:rFonts w:ascii="Arial" w:eastAsia="Arial Unicode MS" w:hAnsi="Arial" w:cs="Arial"/>
          <w:sz w:val="24"/>
          <w:szCs w:val="24"/>
        </w:rPr>
      </w:pPr>
      <w:r w:rsidRPr="00FC5BE9">
        <w:rPr>
          <w:rFonts w:ascii="Arial" w:eastAsia="Arial Unicode MS" w:hAnsi="Arial" w:cs="Arial"/>
          <w:sz w:val="24"/>
          <w:szCs w:val="24"/>
        </w:rPr>
        <w:t xml:space="preserve">De igual manera, previamente se deben examinar los </w:t>
      </w:r>
      <w:r w:rsidRPr="00FC5BE9">
        <w:rPr>
          <w:rFonts w:ascii="Arial" w:eastAsia="Arial Unicode MS" w:hAnsi="Arial" w:cs="Arial"/>
          <w:b/>
          <w:sz w:val="24"/>
          <w:szCs w:val="24"/>
        </w:rPr>
        <w:t>incidentes planteados</w:t>
      </w:r>
      <w:r w:rsidRPr="00FC5BE9">
        <w:rPr>
          <w:rFonts w:ascii="Arial" w:eastAsia="Arial Unicode MS" w:hAnsi="Arial" w:cs="Arial"/>
          <w:sz w:val="24"/>
          <w:szCs w:val="24"/>
        </w:rPr>
        <w:t>, que no sean de previo y especial pronunciamiento, para ser resueltos en la propia sentencia definitiva, de acuerdo a lo ordenado por el artículo 116 segundo párrafo del Código Procesal Administrativo para el Estado.</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sz w:val="24"/>
          <w:szCs w:val="24"/>
        </w:rPr>
        <w:t xml:space="preserve">Advirtiéndose por esta Sala Unitaria, que no existen </w:t>
      </w:r>
      <w:r w:rsidRPr="00FC5BE9">
        <w:rPr>
          <w:rFonts w:ascii="Arial" w:eastAsia="Calibri" w:hAnsi="Arial" w:cs="Arial"/>
          <w:b/>
          <w:sz w:val="24"/>
          <w:szCs w:val="24"/>
        </w:rPr>
        <w:t>causales de improcedencia o sobreseimiento que deba estudiar de oficio, ni incidentes planteados</w:t>
      </w:r>
      <w:r w:rsidRPr="00FC5BE9">
        <w:rPr>
          <w:rFonts w:ascii="Arial" w:eastAsia="Calibri" w:hAnsi="Arial" w:cs="Arial"/>
          <w:sz w:val="24"/>
          <w:szCs w:val="24"/>
        </w:rPr>
        <w:t>; por tanto, se procede al estudio de fondo de la controversia.</w:t>
      </w:r>
    </w:p>
    <w:p w:rsidR="00FC5BE9" w:rsidRPr="00FC5BE9" w:rsidRDefault="00FC5BE9" w:rsidP="00FC5BE9">
      <w:pPr>
        <w:spacing w:after="0" w:line="360" w:lineRule="auto"/>
        <w:ind w:firstLine="709"/>
        <w:jc w:val="both"/>
        <w:rPr>
          <w:rFonts w:ascii="Arial" w:eastAsia="Calibri" w:hAnsi="Arial" w:cs="Arial"/>
          <w:sz w:val="24"/>
          <w:szCs w:val="24"/>
        </w:rPr>
      </w:pPr>
    </w:p>
    <w:p w:rsidR="00FC5BE9" w:rsidRPr="00FC5BE9" w:rsidRDefault="00FC5BE9" w:rsidP="00FC5BE9">
      <w:pPr>
        <w:spacing w:after="0" w:line="360" w:lineRule="auto"/>
        <w:ind w:firstLine="709"/>
        <w:jc w:val="both"/>
        <w:rPr>
          <w:rFonts w:ascii="Arial" w:eastAsia="Arial Unicode MS" w:hAnsi="Arial" w:cs="Arial"/>
          <w:sz w:val="24"/>
          <w:szCs w:val="24"/>
        </w:rPr>
      </w:pPr>
      <w:r w:rsidRPr="00FC5BE9">
        <w:rPr>
          <w:rFonts w:ascii="Arial" w:eastAsia="Arial Unicode MS" w:hAnsi="Arial" w:cs="Arial"/>
          <w:b/>
          <w:sz w:val="24"/>
          <w:szCs w:val="24"/>
        </w:rPr>
        <w:t>QUINTO.-</w:t>
      </w:r>
      <w:r w:rsidRPr="00FC5BE9">
        <w:rPr>
          <w:rFonts w:ascii="Arial" w:eastAsia="Arial Unicode MS" w:hAnsi="Arial" w:cs="Arial"/>
          <w:sz w:val="24"/>
          <w:szCs w:val="24"/>
        </w:rPr>
        <w:t xml:space="preserve"> La parte actora hizo valer los conceptos de impugnación en su escrito inicial de demanda que se advierten en fojas </w:t>
      </w:r>
      <w:r w:rsidR="005D7910">
        <w:rPr>
          <w:rFonts w:ascii="Arial" w:eastAsia="Arial Unicode MS" w:hAnsi="Arial" w:cs="Arial"/>
          <w:sz w:val="24"/>
          <w:szCs w:val="24"/>
        </w:rPr>
        <w:t>7 a 9</w:t>
      </w:r>
      <w:r w:rsidRPr="00FC5BE9">
        <w:rPr>
          <w:rFonts w:ascii="Arial" w:eastAsia="Arial Unicode MS" w:hAnsi="Arial" w:cs="Arial"/>
          <w:sz w:val="24"/>
          <w:szCs w:val="24"/>
        </w:rPr>
        <w:t xml:space="preserve"> de este sumario, argumentos que no se trascriben y por economía procesal se tienen </w:t>
      </w:r>
      <w:r w:rsidRPr="00FC5BE9">
        <w:rPr>
          <w:rFonts w:ascii="Arial" w:eastAsia="Arial Unicode MS" w:hAnsi="Arial" w:cs="Arial"/>
          <w:sz w:val="24"/>
          <w:szCs w:val="24"/>
        </w:rPr>
        <w:lastRenderedPageBreak/>
        <w:t>por reproducidos como si se insertaren a la letra, para que surtan sus efectos legales a que haya lugar.</w:t>
      </w:r>
    </w:p>
    <w:p w:rsidR="00FC5BE9" w:rsidRPr="00FC5BE9" w:rsidRDefault="00FC5BE9" w:rsidP="00FC5BE9">
      <w:pPr>
        <w:spacing w:after="0" w:line="360" w:lineRule="auto"/>
        <w:ind w:firstLine="709"/>
        <w:jc w:val="both"/>
        <w:rPr>
          <w:rFonts w:ascii="Arial" w:eastAsia="Arial Unicode MS" w:hAnsi="Arial" w:cs="Arial"/>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sz w:val="24"/>
          <w:szCs w:val="24"/>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FC5BE9">
        <w:rPr>
          <w:rFonts w:ascii="Arial" w:eastAsia="Calibri" w:hAnsi="Arial" w:cs="Arial"/>
          <w:sz w:val="24"/>
          <w:szCs w:val="24"/>
        </w:rPr>
        <w:t>./</w:t>
      </w:r>
      <w:proofErr w:type="gramEnd"/>
      <w:r w:rsidRPr="00FC5BE9">
        <w:rPr>
          <w:rFonts w:ascii="Arial" w:eastAsia="Calibri" w:hAnsi="Arial" w:cs="Arial"/>
          <w:sz w:val="24"/>
          <w:szCs w:val="24"/>
        </w:rPr>
        <w:t xml:space="preserve">J. 58/2010, Página: 830, que dice:  </w:t>
      </w:r>
    </w:p>
    <w:p w:rsidR="00FC5BE9" w:rsidRPr="00FC5BE9" w:rsidRDefault="00FC5BE9" w:rsidP="00FC5BE9">
      <w:pPr>
        <w:spacing w:after="0"/>
        <w:ind w:firstLine="709"/>
        <w:jc w:val="both"/>
        <w:rPr>
          <w:rFonts w:ascii="Arial" w:eastAsia="Arial Unicode MS" w:hAnsi="Arial" w:cs="Arial"/>
          <w:sz w:val="24"/>
          <w:szCs w:val="24"/>
        </w:rPr>
      </w:pPr>
    </w:p>
    <w:p w:rsidR="00FC5BE9" w:rsidRPr="00FC5BE9" w:rsidRDefault="00FC5BE9" w:rsidP="00FC5BE9">
      <w:pPr>
        <w:autoSpaceDE w:val="0"/>
        <w:autoSpaceDN w:val="0"/>
        <w:adjustRightInd w:val="0"/>
        <w:spacing w:after="0"/>
        <w:ind w:left="709"/>
        <w:jc w:val="both"/>
        <w:rPr>
          <w:rFonts w:ascii="Arial" w:eastAsia="Calibri" w:hAnsi="Arial" w:cs="Arial"/>
          <w:sz w:val="23"/>
          <w:szCs w:val="23"/>
        </w:rPr>
      </w:pPr>
      <w:r w:rsidRPr="00FC5BE9">
        <w:rPr>
          <w:rFonts w:ascii="Arial" w:eastAsia="Calibri" w:hAnsi="Arial" w:cs="Arial"/>
          <w:b/>
          <w:i/>
          <w:sz w:val="23"/>
          <w:szCs w:val="23"/>
        </w:rPr>
        <w:t>“CONCEPTOS DE VIOLACIÓN O AGRAVIOS. PARA CUMPLIR CON LOS PRINCIPIOS DE CONGRUENCIA Y EXHAUSTIVIDAD EN LAS SENTENCIAS DE AMPARO ES INNECESARIA SU TRANSCRIPCIÓN.</w:t>
      </w:r>
      <w:r w:rsidRPr="00FC5BE9">
        <w:rPr>
          <w:rFonts w:ascii="Arial" w:eastAsia="Calibri" w:hAnsi="Arial" w:cs="Arial"/>
          <w:i/>
          <w:sz w:val="23"/>
          <w:szCs w:val="23"/>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FC5BE9">
        <w:rPr>
          <w:rFonts w:ascii="Arial" w:eastAsia="Calibri" w:hAnsi="Arial" w:cs="Arial"/>
          <w:sz w:val="23"/>
          <w:szCs w:val="23"/>
        </w:rPr>
        <w:t>”</w:t>
      </w:r>
    </w:p>
    <w:p w:rsidR="00FC5BE9" w:rsidRPr="00FC5BE9" w:rsidRDefault="00FC5BE9" w:rsidP="00FC5BE9">
      <w:pPr>
        <w:spacing w:after="0" w:line="360" w:lineRule="auto"/>
        <w:ind w:firstLine="709"/>
        <w:jc w:val="both"/>
        <w:rPr>
          <w:rFonts w:ascii="Arial" w:eastAsia="Arial Unicode MS" w:hAnsi="Arial" w:cs="Arial"/>
          <w:b/>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Arial Unicode MS" w:hAnsi="Arial" w:cs="Arial"/>
          <w:b/>
          <w:sz w:val="24"/>
          <w:szCs w:val="24"/>
        </w:rPr>
        <w:t xml:space="preserve">SEXTO.- </w:t>
      </w:r>
      <w:r w:rsidRPr="00FC5BE9">
        <w:rPr>
          <w:rFonts w:ascii="Arial" w:eastAsia="Calibri" w:hAnsi="Arial" w:cs="Arial"/>
          <w:sz w:val="24"/>
          <w:szCs w:val="24"/>
        </w:rPr>
        <w:t xml:space="preserve">Esta Sala Unitaria estima necesario precisar, </w:t>
      </w:r>
      <w:r w:rsidRPr="00FC5BE9">
        <w:rPr>
          <w:rFonts w:ascii="Arial" w:eastAsia="Calibri" w:hAnsi="Arial" w:cs="Arial"/>
          <w:b/>
          <w:sz w:val="24"/>
          <w:szCs w:val="24"/>
        </w:rPr>
        <w:t>que a efecto de respetar el principio de completitud en la impartición de justicia, propio de la garantía consagrada en el artículo 17 Constitucional,</w:t>
      </w:r>
      <w:r w:rsidRPr="00FC5BE9">
        <w:rPr>
          <w:rFonts w:ascii="Arial" w:eastAsia="Calibri" w:hAnsi="Arial" w:cs="Arial"/>
          <w:sz w:val="24"/>
          <w:szCs w:val="24"/>
        </w:rPr>
        <w:t xml:space="preserve"> en el que se establece que s</w:t>
      </w:r>
      <w:r w:rsidRPr="00FC5BE9">
        <w:rPr>
          <w:rFonts w:ascii="Arial" w:eastAsia="Times New Roman" w:hAnsi="Arial" w:cs="Arial"/>
          <w:bCs/>
          <w:sz w:val="24"/>
          <w:szCs w:val="24"/>
          <w:lang w:eastAsia="es-ES"/>
        </w:rPr>
        <w:t>iempre que no se afecte la igualdad entre las partes, el debido proceso u otros derechos en los juicios o procedimientos seguidos en forma de juicio, las autoridades deberán privilegiar la solución del conflicto sobre los formalismos procedimentales; aunado a que,</w:t>
      </w:r>
      <w:r w:rsidRPr="00FC5BE9">
        <w:rPr>
          <w:rFonts w:ascii="Arial" w:eastAsia="Calibri" w:hAnsi="Arial" w:cs="Arial"/>
          <w:sz w:val="24"/>
          <w:szCs w:val="24"/>
        </w:rPr>
        <w:t xml:space="preserve"> </w:t>
      </w:r>
      <w:r w:rsidRPr="00FC5BE9">
        <w:rPr>
          <w:rFonts w:ascii="Arial" w:eastAsia="Times New Roman" w:hAnsi="Arial" w:cs="Arial"/>
          <w:bCs/>
          <w:sz w:val="24"/>
          <w:szCs w:val="24"/>
          <w:lang w:eastAsia="es-ES"/>
        </w:rPr>
        <w:t>al emitir la sentencia, es</w:t>
      </w:r>
      <w:r w:rsidRPr="00FC5BE9">
        <w:rPr>
          <w:rFonts w:ascii="Arial" w:eastAsia="Calibri" w:hAnsi="Arial" w:cs="Arial"/>
          <w:sz w:val="24"/>
          <w:szCs w:val="24"/>
        </w:rPr>
        <w:t xml:space="preserve"> obligación de este Tribunal examinar todos y cada uno de los puntos controvertidos del acto impugnado, </w:t>
      </w:r>
      <w:r w:rsidRPr="00FC5BE9">
        <w:rPr>
          <w:rFonts w:ascii="Arial" w:eastAsia="Calibri" w:hAnsi="Arial" w:cs="Arial"/>
          <w:b/>
          <w:sz w:val="24"/>
          <w:szCs w:val="24"/>
        </w:rPr>
        <w:t>iniciando por aquéllos que permitan declarar la nulidad lisa y llana, y</w:t>
      </w:r>
      <w:r w:rsidRPr="00FC5BE9">
        <w:rPr>
          <w:rFonts w:ascii="Arial" w:eastAsia="Calibri" w:hAnsi="Arial" w:cs="Arial"/>
          <w:sz w:val="24"/>
          <w:szCs w:val="24"/>
        </w:rPr>
        <w:t xml:space="preserve"> después por los que se refieran a la omisión de requisitos formales o vicios del procedimiento; por lo que, el estudio de los conceptos de impugnación de la actora en su escrito de demanda, se estudiarán tomando en consideración para estudio preferente aquéllos que le otorguen mayor beneficio.</w:t>
      </w:r>
    </w:p>
    <w:p w:rsidR="00FC5BE9" w:rsidRPr="00FC5BE9" w:rsidRDefault="00FC5BE9" w:rsidP="00FC5BE9">
      <w:pPr>
        <w:spacing w:after="0" w:line="360" w:lineRule="auto"/>
        <w:ind w:firstLine="709"/>
        <w:jc w:val="both"/>
        <w:rPr>
          <w:rFonts w:ascii="Arial" w:eastAsia="Calibri" w:hAnsi="Arial" w:cs="Arial"/>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sz w:val="24"/>
          <w:szCs w:val="24"/>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FC5BE9">
        <w:rPr>
          <w:rFonts w:ascii="Arial" w:eastAsia="Calibri" w:hAnsi="Arial" w:cs="Arial"/>
          <w:sz w:val="24"/>
          <w:szCs w:val="24"/>
        </w:rPr>
        <w:t>./</w:t>
      </w:r>
      <w:proofErr w:type="gramEnd"/>
      <w:r w:rsidRPr="00FC5BE9">
        <w:rPr>
          <w:rFonts w:ascii="Arial" w:eastAsia="Calibri" w:hAnsi="Arial" w:cs="Arial"/>
          <w:sz w:val="24"/>
          <w:szCs w:val="24"/>
        </w:rPr>
        <w:t>J. 3/2005, Página: 5, que a continuación se transcribe:</w:t>
      </w:r>
    </w:p>
    <w:p w:rsidR="00FC5BE9" w:rsidRPr="00FC5BE9" w:rsidRDefault="00FC5BE9" w:rsidP="00FC5BE9">
      <w:pPr>
        <w:spacing w:after="0"/>
        <w:ind w:firstLine="709"/>
        <w:jc w:val="both"/>
        <w:rPr>
          <w:rFonts w:ascii="Arial" w:eastAsia="Calibri" w:hAnsi="Arial" w:cs="Arial"/>
        </w:rPr>
      </w:pPr>
    </w:p>
    <w:p w:rsidR="00FC5BE9" w:rsidRPr="00FC5BE9" w:rsidRDefault="00FC5BE9" w:rsidP="00FC5BE9">
      <w:pPr>
        <w:autoSpaceDE w:val="0"/>
        <w:autoSpaceDN w:val="0"/>
        <w:adjustRightInd w:val="0"/>
        <w:spacing w:after="0"/>
        <w:ind w:left="709"/>
        <w:jc w:val="both"/>
        <w:rPr>
          <w:rFonts w:ascii="Arial" w:eastAsia="Calibri" w:hAnsi="Arial" w:cs="Arial"/>
          <w:i/>
        </w:rPr>
      </w:pPr>
      <w:r w:rsidRPr="00FC5BE9">
        <w:rPr>
          <w:rFonts w:ascii="Arial" w:eastAsia="Calibri" w:hAnsi="Arial"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FC5BE9">
        <w:rPr>
          <w:rFonts w:ascii="Arial" w:eastAsia="Calibri" w:hAnsi="Arial"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p>
    <w:p w:rsidR="00FC5BE9" w:rsidRPr="00FC5BE9" w:rsidRDefault="00FC5BE9" w:rsidP="00FC5BE9">
      <w:pPr>
        <w:spacing w:after="0"/>
        <w:ind w:firstLine="709"/>
        <w:jc w:val="both"/>
        <w:rPr>
          <w:rFonts w:ascii="Arial" w:eastAsia="Calibri" w:hAnsi="Arial" w:cs="Arial"/>
          <w:sz w:val="24"/>
          <w:szCs w:val="24"/>
        </w:rPr>
      </w:pPr>
    </w:p>
    <w:p w:rsidR="00FC5BE9" w:rsidRPr="00FC5BE9" w:rsidRDefault="00FC5BE9" w:rsidP="00FC5BE9">
      <w:pPr>
        <w:autoSpaceDE w:val="0"/>
        <w:autoSpaceDN w:val="0"/>
        <w:adjustRightInd w:val="0"/>
        <w:spacing w:after="0" w:line="360" w:lineRule="auto"/>
        <w:ind w:firstLine="708"/>
        <w:jc w:val="both"/>
        <w:rPr>
          <w:rFonts w:ascii="Arial" w:eastAsia="Calibri" w:hAnsi="Arial" w:cs="Arial"/>
          <w:sz w:val="24"/>
          <w:szCs w:val="24"/>
        </w:rPr>
      </w:pPr>
      <w:r w:rsidRPr="00FC5BE9">
        <w:rPr>
          <w:rFonts w:ascii="Arial" w:eastAsia="Calibri" w:hAnsi="Arial" w:cs="Arial"/>
          <w:sz w:val="24"/>
          <w:szCs w:val="24"/>
        </w:rPr>
        <w:t>Precisado lo anterior, se</w:t>
      </w:r>
      <w:r w:rsidRPr="00FC5BE9">
        <w:rPr>
          <w:rFonts w:ascii="Arial" w:eastAsia="Calibri" w:hAnsi="Arial" w:cs="Arial"/>
          <w:sz w:val="24"/>
          <w:szCs w:val="24"/>
          <w:lang w:val="es-ES"/>
        </w:rPr>
        <w:t xml:space="preserve"> procede al estudio y resolución de fondo del segundo concepto de impugnación que hace valer el promovente</w:t>
      </w:r>
      <w:r w:rsidR="004A0089">
        <w:rPr>
          <w:rFonts w:ascii="Arial" w:eastAsia="Calibri" w:hAnsi="Arial" w:cs="Arial"/>
          <w:sz w:val="24"/>
          <w:szCs w:val="24"/>
          <w:lang w:val="es-ES"/>
        </w:rPr>
        <w:t xml:space="preserve"> </w:t>
      </w:r>
      <w:r w:rsidRPr="00FC5BE9">
        <w:rPr>
          <w:rFonts w:ascii="Arial" w:eastAsia="Calibri" w:hAnsi="Arial" w:cs="Arial"/>
          <w:sz w:val="24"/>
          <w:szCs w:val="24"/>
          <w:lang w:val="es-ES"/>
        </w:rPr>
        <w:t>en su escrito de demanda</w:t>
      </w:r>
      <w:r w:rsidRPr="00FC5BE9">
        <w:rPr>
          <w:rFonts w:ascii="Arial" w:eastAsia="Calibri" w:hAnsi="Arial" w:cs="Arial"/>
          <w:sz w:val="24"/>
          <w:szCs w:val="24"/>
        </w:rPr>
        <w:t>, el cual se examina en concatenación con las diversas constancias y probanzas que fueron ofrecidas por las partes, y que obran en autos de este procedimiento.</w:t>
      </w:r>
    </w:p>
    <w:p w:rsidR="00FC5BE9" w:rsidRPr="00FC5BE9" w:rsidRDefault="00FC5BE9" w:rsidP="00FC5BE9">
      <w:pPr>
        <w:spacing w:after="0" w:line="360" w:lineRule="auto"/>
        <w:ind w:firstLine="709"/>
        <w:jc w:val="both"/>
        <w:rPr>
          <w:rFonts w:ascii="Arial" w:eastAsia="Calibri" w:hAnsi="Arial" w:cs="Arial"/>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sz w:val="24"/>
          <w:szCs w:val="24"/>
        </w:rPr>
        <w:t xml:space="preserve">Apoya lo antes dicho la Tesis Jurisprudencia emitida por el Segundo Tribunal Colegiado de Circuito, Registro 2011406, Décima Época,  Publicación: viernes 08 de abril de 2016, que dice: </w:t>
      </w:r>
    </w:p>
    <w:p w:rsidR="00FC5BE9" w:rsidRPr="00FC5BE9" w:rsidRDefault="00FC5BE9" w:rsidP="00FC5BE9">
      <w:pPr>
        <w:autoSpaceDE w:val="0"/>
        <w:autoSpaceDN w:val="0"/>
        <w:adjustRightInd w:val="0"/>
        <w:spacing w:after="0"/>
        <w:ind w:left="709"/>
        <w:jc w:val="both"/>
        <w:rPr>
          <w:rFonts w:ascii="Arial" w:eastAsia="Calibri" w:hAnsi="Arial" w:cs="Arial"/>
          <w:sz w:val="23"/>
          <w:szCs w:val="23"/>
        </w:rPr>
      </w:pPr>
    </w:p>
    <w:p w:rsidR="00FC5BE9" w:rsidRPr="00FC5BE9" w:rsidRDefault="00FC5BE9" w:rsidP="00FC5BE9">
      <w:pPr>
        <w:autoSpaceDE w:val="0"/>
        <w:autoSpaceDN w:val="0"/>
        <w:adjustRightInd w:val="0"/>
        <w:spacing w:after="0"/>
        <w:ind w:left="709"/>
        <w:jc w:val="both"/>
        <w:rPr>
          <w:rFonts w:ascii="Arial" w:eastAsia="Calibri" w:hAnsi="Arial" w:cs="Arial"/>
          <w:i/>
          <w:sz w:val="23"/>
          <w:szCs w:val="23"/>
        </w:rPr>
      </w:pPr>
      <w:r w:rsidRPr="00FC5BE9">
        <w:rPr>
          <w:rFonts w:ascii="Arial" w:eastAsia="Calibri" w:hAnsi="Arial" w:cs="Arial"/>
          <w:b/>
          <w:i/>
          <w:sz w:val="23"/>
          <w:szCs w:val="23"/>
        </w:rPr>
        <w:t>“CONCEPTOS DE VIOLACIÓN O AGRAVIOS. PROCEDE SU ANÁLISIS DE MANERA INDIVIDUAL, CONJUNTA O POR GRUPOS Y EN EL ORDEN PROPUESTO O EN UNO DIVERSO</w:t>
      </w:r>
      <w:r w:rsidRPr="00FC5BE9">
        <w:rPr>
          <w:rFonts w:ascii="Arial" w:eastAsia="Calibri" w:hAnsi="Arial" w:cs="Arial"/>
          <w:i/>
          <w:sz w:val="23"/>
          <w:szCs w:val="23"/>
        </w:rPr>
        <w:t xml:space="preserve">.- El artículo 76 de la Ley de Amparo, publicada en el Diario Oficial de la Federación el 2 de abril de 2013, en vigor al día siguiente, previene que el órgano jurisdiccional que conozca del amparo podrá examinar en su conjunto los </w:t>
      </w:r>
      <w:r w:rsidRPr="00FC5BE9">
        <w:rPr>
          <w:rFonts w:ascii="Arial" w:eastAsia="Calibri" w:hAnsi="Arial" w:cs="Arial"/>
          <w:i/>
          <w:sz w:val="23"/>
          <w:szCs w:val="23"/>
        </w:rPr>
        <w:lastRenderedPageBreak/>
        <w:t>conceptos de violación o los agravios, así como los demás razonamientos de las partes, a fin de resolver la cuestión efectivamente planteada, empero, no impone la obligación a dicho órgano de seguir el orden propuesto por el quejoso o recurrente, sino que la única condición que establece el referido precepto es que no se cambien los hechos de la demanda. Por tanto, el estudio correspondiente puede hacerse de manera individual, conjunta o por grupos, en el propio orden de su exposición o en uno diverso...”</w:t>
      </w:r>
    </w:p>
    <w:p w:rsidR="000C6C06" w:rsidRDefault="000C6C06" w:rsidP="000C6C06">
      <w:pPr>
        <w:spacing w:after="0" w:line="360" w:lineRule="auto"/>
        <w:jc w:val="both"/>
        <w:rPr>
          <w:rFonts w:ascii="Arial" w:eastAsia="Calibri" w:hAnsi="Arial" w:cs="Arial"/>
          <w:i/>
        </w:rPr>
      </w:pPr>
    </w:p>
    <w:p w:rsidR="0075457F" w:rsidRDefault="0075457F" w:rsidP="000C6C06">
      <w:pPr>
        <w:spacing w:after="0" w:line="360" w:lineRule="auto"/>
        <w:ind w:firstLine="708"/>
        <w:jc w:val="both"/>
        <w:rPr>
          <w:rFonts w:ascii="Arial" w:eastAsia="Arial Unicode MS" w:hAnsi="Arial" w:cs="Arial"/>
          <w:sz w:val="24"/>
          <w:szCs w:val="24"/>
        </w:rPr>
      </w:pPr>
      <w:r>
        <w:rPr>
          <w:rFonts w:ascii="Arial" w:eastAsia="Arial Unicode MS" w:hAnsi="Arial" w:cs="Arial"/>
          <w:sz w:val="24"/>
          <w:szCs w:val="24"/>
        </w:rPr>
        <w:t>La parte actora manifiesta, en su primer concepto de impugnación, esencialmente lo siguiente:</w:t>
      </w:r>
    </w:p>
    <w:p w:rsidR="0075457F" w:rsidRDefault="0075457F" w:rsidP="000C6C06">
      <w:pPr>
        <w:spacing w:after="0" w:line="360" w:lineRule="auto"/>
        <w:ind w:firstLine="708"/>
        <w:jc w:val="both"/>
        <w:rPr>
          <w:rFonts w:ascii="Arial" w:eastAsia="Arial Unicode MS" w:hAnsi="Arial" w:cs="Arial"/>
          <w:sz w:val="24"/>
          <w:szCs w:val="24"/>
        </w:rPr>
      </w:pPr>
    </w:p>
    <w:p w:rsidR="0075457F" w:rsidRDefault="0075457F" w:rsidP="000C6C06">
      <w:pPr>
        <w:spacing w:after="0" w:line="360" w:lineRule="auto"/>
        <w:ind w:firstLine="708"/>
        <w:jc w:val="both"/>
        <w:rPr>
          <w:rFonts w:ascii="Arial" w:eastAsia="Arial Unicode MS" w:hAnsi="Arial" w:cs="Arial"/>
          <w:sz w:val="24"/>
          <w:szCs w:val="24"/>
        </w:rPr>
      </w:pPr>
      <w:r>
        <w:rPr>
          <w:rFonts w:ascii="Arial" w:eastAsia="Arial Unicode MS" w:hAnsi="Arial" w:cs="Arial"/>
          <w:sz w:val="24"/>
          <w:szCs w:val="24"/>
        </w:rPr>
        <w:t xml:space="preserve">“… DETERMINACION DICTADA MEDIANTE OFICIO NUMERO SIN/209/BUS/2024 DE FECHA 09 DE DICIEMBRE DE 2024, YA QUE ES VIOLATORIA DE LAS NORMAS QUE REGULAN EL PROCEDIMIENTO ADMINISTRATIVO DE MANERA FLAGRANTE ANTE ESA INSTANCIA MUNICIPAL, PORQUE LA MISMA, VULNERA LA VERDAD Y LA JUSTICIA DE NUESTRA CONSTITUCION, EN SUS ARTICULOS 14 Y 16, ES DE DECIRSE QUE DICHO FUNCIONARIO DA RESPUESTA AL PLANTEAMIENTO FORMULADO INDISTINTAMENTE AL C. PRESIDENTE MUNCIIPAL EN TURNO Y SEÑALAR EN EL TEXTO DE SU DETERMINACION SOLAMENTE LO SIGUIENTE: “QUE LOS ANTECEDENTES QUE SE ENCUENTRAN DENTRO DEL PADRON DE LA DIRECCION DE CATASTRO, EXISTE UNA INSCRIPCION A FAVOR DE UNA TERCERA PERSONA, POR LO QUE EN ESE SENTIDO Y CON EL FIN DE NO TRANSGREDIR LA ESFERA JURIDICA D ELA MISMA, NO SE LE PUEDE BRINDAR INFORMACION ALGUNA, </w:t>
      </w:r>
      <w:r w:rsidR="003E6A6A">
        <w:rPr>
          <w:rFonts w:ascii="Arial" w:eastAsia="Arial Unicode MS" w:hAnsi="Arial" w:cs="Arial"/>
          <w:sz w:val="24"/>
          <w:szCs w:val="24"/>
        </w:rPr>
        <w:t>LO ANTERIOR DE CONFORMIDAD CON EL ARTICULO 98 DE LA LEY DE PROTECCION DE DATOS PERSONALES EN POSESION DE LOS SUJETOS OBLIGADOS DEL ESTADO DE SAN LUIS POTOSI SE DEBERA OTORGAR EL TRATAMIENTO Y PROTECCION A LA DOCUMENTACION QUE CONTENGA DATOS PERSONALES DE PARTICULARES.”…”</w:t>
      </w:r>
    </w:p>
    <w:p w:rsidR="003E6A6A" w:rsidRDefault="003E6A6A" w:rsidP="000C6C06">
      <w:pPr>
        <w:spacing w:after="0" w:line="360" w:lineRule="auto"/>
        <w:ind w:firstLine="708"/>
        <w:jc w:val="both"/>
        <w:rPr>
          <w:rFonts w:ascii="Arial" w:eastAsia="Arial Unicode MS" w:hAnsi="Arial" w:cs="Arial"/>
          <w:sz w:val="24"/>
          <w:szCs w:val="24"/>
        </w:rPr>
      </w:pPr>
    </w:p>
    <w:p w:rsidR="003E6A6A" w:rsidRDefault="003E6A6A" w:rsidP="00FC5BE9">
      <w:pPr>
        <w:spacing w:after="0" w:line="360" w:lineRule="auto"/>
        <w:ind w:firstLine="708"/>
        <w:jc w:val="both"/>
        <w:rPr>
          <w:rFonts w:ascii="Arial" w:eastAsia="Calibri" w:hAnsi="Arial" w:cs="Arial"/>
          <w:sz w:val="24"/>
          <w:szCs w:val="24"/>
        </w:rPr>
      </w:pPr>
      <w:r>
        <w:rPr>
          <w:rFonts w:ascii="Arial" w:eastAsia="Calibri" w:hAnsi="Arial" w:cs="Arial"/>
          <w:sz w:val="24"/>
          <w:szCs w:val="24"/>
        </w:rPr>
        <w:t>La autorid</w:t>
      </w:r>
      <w:r w:rsidR="008F3973">
        <w:rPr>
          <w:rFonts w:ascii="Arial" w:eastAsia="Calibri" w:hAnsi="Arial" w:cs="Arial"/>
          <w:sz w:val="24"/>
          <w:szCs w:val="24"/>
        </w:rPr>
        <w:t>ad Síndico Municipal del H. Ayuntamiento de San Luis Potosí, al producir su contestación de demanda señaló en relación a los conceptos de impugnación vertidos por las actoras (f.59), lo siguiente:</w:t>
      </w:r>
    </w:p>
    <w:p w:rsidR="008F3973" w:rsidRPr="008F3973" w:rsidRDefault="008F3973" w:rsidP="00FC5BE9">
      <w:pPr>
        <w:spacing w:after="0" w:line="360" w:lineRule="auto"/>
        <w:ind w:firstLine="708"/>
        <w:jc w:val="both"/>
        <w:rPr>
          <w:rFonts w:ascii="Arial" w:eastAsia="Calibri" w:hAnsi="Arial" w:cs="Arial"/>
          <w:i/>
          <w:sz w:val="24"/>
          <w:szCs w:val="24"/>
        </w:rPr>
      </w:pPr>
      <w:r w:rsidRPr="008F3973">
        <w:rPr>
          <w:rFonts w:ascii="Arial" w:eastAsia="Calibri" w:hAnsi="Arial" w:cs="Arial"/>
          <w:i/>
          <w:sz w:val="24"/>
          <w:szCs w:val="24"/>
        </w:rPr>
        <w:t xml:space="preserve">“…En lo concerniente a la impugnación que hacen las actoras, es de señalarse que el acto administrativo que mencionan, el oficio SIN/209/BIS/2024, no es un acto administrativo que haya puesto fin a un procedimiento, ya que se insiste en que éste se emitió únicamente en </w:t>
      </w:r>
      <w:r w:rsidRPr="008F3973">
        <w:rPr>
          <w:rFonts w:ascii="Arial" w:eastAsia="Calibri" w:hAnsi="Arial" w:cs="Arial"/>
          <w:i/>
          <w:sz w:val="24"/>
          <w:szCs w:val="24"/>
        </w:rPr>
        <w:lastRenderedPageBreak/>
        <w:t xml:space="preserve">respuesta a una solicitud de información, sin contener pronunciamientos concluyentes que hayan creado derechos u obligaciones, por ende al limitarse a proporcionar información, el oficio no cumple con el requisito esencial de </w:t>
      </w:r>
      <w:proofErr w:type="spellStart"/>
      <w:r w:rsidRPr="008F3973">
        <w:rPr>
          <w:rFonts w:ascii="Arial" w:eastAsia="Calibri" w:hAnsi="Arial" w:cs="Arial"/>
          <w:i/>
          <w:sz w:val="24"/>
          <w:szCs w:val="24"/>
        </w:rPr>
        <w:t>definitividad</w:t>
      </w:r>
      <w:proofErr w:type="spellEnd"/>
      <w:r w:rsidRPr="008F3973">
        <w:rPr>
          <w:rFonts w:ascii="Arial" w:eastAsia="Calibri" w:hAnsi="Arial" w:cs="Arial"/>
          <w:i/>
          <w:sz w:val="24"/>
          <w:szCs w:val="24"/>
        </w:rPr>
        <w:t xml:space="preserve"> exigido para la procedencia de la impugnación…”</w:t>
      </w:r>
    </w:p>
    <w:p w:rsidR="003E6A6A" w:rsidRDefault="003E6A6A" w:rsidP="00FC5BE9">
      <w:pPr>
        <w:spacing w:after="0" w:line="360" w:lineRule="auto"/>
        <w:ind w:firstLine="708"/>
        <w:jc w:val="both"/>
        <w:rPr>
          <w:rFonts w:ascii="Arial" w:eastAsia="Calibri" w:hAnsi="Arial" w:cs="Arial"/>
          <w:sz w:val="24"/>
          <w:szCs w:val="24"/>
        </w:rPr>
      </w:pPr>
    </w:p>
    <w:p w:rsidR="00FC5BE9" w:rsidRPr="00FC5BE9" w:rsidRDefault="00FC5BE9" w:rsidP="00FC5BE9">
      <w:pPr>
        <w:spacing w:after="0" w:line="360" w:lineRule="auto"/>
        <w:ind w:firstLine="708"/>
        <w:jc w:val="both"/>
        <w:rPr>
          <w:rFonts w:ascii="Arial" w:eastAsia="Calibri" w:hAnsi="Arial" w:cs="Arial"/>
          <w:sz w:val="24"/>
          <w:szCs w:val="24"/>
        </w:rPr>
      </w:pPr>
      <w:r w:rsidRPr="00FC5BE9">
        <w:rPr>
          <w:rFonts w:ascii="Arial" w:eastAsia="Calibri" w:hAnsi="Arial" w:cs="Arial"/>
          <w:sz w:val="24"/>
          <w:szCs w:val="24"/>
        </w:rPr>
        <w:t xml:space="preserve">Determinando por parte de esta Tercera Sala Unitaria que, por lo que hace al concepto de impugnación referido, </w:t>
      </w:r>
      <w:r w:rsidRPr="00FC5BE9">
        <w:rPr>
          <w:rFonts w:ascii="Arial" w:eastAsia="Calibri" w:hAnsi="Arial" w:cs="Arial"/>
          <w:b/>
          <w:sz w:val="24"/>
          <w:szCs w:val="24"/>
          <w:u w:val="single"/>
        </w:rPr>
        <w:t>resulta fundado y suficiente,</w:t>
      </w:r>
      <w:r w:rsidRPr="00FC5BE9">
        <w:rPr>
          <w:rFonts w:ascii="Arial" w:eastAsia="Calibri" w:hAnsi="Arial" w:cs="Arial"/>
          <w:b/>
          <w:sz w:val="24"/>
          <w:szCs w:val="24"/>
        </w:rPr>
        <w:t xml:space="preserve"> </w:t>
      </w:r>
      <w:r w:rsidRPr="00FC5BE9">
        <w:rPr>
          <w:rFonts w:ascii="Arial" w:eastAsia="Calibri" w:hAnsi="Arial" w:cs="Arial"/>
          <w:sz w:val="24"/>
          <w:szCs w:val="24"/>
        </w:rPr>
        <w:t>para decretar la nulidad del acto impugnado.</w:t>
      </w:r>
    </w:p>
    <w:p w:rsidR="00FC5BE9" w:rsidRPr="00FC5BE9" w:rsidRDefault="00FC5BE9" w:rsidP="00FC5BE9">
      <w:pPr>
        <w:spacing w:after="0" w:line="360" w:lineRule="auto"/>
        <w:ind w:firstLine="708"/>
        <w:jc w:val="both"/>
        <w:rPr>
          <w:rFonts w:ascii="Arial" w:eastAsia="Arial Unicode MS" w:hAnsi="Arial" w:cs="Arial"/>
          <w:sz w:val="24"/>
          <w:szCs w:val="24"/>
        </w:rPr>
      </w:pPr>
    </w:p>
    <w:p w:rsidR="00FC5BE9" w:rsidRPr="00FC5BE9" w:rsidRDefault="00FC5BE9" w:rsidP="00FC5BE9">
      <w:pPr>
        <w:spacing w:after="0" w:line="360" w:lineRule="auto"/>
        <w:ind w:firstLine="708"/>
        <w:jc w:val="both"/>
        <w:rPr>
          <w:rFonts w:ascii="Arial" w:eastAsia="Calibri" w:hAnsi="Arial" w:cs="Arial"/>
          <w:sz w:val="24"/>
          <w:szCs w:val="24"/>
        </w:rPr>
      </w:pPr>
      <w:r w:rsidRPr="00FC5BE9">
        <w:rPr>
          <w:rFonts w:ascii="Arial" w:eastAsia="Calibri" w:hAnsi="Arial" w:cs="Arial"/>
          <w:sz w:val="24"/>
          <w:szCs w:val="24"/>
        </w:rPr>
        <w:t xml:space="preserve">Toda vez que se advierte que el acto reclamado, </w:t>
      </w:r>
      <w:r w:rsidRPr="00FC5BE9">
        <w:rPr>
          <w:rFonts w:ascii="Arial" w:eastAsia="Calibri" w:hAnsi="Arial" w:cs="Arial"/>
          <w:b/>
          <w:sz w:val="24"/>
          <w:szCs w:val="24"/>
        </w:rPr>
        <w:t>adolece de una congruencia externa,</w:t>
      </w:r>
      <w:r w:rsidRPr="00FC5BE9">
        <w:rPr>
          <w:rFonts w:ascii="Arial" w:eastAsia="Calibri" w:hAnsi="Arial" w:cs="Arial"/>
          <w:sz w:val="24"/>
          <w:szCs w:val="24"/>
        </w:rPr>
        <w:t xml:space="preserve"> en tanto que no se resolvió la litis planteada por la accionante en su escrito de solicitud </w:t>
      </w:r>
      <w:r w:rsidR="008F3973">
        <w:rPr>
          <w:rFonts w:ascii="Arial" w:eastAsia="Calibri" w:hAnsi="Arial" w:cs="Arial"/>
          <w:sz w:val="24"/>
          <w:szCs w:val="24"/>
        </w:rPr>
        <w:t>recibido con fecha seis de marzo de dos mil veinticuatro, por la Presidencia Municipal y Segunda Sindicatura Municipal,</w:t>
      </w:r>
      <w:r w:rsidRPr="00FC5BE9">
        <w:rPr>
          <w:rFonts w:ascii="Arial" w:eastAsia="Calibri" w:hAnsi="Arial" w:cs="Arial"/>
          <w:sz w:val="24"/>
          <w:szCs w:val="24"/>
        </w:rPr>
        <w:t xml:space="preserve"> </w:t>
      </w:r>
      <w:r w:rsidR="008F3973">
        <w:rPr>
          <w:rFonts w:ascii="Arial" w:eastAsia="Calibri" w:hAnsi="Arial" w:cs="Arial"/>
          <w:sz w:val="24"/>
          <w:szCs w:val="24"/>
        </w:rPr>
        <w:t>misma que obra a fojas 26 a 28 de autos</w:t>
      </w:r>
      <w:r w:rsidRPr="00FC5BE9">
        <w:rPr>
          <w:rFonts w:ascii="Arial" w:eastAsia="Calibri" w:hAnsi="Arial" w:cs="Arial"/>
          <w:sz w:val="24"/>
          <w:szCs w:val="24"/>
        </w:rPr>
        <w:t xml:space="preserve">, según consta </w:t>
      </w:r>
      <w:r w:rsidR="008F3973">
        <w:rPr>
          <w:rFonts w:ascii="Arial" w:eastAsia="Calibri" w:hAnsi="Arial" w:cs="Arial"/>
          <w:sz w:val="24"/>
          <w:szCs w:val="24"/>
        </w:rPr>
        <w:t>del</w:t>
      </w:r>
      <w:r w:rsidRPr="00FC5BE9">
        <w:rPr>
          <w:rFonts w:ascii="Arial" w:eastAsia="Calibri" w:hAnsi="Arial" w:cs="Arial"/>
          <w:sz w:val="24"/>
          <w:szCs w:val="24"/>
        </w:rPr>
        <w:t xml:space="preserve"> acuse de recibido que obra en la parte superior de dicho ocurso, la cual adquiere valor probatorio pleno de acuerdo con los artículos 72 fracción I, 74, 91</w:t>
      </w:r>
      <w:r w:rsidR="006A5154">
        <w:rPr>
          <w:rFonts w:ascii="Arial" w:eastAsia="Calibri" w:hAnsi="Arial" w:cs="Arial"/>
          <w:sz w:val="24"/>
          <w:szCs w:val="24"/>
        </w:rPr>
        <w:t xml:space="preserve"> </w:t>
      </w:r>
      <w:r w:rsidRPr="00FC5BE9">
        <w:rPr>
          <w:rFonts w:ascii="Arial" w:eastAsia="Calibri" w:hAnsi="Arial" w:cs="Arial"/>
          <w:sz w:val="24"/>
          <w:szCs w:val="24"/>
        </w:rPr>
        <w:t>y 100 del Código Procesal Administrativo para el Estado, al no ser objetadas por la</w:t>
      </w:r>
      <w:r w:rsidR="000559F8">
        <w:rPr>
          <w:rFonts w:ascii="Arial" w:eastAsia="Calibri" w:hAnsi="Arial" w:cs="Arial"/>
          <w:sz w:val="24"/>
          <w:szCs w:val="24"/>
        </w:rPr>
        <w:t>s</w:t>
      </w:r>
      <w:r w:rsidRPr="00FC5BE9">
        <w:rPr>
          <w:rFonts w:ascii="Arial" w:eastAsia="Calibri" w:hAnsi="Arial" w:cs="Arial"/>
          <w:sz w:val="24"/>
          <w:szCs w:val="24"/>
        </w:rPr>
        <w:t xml:space="preserve"> demanda</w:t>
      </w:r>
      <w:r w:rsidR="000559F8">
        <w:rPr>
          <w:rFonts w:ascii="Arial" w:eastAsia="Calibri" w:hAnsi="Arial" w:cs="Arial"/>
          <w:sz w:val="24"/>
          <w:szCs w:val="24"/>
        </w:rPr>
        <w:t>s</w:t>
      </w:r>
      <w:r w:rsidRPr="00FC5BE9">
        <w:rPr>
          <w:rFonts w:ascii="Arial" w:eastAsia="Calibri" w:hAnsi="Arial" w:cs="Arial"/>
          <w:sz w:val="24"/>
          <w:szCs w:val="24"/>
        </w:rPr>
        <w:t xml:space="preserve"> en este juicio.</w:t>
      </w:r>
    </w:p>
    <w:p w:rsidR="00FC5BE9" w:rsidRPr="00FC5BE9" w:rsidRDefault="00FC5BE9" w:rsidP="00FC5BE9">
      <w:pPr>
        <w:spacing w:after="0" w:line="360" w:lineRule="auto"/>
        <w:ind w:firstLine="708"/>
        <w:jc w:val="both"/>
        <w:rPr>
          <w:rFonts w:ascii="Arial" w:eastAsia="Calibri" w:hAnsi="Arial" w:cs="Arial"/>
          <w:sz w:val="24"/>
          <w:szCs w:val="24"/>
        </w:rPr>
      </w:pPr>
    </w:p>
    <w:p w:rsidR="00FC5BE9" w:rsidRPr="00FC5BE9" w:rsidRDefault="00FC5BE9" w:rsidP="00FC5BE9">
      <w:pPr>
        <w:spacing w:after="0" w:line="360" w:lineRule="auto"/>
        <w:ind w:firstLine="708"/>
        <w:jc w:val="both"/>
        <w:rPr>
          <w:rFonts w:ascii="Arial" w:eastAsia="Times New Roman" w:hAnsi="Arial" w:cs="Arial"/>
          <w:sz w:val="24"/>
          <w:szCs w:val="24"/>
          <w:lang w:val="es-ES" w:eastAsia="es-ES"/>
        </w:rPr>
      </w:pPr>
      <w:r w:rsidRPr="00FC5BE9">
        <w:rPr>
          <w:rFonts w:ascii="Arial" w:eastAsia="Calibri" w:hAnsi="Arial" w:cs="Arial"/>
          <w:sz w:val="24"/>
          <w:szCs w:val="24"/>
        </w:rPr>
        <w:t xml:space="preserve">Ya que </w:t>
      </w:r>
      <w:r w:rsidRPr="00FC5BE9">
        <w:rPr>
          <w:rFonts w:ascii="Arial" w:eastAsia="Times New Roman" w:hAnsi="Arial" w:cs="Arial"/>
          <w:sz w:val="24"/>
          <w:szCs w:val="24"/>
          <w:lang w:val="es-ES" w:eastAsia="es-ES"/>
        </w:rPr>
        <w:t>se aprecia que la autoridad demandada es omisa en atender la exigencia de fundamentación y motivación concatenada con los diversos principios de exhaustividad y congruencia</w:t>
      </w:r>
      <w:r w:rsidR="000559F8">
        <w:rPr>
          <w:rFonts w:ascii="Arial" w:eastAsia="Times New Roman" w:hAnsi="Arial" w:cs="Arial"/>
          <w:sz w:val="24"/>
          <w:szCs w:val="24"/>
          <w:lang w:val="es-ES" w:eastAsia="es-ES"/>
        </w:rPr>
        <w:t xml:space="preserve">, pues de </w:t>
      </w:r>
      <w:r w:rsidRPr="00FC5BE9">
        <w:rPr>
          <w:rFonts w:ascii="Arial" w:eastAsia="Times New Roman" w:hAnsi="Arial" w:cs="Arial"/>
          <w:sz w:val="24"/>
          <w:szCs w:val="24"/>
          <w:lang w:val="es-ES" w:eastAsia="es-ES"/>
        </w:rPr>
        <w:t xml:space="preserve">la resolución que emitió con fecha </w:t>
      </w:r>
      <w:r w:rsidR="000559F8">
        <w:rPr>
          <w:rFonts w:ascii="Arial" w:eastAsia="Times New Roman" w:hAnsi="Arial" w:cs="Arial"/>
          <w:sz w:val="24"/>
          <w:szCs w:val="24"/>
          <w:lang w:val="es-ES" w:eastAsia="es-ES"/>
        </w:rPr>
        <w:t>9 de diciembre de 2024</w:t>
      </w:r>
      <w:r w:rsidRPr="00FC5BE9">
        <w:rPr>
          <w:rFonts w:ascii="Arial" w:eastAsia="Times New Roman" w:hAnsi="Arial" w:cs="Arial"/>
          <w:sz w:val="24"/>
          <w:szCs w:val="24"/>
          <w:lang w:val="es-ES" w:eastAsia="es-ES"/>
        </w:rPr>
        <w:t xml:space="preserve">, contenida en el oficio número </w:t>
      </w:r>
      <w:r w:rsidR="000559F8">
        <w:rPr>
          <w:rFonts w:ascii="Arial" w:eastAsia="Times New Roman" w:hAnsi="Arial" w:cs="Arial"/>
          <w:sz w:val="24"/>
          <w:szCs w:val="24"/>
          <w:lang w:val="es-ES" w:eastAsia="es-ES"/>
        </w:rPr>
        <w:t>SIN/209/BIS/2024</w:t>
      </w:r>
      <w:r w:rsidRPr="00FC5BE9">
        <w:rPr>
          <w:rFonts w:ascii="Arial" w:eastAsia="Times New Roman" w:hAnsi="Arial" w:cs="Arial"/>
          <w:sz w:val="24"/>
          <w:szCs w:val="24"/>
          <w:lang w:val="es-ES" w:eastAsia="es-ES"/>
        </w:rPr>
        <w:t xml:space="preserve">, </w:t>
      </w:r>
      <w:r w:rsidR="000559F8">
        <w:rPr>
          <w:rFonts w:ascii="Arial" w:eastAsia="Times New Roman" w:hAnsi="Arial" w:cs="Arial"/>
          <w:sz w:val="24"/>
          <w:szCs w:val="24"/>
          <w:lang w:val="es-ES" w:eastAsia="es-ES"/>
        </w:rPr>
        <w:t>no se advierte que atienda de manera congruente y exhaustiva la petición de las actor</w:t>
      </w:r>
      <w:r w:rsidRPr="00FC5BE9">
        <w:rPr>
          <w:rFonts w:ascii="Arial" w:eastAsia="Times New Roman" w:hAnsi="Arial" w:cs="Arial"/>
          <w:sz w:val="24"/>
          <w:szCs w:val="24"/>
          <w:lang w:val="es-ES" w:eastAsia="es-ES"/>
        </w:rPr>
        <w:t>a</w:t>
      </w:r>
      <w:r w:rsidR="000559F8">
        <w:rPr>
          <w:rFonts w:ascii="Arial" w:eastAsia="Times New Roman" w:hAnsi="Arial" w:cs="Arial"/>
          <w:sz w:val="24"/>
          <w:szCs w:val="24"/>
          <w:lang w:val="es-ES" w:eastAsia="es-ES"/>
        </w:rPr>
        <w:t>s</w:t>
      </w:r>
      <w:r w:rsidRPr="00FC5BE9">
        <w:rPr>
          <w:rFonts w:ascii="Arial" w:eastAsia="Times New Roman" w:hAnsi="Arial" w:cs="Arial"/>
          <w:sz w:val="24"/>
          <w:szCs w:val="24"/>
          <w:lang w:val="es-ES" w:eastAsia="es-ES"/>
        </w:rPr>
        <w:t>, al señalar de forma ambigua</w:t>
      </w:r>
      <w:r w:rsidR="000559F8">
        <w:rPr>
          <w:rFonts w:ascii="Arial" w:eastAsia="Times New Roman" w:hAnsi="Arial" w:cs="Arial"/>
          <w:sz w:val="24"/>
          <w:szCs w:val="24"/>
          <w:lang w:val="es-ES" w:eastAsia="es-ES"/>
        </w:rPr>
        <w:t>,</w:t>
      </w:r>
      <w:r w:rsidRPr="00FC5BE9">
        <w:rPr>
          <w:rFonts w:ascii="Arial" w:eastAsia="Times New Roman" w:hAnsi="Arial" w:cs="Arial"/>
          <w:sz w:val="24"/>
          <w:szCs w:val="24"/>
          <w:lang w:val="es-ES" w:eastAsia="es-ES"/>
        </w:rPr>
        <w:t xml:space="preserve"> que:</w:t>
      </w:r>
    </w:p>
    <w:p w:rsidR="00FC5BE9" w:rsidRPr="00FC5BE9" w:rsidRDefault="00FC5BE9" w:rsidP="00FC5BE9">
      <w:pPr>
        <w:spacing w:after="0" w:line="360" w:lineRule="auto"/>
        <w:ind w:firstLine="708"/>
        <w:jc w:val="both"/>
        <w:rPr>
          <w:rFonts w:ascii="Arial" w:eastAsia="Times New Roman" w:hAnsi="Arial" w:cs="Arial"/>
          <w:sz w:val="24"/>
          <w:szCs w:val="24"/>
          <w:lang w:val="es-ES" w:eastAsia="es-ES"/>
        </w:rPr>
      </w:pPr>
    </w:p>
    <w:p w:rsidR="000559F8" w:rsidRDefault="00FC5BE9" w:rsidP="00FC5BE9">
      <w:pPr>
        <w:spacing w:after="0"/>
        <w:ind w:firstLine="709"/>
        <w:jc w:val="both"/>
        <w:rPr>
          <w:rFonts w:ascii="Arial" w:eastAsia="Times New Roman" w:hAnsi="Arial" w:cs="Arial"/>
          <w:i/>
          <w:lang w:val="es-ES" w:eastAsia="es-ES"/>
        </w:rPr>
      </w:pPr>
      <w:r w:rsidRPr="00FC5BE9">
        <w:rPr>
          <w:rFonts w:ascii="Arial" w:eastAsia="Times New Roman" w:hAnsi="Arial" w:cs="Arial"/>
          <w:sz w:val="24"/>
          <w:szCs w:val="24"/>
          <w:lang w:val="es-ES" w:eastAsia="es-ES"/>
        </w:rPr>
        <w:t xml:space="preserve"> </w:t>
      </w:r>
      <w:r w:rsidRPr="00FC5BE9">
        <w:rPr>
          <w:rFonts w:ascii="Arial" w:eastAsia="Times New Roman" w:hAnsi="Arial" w:cs="Arial"/>
          <w:i/>
          <w:lang w:val="es-ES" w:eastAsia="es-ES"/>
        </w:rPr>
        <w:t xml:space="preserve">”… </w:t>
      </w:r>
      <w:r w:rsidR="000559F8">
        <w:rPr>
          <w:rFonts w:ascii="Arial" w:eastAsia="Times New Roman" w:hAnsi="Arial" w:cs="Arial"/>
          <w:i/>
          <w:lang w:val="es-ES" w:eastAsia="es-ES"/>
        </w:rPr>
        <w:t>Sirve el presente para enviarle un cordial saludo y a en respuesta a su escrito dirigido al Maestro Presidente Municipal, con atención al suscrito, el cual fue recibido por esta Sindicatura, en el que hace alusión a un bien inmueble que refiere fue adquirido en copropiedad por Usted y sus hermanos, y mediante el cual solicita se le proporcione información donde se indique el nombre del supuesto diverso propietario con la debida documentación que ampare su propiedad; al respecto hago de su conocimiento lo siguiente:</w:t>
      </w:r>
    </w:p>
    <w:p w:rsidR="000559F8" w:rsidRDefault="000559F8" w:rsidP="00FC5BE9">
      <w:pPr>
        <w:spacing w:after="0"/>
        <w:ind w:firstLine="709"/>
        <w:jc w:val="both"/>
        <w:rPr>
          <w:rFonts w:ascii="Arial" w:eastAsia="Times New Roman" w:hAnsi="Arial" w:cs="Arial"/>
          <w:i/>
          <w:lang w:val="es-ES" w:eastAsia="es-ES"/>
        </w:rPr>
      </w:pPr>
      <w:r>
        <w:rPr>
          <w:rFonts w:ascii="Arial" w:eastAsia="Times New Roman" w:hAnsi="Arial" w:cs="Arial"/>
          <w:i/>
          <w:lang w:val="es-ES" w:eastAsia="es-ES"/>
        </w:rPr>
        <w:t>Que de los antecedentes que se encuentran dentro del padrón de la Dirección de Catastro, existe una inscripción a favor de una tercera persona, por lo que en ese sentido y con el fin de no transgredir la esfera jurídica de la misma, no se le puede brindar información alguna, lo anterior de conformidad con el artículo 98 de la Ley de Protección de Datos Personales en Posesión de los Sujetos Obligados del Estado de San Luis Potosí, se deberá otorgar el tratamiento y protección a la documentación que contenga datos personales de particulares…”</w:t>
      </w:r>
    </w:p>
    <w:p w:rsidR="000559F8" w:rsidRDefault="000559F8" w:rsidP="00FC5BE9">
      <w:pPr>
        <w:spacing w:after="0"/>
        <w:ind w:firstLine="709"/>
        <w:jc w:val="both"/>
        <w:rPr>
          <w:rFonts w:ascii="Arial" w:eastAsia="Times New Roman" w:hAnsi="Arial" w:cs="Arial"/>
          <w:i/>
          <w:lang w:val="es-ES" w:eastAsia="es-ES"/>
        </w:rPr>
      </w:pPr>
    </w:p>
    <w:p w:rsidR="00AC66DB" w:rsidRDefault="00FC5BE9" w:rsidP="00FC5BE9">
      <w:pPr>
        <w:spacing w:after="0" w:line="360" w:lineRule="auto"/>
        <w:ind w:firstLine="708"/>
        <w:jc w:val="both"/>
        <w:rPr>
          <w:rFonts w:ascii="Arial" w:eastAsia="Calibri" w:hAnsi="Arial" w:cs="Arial"/>
          <w:sz w:val="24"/>
          <w:szCs w:val="24"/>
        </w:rPr>
      </w:pPr>
      <w:r w:rsidRPr="00FC5BE9">
        <w:rPr>
          <w:rFonts w:ascii="Arial" w:eastAsia="Times New Roman" w:hAnsi="Arial" w:cs="Arial"/>
          <w:sz w:val="24"/>
          <w:szCs w:val="24"/>
          <w:lang w:val="es-ES" w:eastAsia="es-ES"/>
        </w:rPr>
        <w:t>P</w:t>
      </w:r>
      <w:r w:rsidRPr="00FC5BE9">
        <w:rPr>
          <w:rFonts w:ascii="Arial" w:eastAsia="Calibri" w:hAnsi="Arial" w:cs="Arial"/>
          <w:sz w:val="24"/>
          <w:szCs w:val="24"/>
        </w:rPr>
        <w:t xml:space="preserve">ues </w:t>
      </w:r>
      <w:r w:rsidR="00AC66DB">
        <w:rPr>
          <w:rFonts w:ascii="Arial" w:eastAsia="Calibri" w:hAnsi="Arial" w:cs="Arial"/>
          <w:sz w:val="24"/>
          <w:szCs w:val="24"/>
        </w:rPr>
        <w:t xml:space="preserve">dio una respuesta, a decir de la demandada, en relación a la información solicitada por la parte actora, para que le fuera proporcionado el </w:t>
      </w:r>
      <w:r w:rsidR="00AC66DB">
        <w:rPr>
          <w:rFonts w:ascii="Arial" w:eastAsia="Calibri" w:hAnsi="Arial" w:cs="Arial"/>
          <w:sz w:val="24"/>
          <w:szCs w:val="24"/>
        </w:rPr>
        <w:lastRenderedPageBreak/>
        <w:t xml:space="preserve">nombre del supuesto diverso propietario de su inmueble, con la debida documentación que ampare su propiedad; respuesta que si bien es cierto, que se dio a manera de información; sin embargo, la autoridad no acompañó el documento </w:t>
      </w:r>
      <w:r w:rsidR="00DC45B7">
        <w:rPr>
          <w:rFonts w:ascii="Arial" w:eastAsia="Calibri" w:hAnsi="Arial" w:cs="Arial"/>
          <w:sz w:val="24"/>
          <w:szCs w:val="24"/>
        </w:rPr>
        <w:t xml:space="preserve">que ampara dicha información, </w:t>
      </w:r>
      <w:r w:rsidR="00AC66DB">
        <w:rPr>
          <w:rFonts w:ascii="Arial" w:eastAsia="Calibri" w:hAnsi="Arial" w:cs="Arial"/>
          <w:sz w:val="24"/>
          <w:szCs w:val="24"/>
        </w:rPr>
        <w:t>p</w:t>
      </w:r>
      <w:r w:rsidR="00DC45B7">
        <w:rPr>
          <w:rFonts w:ascii="Arial" w:eastAsia="Calibri" w:hAnsi="Arial" w:cs="Arial"/>
          <w:sz w:val="24"/>
          <w:szCs w:val="24"/>
        </w:rPr>
        <w:t>ara señalar los antecedentes que se encuentran dentro del Padrón de la Dirección de Catastro, en el cual existe una inscripción a favor de una tercera persona, sin que dicha respuesta, tenga efecto legal alguno, pues se hizo a manera de información.</w:t>
      </w:r>
    </w:p>
    <w:p w:rsidR="00AC66DB" w:rsidRDefault="00AC66DB" w:rsidP="00FC5BE9">
      <w:pPr>
        <w:spacing w:after="0" w:line="360" w:lineRule="auto"/>
        <w:ind w:firstLine="708"/>
        <w:jc w:val="both"/>
        <w:rPr>
          <w:rFonts w:ascii="Arial" w:eastAsia="Calibri" w:hAnsi="Arial" w:cs="Arial"/>
          <w:sz w:val="24"/>
          <w:szCs w:val="24"/>
        </w:rPr>
      </w:pPr>
    </w:p>
    <w:p w:rsidR="00FC5BE9" w:rsidRPr="00FC5BE9" w:rsidRDefault="00DC45B7" w:rsidP="00FC5BE9">
      <w:pPr>
        <w:spacing w:after="0" w:line="360" w:lineRule="auto"/>
        <w:ind w:firstLine="708"/>
        <w:jc w:val="both"/>
        <w:rPr>
          <w:rFonts w:ascii="Arial" w:eastAsia="Calibri" w:hAnsi="Arial" w:cs="Arial"/>
          <w:sz w:val="24"/>
          <w:szCs w:val="24"/>
        </w:rPr>
      </w:pPr>
      <w:r>
        <w:rPr>
          <w:rFonts w:ascii="Arial" w:eastAsia="Calibri" w:hAnsi="Arial" w:cs="Arial"/>
          <w:sz w:val="24"/>
          <w:szCs w:val="24"/>
        </w:rPr>
        <w:t xml:space="preserve">Sin embargo, </w:t>
      </w:r>
      <w:r w:rsidR="00AC66DB">
        <w:rPr>
          <w:rFonts w:ascii="Arial" w:eastAsia="Calibri" w:hAnsi="Arial" w:cs="Arial"/>
          <w:sz w:val="24"/>
          <w:szCs w:val="24"/>
        </w:rPr>
        <w:t xml:space="preserve">la solicitud de la actora, </w:t>
      </w:r>
      <w:r>
        <w:rPr>
          <w:rFonts w:ascii="Arial" w:eastAsia="Calibri" w:hAnsi="Arial" w:cs="Arial"/>
          <w:sz w:val="24"/>
          <w:szCs w:val="24"/>
        </w:rPr>
        <w:t>versó</w:t>
      </w:r>
      <w:r w:rsidR="00AC66DB">
        <w:rPr>
          <w:rFonts w:ascii="Arial" w:eastAsia="Calibri" w:hAnsi="Arial" w:cs="Arial"/>
          <w:sz w:val="24"/>
          <w:szCs w:val="24"/>
        </w:rPr>
        <w:t xml:space="preserve"> en relación a la </w:t>
      </w:r>
      <w:r>
        <w:rPr>
          <w:rFonts w:ascii="Arial" w:eastAsia="Calibri" w:hAnsi="Arial" w:cs="Arial"/>
          <w:sz w:val="24"/>
          <w:szCs w:val="24"/>
        </w:rPr>
        <w:t xml:space="preserve">petición </w:t>
      </w:r>
      <w:r w:rsidR="00AC66DB">
        <w:rPr>
          <w:rFonts w:ascii="Arial" w:eastAsia="Calibri" w:hAnsi="Arial" w:cs="Arial"/>
          <w:sz w:val="24"/>
          <w:szCs w:val="24"/>
        </w:rPr>
        <w:t>de ser escuchada en relación a la situación de un trámite que se sigue ante la Oficina de Catastro Municipal</w:t>
      </w:r>
      <w:r>
        <w:rPr>
          <w:rFonts w:ascii="Arial" w:eastAsia="Calibri" w:hAnsi="Arial" w:cs="Arial"/>
          <w:sz w:val="24"/>
          <w:szCs w:val="24"/>
        </w:rPr>
        <w:t xml:space="preserve">, por lo que, fue </w:t>
      </w:r>
      <w:r w:rsidR="00FC5BE9" w:rsidRPr="00FC5BE9">
        <w:rPr>
          <w:rFonts w:ascii="Arial" w:eastAsia="Calibri" w:hAnsi="Arial" w:cs="Arial"/>
          <w:sz w:val="24"/>
          <w:szCs w:val="24"/>
        </w:rPr>
        <w:t>insuficiente que</w:t>
      </w:r>
      <w:r>
        <w:rPr>
          <w:rFonts w:ascii="Arial" w:eastAsia="Calibri" w:hAnsi="Arial" w:cs="Arial"/>
          <w:sz w:val="24"/>
          <w:szCs w:val="24"/>
        </w:rPr>
        <w:t xml:space="preserve"> la autoridad</w:t>
      </w:r>
      <w:r w:rsidR="00FC5BE9" w:rsidRPr="00FC5BE9">
        <w:rPr>
          <w:rFonts w:ascii="Arial" w:eastAsia="Calibri" w:hAnsi="Arial" w:cs="Arial"/>
          <w:sz w:val="24"/>
          <w:szCs w:val="24"/>
        </w:rPr>
        <w:t xml:space="preserve"> informara en el acto impugnado</w:t>
      </w:r>
      <w:r>
        <w:rPr>
          <w:rFonts w:ascii="Arial" w:eastAsia="Calibri" w:hAnsi="Arial" w:cs="Arial"/>
          <w:sz w:val="24"/>
          <w:szCs w:val="24"/>
        </w:rPr>
        <w:t xml:space="preserve"> que</w:t>
      </w:r>
      <w:r w:rsidR="00FC5BE9" w:rsidRPr="00FC5BE9">
        <w:rPr>
          <w:rFonts w:ascii="Arial" w:eastAsia="Calibri" w:hAnsi="Arial" w:cs="Arial"/>
          <w:sz w:val="24"/>
          <w:szCs w:val="24"/>
        </w:rPr>
        <w:t xml:space="preserve">, </w:t>
      </w:r>
      <w:r>
        <w:rPr>
          <w:rFonts w:ascii="Arial" w:eastAsia="Calibri" w:hAnsi="Arial" w:cs="Arial"/>
          <w:sz w:val="24"/>
          <w:szCs w:val="24"/>
        </w:rPr>
        <w:t>los antecedentes que se encuentran dentro del Padrón de la Dirección de Catastro, en el cual existe una inscripción a favor de una tercera persona,</w:t>
      </w:r>
      <w:r w:rsidR="00FC5BE9" w:rsidRPr="00FC5BE9">
        <w:rPr>
          <w:rFonts w:ascii="Arial" w:eastAsia="Calibri" w:hAnsi="Arial" w:cs="Arial"/>
          <w:sz w:val="24"/>
          <w:szCs w:val="24"/>
        </w:rPr>
        <w:t xml:space="preserve"> siendo que esto no constituye un análisis completo </w:t>
      </w:r>
      <w:r>
        <w:rPr>
          <w:rFonts w:ascii="Arial" w:eastAsia="Calibri" w:hAnsi="Arial" w:cs="Arial"/>
          <w:sz w:val="24"/>
          <w:szCs w:val="24"/>
        </w:rPr>
        <w:t xml:space="preserve">tanto de la solicitud de las actoras como </w:t>
      </w:r>
      <w:r w:rsidR="00FC5BE9" w:rsidRPr="00FC5BE9">
        <w:rPr>
          <w:rFonts w:ascii="Arial" w:eastAsia="Calibri" w:hAnsi="Arial" w:cs="Arial"/>
          <w:sz w:val="24"/>
          <w:szCs w:val="24"/>
        </w:rPr>
        <w:t xml:space="preserve">de las probanzas que fueron ofrecidas en su escrito de petición, a virtud de que </w:t>
      </w:r>
      <w:r w:rsidR="00FC5BE9" w:rsidRPr="00FC5BE9">
        <w:rPr>
          <w:rFonts w:ascii="Arial" w:eastAsia="Times New Roman" w:hAnsi="Arial" w:cs="Arial"/>
          <w:sz w:val="24"/>
          <w:szCs w:val="24"/>
          <w:lang w:val="es-ES" w:eastAsia="es-ES"/>
        </w:rPr>
        <w:t>no fueron valoradas en su integridad en cuanto a su contenido y validez, para de</w:t>
      </w:r>
      <w:r>
        <w:rPr>
          <w:rFonts w:ascii="Arial" w:eastAsia="Times New Roman" w:hAnsi="Arial" w:cs="Arial"/>
          <w:sz w:val="24"/>
          <w:szCs w:val="24"/>
          <w:lang w:val="es-ES" w:eastAsia="es-ES"/>
        </w:rPr>
        <w:t xml:space="preserve"> esta manera, turnarlo a la autoridad competente, como lo es la Dirección de Catastro, quien es la competente </w:t>
      </w:r>
      <w:r w:rsidR="00FC5BE9" w:rsidRPr="00FC5BE9">
        <w:rPr>
          <w:rFonts w:ascii="Arial" w:eastAsia="Times New Roman" w:hAnsi="Arial" w:cs="Arial"/>
          <w:sz w:val="24"/>
          <w:szCs w:val="24"/>
          <w:lang w:val="es-ES" w:eastAsia="es-ES"/>
        </w:rPr>
        <w:t xml:space="preserve">para otorgar lo peticionado por </w:t>
      </w:r>
      <w:r>
        <w:rPr>
          <w:rFonts w:ascii="Arial" w:eastAsia="Times New Roman" w:hAnsi="Arial" w:cs="Arial"/>
          <w:sz w:val="24"/>
          <w:szCs w:val="24"/>
          <w:lang w:val="es-ES" w:eastAsia="es-ES"/>
        </w:rPr>
        <w:t>las accionantes</w:t>
      </w:r>
      <w:r w:rsidR="00FC5BE9" w:rsidRPr="00FC5BE9">
        <w:rPr>
          <w:rFonts w:ascii="Arial" w:eastAsia="Times New Roman" w:hAnsi="Arial" w:cs="Arial"/>
          <w:sz w:val="24"/>
          <w:szCs w:val="24"/>
          <w:lang w:val="es-ES" w:eastAsia="es-ES"/>
        </w:rPr>
        <w:t>.</w:t>
      </w:r>
    </w:p>
    <w:p w:rsidR="00FC5BE9" w:rsidRPr="00FC5BE9" w:rsidRDefault="00FC5BE9" w:rsidP="00FC5BE9">
      <w:pPr>
        <w:spacing w:after="0" w:line="360" w:lineRule="auto"/>
        <w:ind w:firstLine="708"/>
        <w:jc w:val="both"/>
        <w:rPr>
          <w:rFonts w:ascii="Arial" w:eastAsia="Times New Roman" w:hAnsi="Arial" w:cs="Arial"/>
          <w:sz w:val="24"/>
          <w:szCs w:val="24"/>
          <w:lang w:val="es-ES" w:eastAsia="es-ES"/>
        </w:rPr>
      </w:pPr>
    </w:p>
    <w:p w:rsidR="00FC5BE9" w:rsidRPr="00FC5BE9" w:rsidRDefault="00FC5BE9" w:rsidP="00FC5BE9">
      <w:pPr>
        <w:spacing w:after="0" w:line="360" w:lineRule="auto"/>
        <w:ind w:firstLine="708"/>
        <w:jc w:val="both"/>
        <w:rPr>
          <w:rFonts w:ascii="Arial" w:eastAsia="Calibri" w:hAnsi="Arial" w:cs="Arial"/>
          <w:sz w:val="24"/>
          <w:szCs w:val="24"/>
        </w:rPr>
      </w:pPr>
      <w:r w:rsidRPr="00FC5BE9">
        <w:rPr>
          <w:rFonts w:ascii="Arial" w:eastAsia="Calibri" w:hAnsi="Arial" w:cs="Arial"/>
          <w:sz w:val="24"/>
          <w:szCs w:val="24"/>
        </w:rPr>
        <w:t xml:space="preserve">Lo que conlleva </w:t>
      </w:r>
      <w:r w:rsidRPr="00FC5BE9">
        <w:rPr>
          <w:rFonts w:ascii="Arial" w:eastAsia="Calibri" w:hAnsi="Arial" w:cs="Arial"/>
          <w:b/>
          <w:sz w:val="24"/>
          <w:szCs w:val="24"/>
        </w:rPr>
        <w:t>una incongruencia externa por deficiencia</w:t>
      </w:r>
      <w:r w:rsidRPr="00FC5BE9">
        <w:rPr>
          <w:rFonts w:ascii="Arial" w:eastAsia="Calibri" w:hAnsi="Arial" w:cs="Arial"/>
          <w:sz w:val="24"/>
          <w:szCs w:val="24"/>
        </w:rPr>
        <w:t xml:space="preserve"> en el estudio del punto litigioso que </w:t>
      </w:r>
      <w:r w:rsidR="00DC45B7">
        <w:rPr>
          <w:rFonts w:ascii="Arial" w:eastAsia="Calibri" w:hAnsi="Arial" w:cs="Arial"/>
          <w:sz w:val="24"/>
          <w:szCs w:val="24"/>
        </w:rPr>
        <w:t xml:space="preserve">le fue sometido a esa autoridad, </w:t>
      </w:r>
      <w:r w:rsidRPr="00FC5BE9">
        <w:rPr>
          <w:rFonts w:ascii="Arial" w:eastAsia="Times New Roman" w:hAnsi="Arial" w:cs="Arial"/>
          <w:sz w:val="24"/>
          <w:szCs w:val="24"/>
          <w:lang w:val="es-ES" w:eastAsia="es-ES"/>
        </w:rPr>
        <w:t xml:space="preserve">lo que genera que </w:t>
      </w:r>
      <w:r w:rsidRPr="00FC5BE9">
        <w:rPr>
          <w:rFonts w:ascii="Arial" w:eastAsia="Calibri" w:hAnsi="Arial" w:cs="Arial"/>
          <w:sz w:val="24"/>
          <w:szCs w:val="24"/>
        </w:rPr>
        <w:t xml:space="preserve">la resolución que se impugna fuera dictada sin la debida fundamentación y motivación a lo solicitado por el accionante, los cuales están concatenadas con los diversos </w:t>
      </w:r>
      <w:r w:rsidRPr="00FC5BE9">
        <w:rPr>
          <w:rFonts w:ascii="Arial" w:eastAsia="Calibri" w:hAnsi="Arial" w:cs="Arial"/>
          <w:b/>
          <w:sz w:val="24"/>
          <w:szCs w:val="24"/>
        </w:rPr>
        <w:t xml:space="preserve">principios de exhaustividad y congruencia, </w:t>
      </w:r>
      <w:r w:rsidRPr="00FC5BE9">
        <w:rPr>
          <w:rFonts w:ascii="Arial" w:eastAsia="Calibri" w:hAnsi="Arial" w:cs="Arial"/>
          <w:sz w:val="24"/>
          <w:szCs w:val="24"/>
        </w:rPr>
        <w:t xml:space="preserve">conforme a los cuales, la autoridad competente está obligada al emitir su fallo, de ocuparse de todas y cada una de las pretensiones que plantea la parte que pide, </w:t>
      </w:r>
      <w:r w:rsidR="00DC45B7">
        <w:rPr>
          <w:rFonts w:ascii="Arial" w:eastAsia="Calibri" w:hAnsi="Arial" w:cs="Arial"/>
          <w:sz w:val="24"/>
          <w:szCs w:val="24"/>
        </w:rPr>
        <w:t xml:space="preserve">junto con la </w:t>
      </w:r>
      <w:r w:rsidRPr="00FC5BE9">
        <w:rPr>
          <w:rFonts w:ascii="Arial" w:eastAsia="Arial Unicode MS" w:hAnsi="Arial" w:cs="Arial"/>
          <w:sz w:val="24"/>
          <w:szCs w:val="24"/>
          <w:lang w:eastAsia="es-MX"/>
        </w:rPr>
        <w:t xml:space="preserve">valoración de las pruebas aportadas en el procedimiento, </w:t>
      </w:r>
      <w:r w:rsidRPr="00FC5BE9">
        <w:rPr>
          <w:rFonts w:ascii="Arial" w:eastAsia="Calibri" w:hAnsi="Arial" w:cs="Arial"/>
          <w:sz w:val="24"/>
          <w:szCs w:val="24"/>
        </w:rPr>
        <w:t xml:space="preserve">lo que se traduce en una violación al artículo 14, 16 párrafo primero y 17 de nuestra Carta Magna, en contravención de los elementos y requisitos del acto administrativo que se establecen en los numerales 164 fracciones V y VI y 165 fracciones II y III del Código Procesal Administrativo, que a la letra dicen: </w:t>
      </w:r>
    </w:p>
    <w:p w:rsidR="00FC5BE9" w:rsidRPr="00FC5BE9" w:rsidRDefault="00FC5BE9" w:rsidP="00FC5BE9">
      <w:pPr>
        <w:spacing w:after="0" w:line="240" w:lineRule="auto"/>
        <w:ind w:firstLine="709"/>
        <w:jc w:val="both"/>
        <w:rPr>
          <w:rFonts w:ascii="Arial" w:eastAsia="Calibri" w:hAnsi="Arial" w:cs="Arial"/>
          <w:i/>
          <w:sz w:val="24"/>
          <w:szCs w:val="24"/>
        </w:rPr>
      </w:pPr>
    </w:p>
    <w:p w:rsidR="00FC5BE9" w:rsidRPr="00FC5BE9" w:rsidRDefault="00FC5BE9" w:rsidP="00FC5BE9">
      <w:pPr>
        <w:autoSpaceDE w:val="0"/>
        <w:autoSpaceDN w:val="0"/>
        <w:adjustRightInd w:val="0"/>
        <w:spacing w:after="0"/>
        <w:ind w:left="709"/>
        <w:jc w:val="both"/>
        <w:rPr>
          <w:rFonts w:ascii="Arial" w:eastAsia="Calibri" w:hAnsi="Arial" w:cs="Arial"/>
          <w:i/>
        </w:rPr>
      </w:pPr>
      <w:r w:rsidRPr="00FC5BE9">
        <w:rPr>
          <w:rFonts w:ascii="Arial" w:eastAsia="Calibri" w:hAnsi="Arial" w:cs="Arial"/>
          <w:b/>
          <w:i/>
        </w:rPr>
        <w:t xml:space="preserve">“Artículo 164. </w:t>
      </w:r>
      <w:r w:rsidRPr="00FC5BE9">
        <w:rPr>
          <w:rFonts w:ascii="Arial" w:eastAsia="Calibri" w:hAnsi="Arial" w:cs="Arial"/>
          <w:i/>
        </w:rPr>
        <w:t>Son elementos del acto administrativo:</w:t>
      </w:r>
    </w:p>
    <w:p w:rsidR="00FC5BE9" w:rsidRPr="00FC5BE9" w:rsidRDefault="00FC5BE9" w:rsidP="00FC5BE9">
      <w:pPr>
        <w:autoSpaceDE w:val="0"/>
        <w:autoSpaceDN w:val="0"/>
        <w:adjustRightInd w:val="0"/>
        <w:spacing w:after="0"/>
        <w:ind w:left="709"/>
        <w:jc w:val="both"/>
        <w:rPr>
          <w:rFonts w:ascii="Arial" w:eastAsia="Calibri" w:hAnsi="Arial" w:cs="Arial"/>
          <w:i/>
        </w:rPr>
      </w:pPr>
    </w:p>
    <w:p w:rsidR="00FC5BE9" w:rsidRPr="00FC5BE9" w:rsidRDefault="00FC5BE9" w:rsidP="00FC5BE9">
      <w:pPr>
        <w:autoSpaceDE w:val="0"/>
        <w:autoSpaceDN w:val="0"/>
        <w:adjustRightInd w:val="0"/>
        <w:spacing w:after="0"/>
        <w:ind w:left="709"/>
        <w:jc w:val="both"/>
        <w:rPr>
          <w:rFonts w:ascii="Arial" w:eastAsia="Calibri" w:hAnsi="Arial" w:cs="Arial"/>
          <w:i/>
        </w:rPr>
      </w:pPr>
      <w:r w:rsidRPr="00FC5BE9">
        <w:rPr>
          <w:rFonts w:ascii="Arial" w:eastAsia="Calibri" w:hAnsi="Arial" w:cs="Arial"/>
          <w:i/>
        </w:rPr>
        <w:t>“…V.  Estar fundado y motivado;</w:t>
      </w:r>
    </w:p>
    <w:p w:rsidR="00FC5BE9" w:rsidRPr="00FC5BE9" w:rsidRDefault="00FC5BE9" w:rsidP="00FC5BE9">
      <w:pPr>
        <w:autoSpaceDE w:val="0"/>
        <w:autoSpaceDN w:val="0"/>
        <w:adjustRightInd w:val="0"/>
        <w:spacing w:after="0"/>
        <w:ind w:left="709"/>
        <w:jc w:val="both"/>
        <w:rPr>
          <w:rFonts w:ascii="Arial" w:eastAsia="Calibri" w:hAnsi="Arial" w:cs="Arial"/>
          <w:i/>
        </w:rPr>
      </w:pPr>
    </w:p>
    <w:p w:rsidR="00FC5BE9" w:rsidRPr="00FC5BE9" w:rsidRDefault="00FC5BE9" w:rsidP="00FC5BE9">
      <w:pPr>
        <w:autoSpaceDE w:val="0"/>
        <w:autoSpaceDN w:val="0"/>
        <w:adjustRightInd w:val="0"/>
        <w:spacing w:after="0"/>
        <w:ind w:left="709"/>
        <w:jc w:val="both"/>
        <w:rPr>
          <w:rFonts w:ascii="Arial" w:eastAsia="Calibri" w:hAnsi="Arial" w:cs="Arial"/>
          <w:i/>
        </w:rPr>
      </w:pPr>
      <w:r w:rsidRPr="00FC5BE9">
        <w:rPr>
          <w:rFonts w:ascii="Arial" w:eastAsia="Calibri" w:hAnsi="Arial" w:cs="Arial"/>
          <w:i/>
        </w:rPr>
        <w:lastRenderedPageBreak/>
        <w:t>VI. Ser expedido sin que medie error de hecho o de derecho sobre el objeto, causa o motivo, o fin del acto y su emisión, y</w:t>
      </w:r>
    </w:p>
    <w:p w:rsidR="00FC5BE9" w:rsidRPr="00FC5BE9" w:rsidRDefault="00FC5BE9" w:rsidP="00FC5BE9">
      <w:pPr>
        <w:autoSpaceDE w:val="0"/>
        <w:autoSpaceDN w:val="0"/>
        <w:adjustRightInd w:val="0"/>
        <w:spacing w:after="0"/>
        <w:ind w:left="709"/>
        <w:jc w:val="both"/>
        <w:rPr>
          <w:rFonts w:ascii="Arial" w:eastAsia="Calibri" w:hAnsi="Arial" w:cs="Arial"/>
          <w:i/>
        </w:rPr>
      </w:pPr>
    </w:p>
    <w:p w:rsidR="00FC5BE9" w:rsidRPr="00FC5BE9" w:rsidRDefault="00FC5BE9" w:rsidP="00FC5BE9">
      <w:pPr>
        <w:autoSpaceDE w:val="0"/>
        <w:autoSpaceDN w:val="0"/>
        <w:adjustRightInd w:val="0"/>
        <w:spacing w:after="0"/>
        <w:ind w:left="709"/>
        <w:jc w:val="both"/>
        <w:rPr>
          <w:rFonts w:ascii="Arial" w:eastAsia="Calibri" w:hAnsi="Arial" w:cs="Arial"/>
          <w:i/>
        </w:rPr>
      </w:pPr>
      <w:r w:rsidRPr="00FC5BE9">
        <w:rPr>
          <w:rFonts w:ascii="Arial" w:eastAsia="Calibri" w:hAnsi="Arial" w:cs="Arial"/>
          <w:b/>
          <w:i/>
        </w:rPr>
        <w:t xml:space="preserve">“Artículo 165. </w:t>
      </w:r>
      <w:r w:rsidRPr="00FC5BE9">
        <w:rPr>
          <w:rFonts w:ascii="Arial" w:eastAsia="Calibri" w:hAnsi="Arial" w:cs="Arial"/>
          <w:i/>
        </w:rPr>
        <w:t>Son requisitos del acto administrativo:</w:t>
      </w:r>
    </w:p>
    <w:p w:rsidR="00FC5BE9" w:rsidRPr="00FC5BE9" w:rsidRDefault="00FC5BE9" w:rsidP="00FC5BE9">
      <w:pPr>
        <w:autoSpaceDE w:val="0"/>
        <w:autoSpaceDN w:val="0"/>
        <w:adjustRightInd w:val="0"/>
        <w:spacing w:after="0"/>
        <w:ind w:left="709"/>
        <w:jc w:val="both"/>
        <w:rPr>
          <w:rFonts w:ascii="Arial" w:eastAsia="Calibri" w:hAnsi="Arial" w:cs="Arial"/>
          <w:i/>
        </w:rPr>
      </w:pPr>
    </w:p>
    <w:p w:rsidR="00FC5BE9" w:rsidRPr="00FC5BE9" w:rsidRDefault="00FC5BE9" w:rsidP="00FC5BE9">
      <w:pPr>
        <w:autoSpaceDE w:val="0"/>
        <w:autoSpaceDN w:val="0"/>
        <w:adjustRightInd w:val="0"/>
        <w:spacing w:after="0"/>
        <w:ind w:left="709"/>
        <w:jc w:val="both"/>
        <w:rPr>
          <w:rFonts w:ascii="Arial" w:eastAsia="Calibri" w:hAnsi="Arial" w:cs="Arial"/>
          <w:i/>
        </w:rPr>
      </w:pPr>
      <w:r w:rsidRPr="00FC5BE9">
        <w:rPr>
          <w:rFonts w:ascii="Arial" w:eastAsia="Calibri" w:hAnsi="Arial" w:cs="Arial"/>
          <w:i/>
        </w:rPr>
        <w:t>“…II. Que se encuentre adecuadamente fundado y motivado;</w:t>
      </w:r>
    </w:p>
    <w:p w:rsidR="00FC5BE9" w:rsidRPr="00FC5BE9" w:rsidRDefault="00FC5BE9" w:rsidP="00FC5BE9">
      <w:pPr>
        <w:autoSpaceDE w:val="0"/>
        <w:autoSpaceDN w:val="0"/>
        <w:adjustRightInd w:val="0"/>
        <w:spacing w:after="0"/>
        <w:ind w:left="709"/>
        <w:jc w:val="both"/>
        <w:rPr>
          <w:rFonts w:ascii="Arial" w:eastAsia="Calibri" w:hAnsi="Arial" w:cs="Arial"/>
          <w:i/>
        </w:rPr>
      </w:pPr>
    </w:p>
    <w:p w:rsidR="00FC5BE9" w:rsidRPr="00FC5BE9" w:rsidRDefault="00FC5BE9" w:rsidP="00FC5BE9">
      <w:pPr>
        <w:autoSpaceDE w:val="0"/>
        <w:autoSpaceDN w:val="0"/>
        <w:adjustRightInd w:val="0"/>
        <w:spacing w:after="0"/>
        <w:ind w:left="709"/>
        <w:jc w:val="both"/>
        <w:rPr>
          <w:rFonts w:ascii="Arial" w:eastAsia="Calibri" w:hAnsi="Arial" w:cs="Arial"/>
          <w:i/>
        </w:rPr>
      </w:pPr>
      <w:r w:rsidRPr="00FC5BE9">
        <w:rPr>
          <w:rFonts w:ascii="Arial" w:eastAsia="Calibri" w:hAnsi="Arial" w:cs="Arial"/>
          <w:i/>
        </w:rPr>
        <w:t>“…III. Que se expida de manera congruente con lo solicitado y resolver expresamente todos los puntos propuestos por el interesado o previstos por las normas…”</w:t>
      </w:r>
    </w:p>
    <w:p w:rsidR="00FC5BE9" w:rsidRPr="00FC5BE9" w:rsidRDefault="00FC5BE9" w:rsidP="00FC5BE9">
      <w:pPr>
        <w:autoSpaceDE w:val="0"/>
        <w:autoSpaceDN w:val="0"/>
        <w:adjustRightInd w:val="0"/>
        <w:spacing w:after="0"/>
        <w:ind w:left="709"/>
        <w:jc w:val="both"/>
        <w:rPr>
          <w:rFonts w:ascii="Arial" w:eastAsia="Calibri" w:hAnsi="Arial" w:cs="Arial"/>
          <w:i/>
        </w:rPr>
      </w:pPr>
    </w:p>
    <w:p w:rsidR="00FC5BE9" w:rsidRPr="00FC5BE9" w:rsidRDefault="00FC5BE9" w:rsidP="00FC5BE9">
      <w:pPr>
        <w:spacing w:after="0" w:line="360" w:lineRule="auto"/>
        <w:ind w:firstLine="708"/>
        <w:jc w:val="both"/>
        <w:rPr>
          <w:rFonts w:ascii="Arial" w:eastAsia="Calibri" w:hAnsi="Arial" w:cs="Arial"/>
          <w:b/>
          <w:sz w:val="24"/>
          <w:szCs w:val="24"/>
          <w:u w:val="single"/>
        </w:rPr>
      </w:pPr>
      <w:r w:rsidRPr="00FC5BE9">
        <w:rPr>
          <w:rFonts w:ascii="Arial" w:eastAsia="Calibri" w:hAnsi="Arial" w:cs="Arial"/>
          <w:sz w:val="24"/>
          <w:szCs w:val="24"/>
        </w:rPr>
        <w:t xml:space="preserve">En efecto, se tiene que la autoridad demandada al emitir el acto impugnado, omite atender la exigencia de fundamentación y motivación concatenada con los diversos principios de exhaustividad y congruencia, conforme a los cuales, la autoridad competente está obligada al emitir su fallo, </w:t>
      </w:r>
      <w:r w:rsidRPr="00FC5BE9">
        <w:rPr>
          <w:rFonts w:ascii="Arial" w:eastAsia="Calibri" w:hAnsi="Arial" w:cs="Arial"/>
          <w:b/>
          <w:sz w:val="24"/>
          <w:szCs w:val="24"/>
        </w:rPr>
        <w:t>de ocuparse de todas y cada una de las pretensiones que plantea el peticionario, pues la  congruencia,</w:t>
      </w:r>
      <w:r w:rsidRPr="00FC5BE9">
        <w:rPr>
          <w:rFonts w:ascii="Arial" w:eastAsia="Calibri" w:hAnsi="Arial" w:cs="Arial"/>
          <w:sz w:val="24"/>
          <w:szCs w:val="24"/>
        </w:rPr>
        <w:t xml:space="preserve"> es un principio normativo que delimita el contenido de las resoluciones judiciales o administrativas que deben pronunciarse, de acuerdo con el sentido y alcance de las peticiones formuladas por las partes; conforme a los cuales, la autoridad competente está obligada al emitir su fallo, </w:t>
      </w:r>
      <w:r w:rsidRPr="00FC5BE9">
        <w:rPr>
          <w:rFonts w:ascii="Arial" w:eastAsia="Calibri" w:hAnsi="Arial" w:cs="Arial"/>
          <w:b/>
          <w:sz w:val="24"/>
          <w:szCs w:val="24"/>
          <w:u w:val="single"/>
        </w:rPr>
        <w:t xml:space="preserve">de ocuparse de todas y cada una de las pretensiones que plantea la parte que pide. </w:t>
      </w:r>
    </w:p>
    <w:p w:rsidR="00FC5BE9" w:rsidRPr="00FC5BE9" w:rsidRDefault="00FC5BE9" w:rsidP="00FC5BE9">
      <w:pPr>
        <w:spacing w:after="0" w:line="360" w:lineRule="auto"/>
        <w:ind w:firstLine="708"/>
        <w:jc w:val="both"/>
        <w:rPr>
          <w:rFonts w:ascii="Arial" w:eastAsia="Calibri" w:hAnsi="Arial" w:cs="Arial"/>
          <w:b/>
          <w:sz w:val="24"/>
          <w:szCs w:val="24"/>
          <w:u w:val="single"/>
        </w:rPr>
      </w:pPr>
    </w:p>
    <w:p w:rsidR="008D5F24" w:rsidRDefault="00FC5BE9" w:rsidP="00DC45B7">
      <w:pPr>
        <w:spacing w:after="0" w:line="360" w:lineRule="auto"/>
        <w:ind w:firstLine="708"/>
        <w:jc w:val="both"/>
        <w:rPr>
          <w:rFonts w:ascii="Arial" w:eastAsia="Times New Roman" w:hAnsi="Arial" w:cs="Arial"/>
          <w:sz w:val="24"/>
          <w:szCs w:val="24"/>
          <w:lang w:val="es-ES" w:eastAsia="es-ES"/>
        </w:rPr>
      </w:pPr>
      <w:r w:rsidRPr="00FC5BE9">
        <w:rPr>
          <w:rFonts w:ascii="Arial" w:eastAsia="Times New Roman" w:hAnsi="Arial" w:cs="Arial"/>
          <w:sz w:val="24"/>
          <w:szCs w:val="24"/>
          <w:lang w:val="es-ES" w:eastAsia="es-ES"/>
        </w:rPr>
        <w:t xml:space="preserve">Circunstancias que </w:t>
      </w:r>
      <w:r w:rsidRPr="00FC5BE9">
        <w:rPr>
          <w:rFonts w:ascii="Arial" w:eastAsia="Calibri" w:hAnsi="Arial" w:cs="Arial"/>
          <w:sz w:val="24"/>
          <w:szCs w:val="24"/>
        </w:rPr>
        <w:t>resulta</w:t>
      </w:r>
      <w:r w:rsidR="00DC45B7">
        <w:rPr>
          <w:rFonts w:ascii="Arial" w:eastAsia="Calibri" w:hAnsi="Arial" w:cs="Arial"/>
          <w:sz w:val="24"/>
          <w:szCs w:val="24"/>
        </w:rPr>
        <w:t>n</w:t>
      </w:r>
      <w:r w:rsidRPr="00FC5BE9">
        <w:rPr>
          <w:rFonts w:ascii="Arial" w:eastAsia="Calibri" w:hAnsi="Arial" w:cs="Arial"/>
          <w:sz w:val="24"/>
          <w:szCs w:val="24"/>
        </w:rPr>
        <w:t xml:space="preserve"> violatori</w:t>
      </w:r>
      <w:r w:rsidR="00DC45B7">
        <w:rPr>
          <w:rFonts w:ascii="Arial" w:eastAsia="Calibri" w:hAnsi="Arial" w:cs="Arial"/>
          <w:sz w:val="24"/>
          <w:szCs w:val="24"/>
        </w:rPr>
        <w:t>as</w:t>
      </w:r>
      <w:r w:rsidRPr="00FC5BE9">
        <w:rPr>
          <w:rFonts w:ascii="Arial" w:eastAsia="Calibri" w:hAnsi="Arial" w:cs="Arial"/>
          <w:sz w:val="24"/>
          <w:szCs w:val="24"/>
        </w:rPr>
        <w:t xml:space="preserve"> de los derechos humanos de audiencia, legalidad y seguridad jurídica, previstos en los artículos 14, 16 y 17  Constitucionales y con las formalidades de fundamentación y motivación que se establecen en los numerales 164 fracciones V y VI y 165 fracciones II y III del Código Procesal Administrativo; a virtud de que </w:t>
      </w:r>
      <w:r w:rsidR="00DC45B7">
        <w:rPr>
          <w:rFonts w:ascii="Arial" w:eastAsia="Calibri" w:hAnsi="Arial" w:cs="Arial"/>
          <w:sz w:val="24"/>
          <w:szCs w:val="24"/>
        </w:rPr>
        <w:t>dio respuesta a la solicitud de las actoras a manera de información, pero sin remitirse junto con las pruebas aportadas por la actora, a la autoridad competente como lo es la Dirección de Catastro Municipal</w:t>
      </w:r>
      <w:r w:rsidRPr="00FC5BE9">
        <w:rPr>
          <w:rFonts w:ascii="Arial" w:eastAsia="Times New Roman" w:hAnsi="Arial" w:cs="Arial"/>
          <w:sz w:val="24"/>
          <w:szCs w:val="24"/>
          <w:lang w:val="es-ES" w:eastAsia="es-ES"/>
        </w:rPr>
        <w:t xml:space="preserve">, siendo incorrecto que </w:t>
      </w:r>
      <w:r w:rsidR="00DC45B7">
        <w:rPr>
          <w:rFonts w:ascii="Arial" w:eastAsia="Times New Roman" w:hAnsi="Arial" w:cs="Arial"/>
          <w:sz w:val="24"/>
          <w:szCs w:val="24"/>
          <w:lang w:val="es-ES" w:eastAsia="es-ES"/>
        </w:rPr>
        <w:t xml:space="preserve">esta autoridad </w:t>
      </w:r>
      <w:r w:rsidRPr="00FC5BE9">
        <w:rPr>
          <w:rFonts w:ascii="Arial" w:eastAsia="Times New Roman" w:hAnsi="Arial" w:cs="Arial"/>
          <w:sz w:val="24"/>
          <w:szCs w:val="24"/>
          <w:lang w:val="es-ES" w:eastAsia="es-ES"/>
        </w:rPr>
        <w:t>únicamente se abocara a su análisis de forma genérica; lo que consta en el t</w:t>
      </w:r>
      <w:r w:rsidR="008D5F24">
        <w:rPr>
          <w:rFonts w:ascii="Arial" w:eastAsia="Times New Roman" w:hAnsi="Arial" w:cs="Arial"/>
          <w:sz w:val="24"/>
          <w:szCs w:val="24"/>
          <w:lang w:val="es-ES" w:eastAsia="es-ES"/>
        </w:rPr>
        <w:t>exto de la resolución impugnada, siendo que no era la autoridad competente para emitir la contestación correspondiente a la petición de las actoras, contraviniendo lo dispuesto por el segundo párrafo del artículo 182 del Código Procesal Administrativo para el Estado de San Luis Potosí, que establece:</w:t>
      </w:r>
    </w:p>
    <w:p w:rsidR="008D5F24" w:rsidRDefault="008D5F24" w:rsidP="00DC45B7">
      <w:pPr>
        <w:spacing w:after="0" w:line="360" w:lineRule="auto"/>
        <w:ind w:firstLine="708"/>
        <w:jc w:val="both"/>
        <w:rPr>
          <w:rFonts w:ascii="Arial" w:eastAsia="Times New Roman" w:hAnsi="Arial" w:cs="Arial"/>
          <w:sz w:val="24"/>
          <w:szCs w:val="24"/>
          <w:lang w:val="es-ES" w:eastAsia="es-ES"/>
        </w:rPr>
      </w:pPr>
    </w:p>
    <w:p w:rsidR="008D5F24" w:rsidRPr="008D5F24" w:rsidRDefault="008D5F24" w:rsidP="00DC45B7">
      <w:pPr>
        <w:spacing w:after="0" w:line="360" w:lineRule="auto"/>
        <w:ind w:firstLine="708"/>
        <w:jc w:val="both"/>
        <w:rPr>
          <w:rFonts w:ascii="Arial" w:eastAsia="Times New Roman" w:hAnsi="Arial" w:cs="Arial"/>
          <w:i/>
          <w:sz w:val="24"/>
          <w:szCs w:val="24"/>
          <w:lang w:val="es-ES" w:eastAsia="es-ES"/>
        </w:rPr>
      </w:pPr>
      <w:r w:rsidRPr="008D5F24">
        <w:rPr>
          <w:rFonts w:ascii="Arial" w:eastAsia="Times New Roman" w:hAnsi="Arial" w:cs="Arial"/>
          <w:i/>
          <w:sz w:val="24"/>
          <w:szCs w:val="24"/>
          <w:lang w:val="es-ES" w:eastAsia="es-ES"/>
        </w:rPr>
        <w:t>“</w:t>
      </w:r>
      <w:r w:rsidRPr="008D5F24">
        <w:rPr>
          <w:rFonts w:ascii="Arial" w:eastAsia="Times New Roman" w:hAnsi="Arial" w:cs="Arial"/>
          <w:b/>
          <w:i/>
          <w:sz w:val="24"/>
          <w:szCs w:val="24"/>
          <w:lang w:val="es-ES" w:eastAsia="es-ES"/>
        </w:rPr>
        <w:t>ARTICULO 182.-</w:t>
      </w:r>
      <w:r w:rsidRPr="008D5F24">
        <w:rPr>
          <w:rFonts w:ascii="Arial" w:eastAsia="Times New Roman" w:hAnsi="Arial" w:cs="Arial"/>
          <w:i/>
          <w:sz w:val="24"/>
          <w:szCs w:val="24"/>
          <w:lang w:val="es-ES" w:eastAsia="es-ES"/>
        </w:rPr>
        <w:t xml:space="preserve"> Los escritos dirigidos a la administración pública estatal o municipal deberán presentarse directamente en sus oficinas autorizadas para tales efectos, en las oficinas de correos, mediante </w:t>
      </w:r>
      <w:r w:rsidRPr="008D5F24">
        <w:rPr>
          <w:rFonts w:ascii="Arial" w:eastAsia="Times New Roman" w:hAnsi="Arial" w:cs="Arial"/>
          <w:i/>
          <w:sz w:val="24"/>
          <w:szCs w:val="24"/>
          <w:lang w:val="es-ES" w:eastAsia="es-ES"/>
        </w:rPr>
        <w:lastRenderedPageBreak/>
        <w:t>mensajería o telefax, salvo el caso de los escritos iniciales, los cuales deberá presentarse precisamente en las oficinas administrativas correspondientes.</w:t>
      </w:r>
    </w:p>
    <w:p w:rsidR="008D5F24" w:rsidRPr="008D5F24" w:rsidRDefault="008D5F24" w:rsidP="00DC45B7">
      <w:pPr>
        <w:spacing w:after="0" w:line="360" w:lineRule="auto"/>
        <w:ind w:firstLine="708"/>
        <w:jc w:val="both"/>
        <w:rPr>
          <w:rFonts w:ascii="Arial" w:eastAsia="Times New Roman" w:hAnsi="Arial" w:cs="Arial"/>
          <w:i/>
          <w:sz w:val="24"/>
          <w:szCs w:val="24"/>
          <w:lang w:val="es-ES" w:eastAsia="es-ES"/>
        </w:rPr>
      </w:pPr>
      <w:r w:rsidRPr="008D5F24">
        <w:rPr>
          <w:rFonts w:ascii="Arial" w:eastAsia="Times New Roman" w:hAnsi="Arial" w:cs="Arial"/>
          <w:i/>
          <w:sz w:val="24"/>
          <w:szCs w:val="24"/>
          <w:lang w:val="es-ES" w:eastAsia="es-ES"/>
        </w:rPr>
        <w:t>Cuando un escrito sea presentado ante un órgano incompetente, dicho órgano remitirá la promoción al que sea competente en el plazo de cinco días. En tal caso, se tendrá como fecha de presentación la del acuse de recibo del órgano incompetente, salvo que éste aperciba al particular en el sentido de que su ocurso se recibe sólo para el efecto de ser turnado a la autoridad competente; de esta circunstancia deberá dejarse constancia por escrito en el propio documento y en la copia sellada que al efecto se exhiba.</w:t>
      </w:r>
    </w:p>
    <w:p w:rsidR="008D5F24" w:rsidRPr="008D5F24" w:rsidRDefault="008D5F24" w:rsidP="00DC45B7">
      <w:pPr>
        <w:spacing w:after="0" w:line="360" w:lineRule="auto"/>
        <w:ind w:firstLine="708"/>
        <w:jc w:val="both"/>
        <w:rPr>
          <w:rFonts w:ascii="Arial" w:eastAsia="Times New Roman" w:hAnsi="Arial" w:cs="Arial"/>
          <w:i/>
          <w:sz w:val="24"/>
          <w:szCs w:val="24"/>
          <w:lang w:val="es-ES" w:eastAsia="es-ES"/>
        </w:rPr>
      </w:pPr>
      <w:r w:rsidRPr="008D5F24">
        <w:rPr>
          <w:rFonts w:ascii="Arial" w:eastAsia="Times New Roman" w:hAnsi="Arial" w:cs="Arial"/>
          <w:i/>
          <w:sz w:val="24"/>
          <w:szCs w:val="24"/>
          <w:lang w:val="es-ES" w:eastAsia="es-ES"/>
        </w:rPr>
        <w:t>…”</w:t>
      </w:r>
    </w:p>
    <w:p w:rsidR="008D5F24" w:rsidRDefault="008D5F24" w:rsidP="00DC45B7">
      <w:pPr>
        <w:spacing w:after="0" w:line="360" w:lineRule="auto"/>
        <w:ind w:firstLine="708"/>
        <w:jc w:val="both"/>
        <w:rPr>
          <w:rFonts w:ascii="Arial" w:eastAsia="Times New Roman" w:hAnsi="Arial" w:cs="Arial"/>
          <w:sz w:val="24"/>
          <w:szCs w:val="24"/>
          <w:lang w:val="es-ES" w:eastAsia="es-ES"/>
        </w:rPr>
      </w:pPr>
    </w:p>
    <w:p w:rsidR="00B91BFA" w:rsidRDefault="00FC5BE9" w:rsidP="00B91BFA">
      <w:pPr>
        <w:spacing w:after="0" w:line="360" w:lineRule="auto"/>
        <w:jc w:val="both"/>
        <w:rPr>
          <w:rFonts w:ascii="Arial" w:eastAsia="Calibri" w:hAnsi="Arial" w:cs="Arial"/>
          <w:sz w:val="24"/>
          <w:szCs w:val="24"/>
        </w:rPr>
      </w:pPr>
      <w:r w:rsidRPr="00FC5BE9">
        <w:rPr>
          <w:rFonts w:ascii="Arial" w:eastAsia="Calibri" w:hAnsi="Arial" w:cs="Arial"/>
          <w:sz w:val="24"/>
          <w:szCs w:val="24"/>
        </w:rPr>
        <w:tab/>
        <w:t xml:space="preserve">Bajo esa tesitura, se tiene que es insuficiente la respuesta que emite </w:t>
      </w:r>
      <w:r w:rsidR="00A428EA">
        <w:rPr>
          <w:rFonts w:ascii="Arial" w:eastAsia="Calibri" w:hAnsi="Arial" w:cs="Arial"/>
          <w:sz w:val="24"/>
          <w:szCs w:val="24"/>
        </w:rPr>
        <w:t>la autoridad a lo peticionado por</w:t>
      </w:r>
      <w:r w:rsidR="00D87098">
        <w:rPr>
          <w:rFonts w:ascii="Arial" w:eastAsia="Calibri" w:hAnsi="Arial" w:cs="Arial"/>
          <w:sz w:val="24"/>
          <w:szCs w:val="24"/>
        </w:rPr>
        <w:t xml:space="preserve"> las actoras</w:t>
      </w:r>
      <w:r w:rsidR="00A428EA">
        <w:rPr>
          <w:rFonts w:ascii="Arial" w:eastAsia="Calibri" w:hAnsi="Arial" w:cs="Arial"/>
          <w:sz w:val="24"/>
          <w:szCs w:val="24"/>
        </w:rPr>
        <w:t>, pues esta tenía la obligaci</w:t>
      </w:r>
      <w:r w:rsidR="00B91BFA">
        <w:rPr>
          <w:rFonts w:ascii="Arial" w:eastAsia="Calibri" w:hAnsi="Arial" w:cs="Arial"/>
          <w:sz w:val="24"/>
          <w:szCs w:val="24"/>
        </w:rPr>
        <w:t>ón de remitir la solicitud de la</w:t>
      </w:r>
      <w:r w:rsidR="00A428EA">
        <w:rPr>
          <w:rFonts w:ascii="Arial" w:eastAsia="Calibri" w:hAnsi="Arial" w:cs="Arial"/>
          <w:sz w:val="24"/>
          <w:szCs w:val="24"/>
        </w:rPr>
        <w:t xml:space="preserve"> parte actora ante la Dirección de Catastro del Municipio de San Luis Potosí, donde se lleva la tramitación que señala</w:t>
      </w:r>
      <w:r w:rsidR="00B91BFA">
        <w:rPr>
          <w:rFonts w:ascii="Arial" w:eastAsia="Calibri" w:hAnsi="Arial" w:cs="Arial"/>
          <w:sz w:val="24"/>
          <w:szCs w:val="24"/>
        </w:rPr>
        <w:t>n</w:t>
      </w:r>
      <w:r w:rsidR="00A428EA">
        <w:rPr>
          <w:rFonts w:ascii="Arial" w:eastAsia="Calibri" w:hAnsi="Arial" w:cs="Arial"/>
          <w:sz w:val="24"/>
          <w:szCs w:val="24"/>
        </w:rPr>
        <w:t xml:space="preserve"> en su escrito de solicitud, formulado a las aquí demandadas</w:t>
      </w:r>
      <w:r w:rsidR="00B91BFA">
        <w:rPr>
          <w:rFonts w:ascii="Arial" w:eastAsia="Calibri" w:hAnsi="Arial" w:cs="Arial"/>
          <w:sz w:val="24"/>
          <w:szCs w:val="24"/>
        </w:rPr>
        <w:t>; petición que se debió remitir junto con las pruebas aportadas por la actora, para que de esta manera se siguiera el trámite o procedimiento correspondiente y de esta manera, las demandantes estuvieran en aptitud de demandar por la respuesta emitida por la autoridad competente, ante quien se lleva la tramitación que señalan.</w:t>
      </w:r>
    </w:p>
    <w:p w:rsidR="00B91BFA" w:rsidRDefault="00B91BFA" w:rsidP="00B91BFA">
      <w:pPr>
        <w:spacing w:after="0" w:line="360" w:lineRule="auto"/>
        <w:jc w:val="both"/>
        <w:rPr>
          <w:rFonts w:ascii="Arial" w:eastAsia="Calibri" w:hAnsi="Arial" w:cs="Arial"/>
          <w:sz w:val="24"/>
          <w:szCs w:val="24"/>
        </w:rPr>
      </w:pPr>
    </w:p>
    <w:p w:rsidR="00355C92" w:rsidRPr="00FC5BE9" w:rsidRDefault="00B91BFA" w:rsidP="00355C92">
      <w:pPr>
        <w:spacing w:after="0" w:line="360" w:lineRule="auto"/>
        <w:jc w:val="both"/>
        <w:rPr>
          <w:rFonts w:ascii="Arial" w:eastAsia="Times New Roman" w:hAnsi="Arial" w:cs="Arial"/>
          <w:sz w:val="24"/>
          <w:szCs w:val="24"/>
          <w:lang w:val="es-ES" w:eastAsia="es-ES"/>
        </w:rPr>
      </w:pPr>
      <w:r>
        <w:rPr>
          <w:rFonts w:ascii="Arial" w:eastAsia="Calibri" w:hAnsi="Arial" w:cs="Arial"/>
          <w:sz w:val="24"/>
          <w:szCs w:val="24"/>
        </w:rPr>
        <w:tab/>
        <w:t xml:space="preserve">Por lo que, </w:t>
      </w:r>
      <w:r w:rsidR="00FC5BE9" w:rsidRPr="00FC5BE9">
        <w:rPr>
          <w:rFonts w:ascii="Arial" w:eastAsia="Calibri" w:hAnsi="Arial" w:cs="Arial"/>
          <w:sz w:val="24"/>
          <w:szCs w:val="24"/>
        </w:rPr>
        <w:t xml:space="preserve">la resolución que se impugna se dictó sin la debida fundamentación y motivación a lo solicitado por </w:t>
      </w:r>
      <w:r>
        <w:rPr>
          <w:rFonts w:ascii="Arial" w:eastAsia="Calibri" w:hAnsi="Arial" w:cs="Arial"/>
          <w:sz w:val="24"/>
          <w:szCs w:val="24"/>
        </w:rPr>
        <w:t>las</w:t>
      </w:r>
      <w:r w:rsidR="00FC5BE9" w:rsidRPr="00FC5BE9">
        <w:rPr>
          <w:rFonts w:ascii="Arial" w:eastAsia="Calibri" w:hAnsi="Arial" w:cs="Arial"/>
          <w:sz w:val="24"/>
          <w:szCs w:val="24"/>
        </w:rPr>
        <w:t xml:space="preserve"> accionante</w:t>
      </w:r>
      <w:r>
        <w:rPr>
          <w:rFonts w:ascii="Arial" w:eastAsia="Calibri" w:hAnsi="Arial" w:cs="Arial"/>
          <w:sz w:val="24"/>
          <w:szCs w:val="24"/>
        </w:rPr>
        <w:t>s</w:t>
      </w:r>
      <w:r w:rsidR="00FC5BE9" w:rsidRPr="00FC5BE9">
        <w:rPr>
          <w:rFonts w:ascii="Arial" w:eastAsia="Calibri" w:hAnsi="Arial" w:cs="Arial"/>
          <w:sz w:val="24"/>
          <w:szCs w:val="24"/>
        </w:rPr>
        <w:t xml:space="preserve">, </w:t>
      </w:r>
      <w:r>
        <w:rPr>
          <w:rFonts w:ascii="Arial" w:eastAsia="Calibri" w:hAnsi="Arial" w:cs="Arial"/>
          <w:sz w:val="24"/>
          <w:szCs w:val="24"/>
        </w:rPr>
        <w:t>pues no se ocupó de las pretensiones</w:t>
      </w:r>
      <w:r w:rsidR="00710109">
        <w:rPr>
          <w:rFonts w:ascii="Arial" w:eastAsia="Calibri" w:hAnsi="Arial" w:cs="Arial"/>
          <w:sz w:val="24"/>
          <w:szCs w:val="24"/>
        </w:rPr>
        <w:t xml:space="preserve"> de la actora y que estas se conducían a un trámite llevado a cabo ante otra autoridad diversa y por tanto, la autoridad demandada, emitió una resolución sin atender lo realmente peticionado, emitiendo a manera de información su respuesta a la actora, lo que carece de efecto legal</w:t>
      </w:r>
      <w:r w:rsidR="00355C92">
        <w:rPr>
          <w:rFonts w:ascii="Arial" w:eastAsia="Calibri" w:hAnsi="Arial" w:cs="Arial"/>
          <w:sz w:val="24"/>
          <w:szCs w:val="24"/>
        </w:rPr>
        <w:t xml:space="preserve"> y deja en estado de indefensión a las actoras, pues no es la autoridad correspondiente que pueda determinar </w:t>
      </w:r>
      <w:r w:rsidR="00FC5BE9" w:rsidRPr="00FC5BE9">
        <w:rPr>
          <w:rFonts w:ascii="Arial" w:eastAsia="Times New Roman" w:hAnsi="Arial" w:cs="Arial"/>
          <w:sz w:val="24"/>
          <w:szCs w:val="24"/>
          <w:lang w:val="es-ES" w:eastAsia="es-ES"/>
        </w:rPr>
        <w:t>la procedencia e improcedencia de lo peticionado; l</w:t>
      </w:r>
      <w:r w:rsidR="00FC5BE9" w:rsidRPr="00FC5BE9">
        <w:rPr>
          <w:rFonts w:ascii="Arial" w:eastAsia="Calibri" w:hAnsi="Arial" w:cs="Arial"/>
          <w:sz w:val="24"/>
          <w:szCs w:val="24"/>
          <w:lang w:val="es-ES"/>
        </w:rPr>
        <w:t xml:space="preserve">o que genera que </w:t>
      </w:r>
      <w:r w:rsidR="00FC5BE9" w:rsidRPr="00FC5BE9">
        <w:rPr>
          <w:rFonts w:ascii="Arial" w:eastAsia="Times New Roman" w:hAnsi="Arial" w:cs="Arial"/>
          <w:sz w:val="24"/>
          <w:szCs w:val="24"/>
          <w:lang w:val="es-ES" w:eastAsia="es-ES"/>
        </w:rPr>
        <w:t>el acto reclamado, carezca de la fundamentación y motivación, conforme a lo establecido en los artículos 14 y 16 Constituciones</w:t>
      </w:r>
      <w:r w:rsidR="00355C92">
        <w:rPr>
          <w:rFonts w:ascii="Arial" w:eastAsia="Times New Roman" w:hAnsi="Arial" w:cs="Arial"/>
          <w:sz w:val="24"/>
          <w:szCs w:val="24"/>
          <w:lang w:val="es-ES" w:eastAsia="es-ES"/>
        </w:rPr>
        <w:t>.</w:t>
      </w:r>
    </w:p>
    <w:p w:rsidR="00FC5BE9" w:rsidRPr="00FC5BE9" w:rsidRDefault="00FC5BE9" w:rsidP="00710109">
      <w:pPr>
        <w:spacing w:after="0" w:line="360" w:lineRule="auto"/>
        <w:jc w:val="both"/>
        <w:rPr>
          <w:rFonts w:ascii="Arial" w:eastAsia="Calibri" w:hAnsi="Arial" w:cs="Arial"/>
          <w:sz w:val="24"/>
          <w:szCs w:val="24"/>
        </w:rPr>
      </w:pPr>
      <w:r w:rsidRPr="00FC5BE9">
        <w:rPr>
          <w:rFonts w:ascii="Arial" w:eastAsia="Times New Roman" w:hAnsi="Arial" w:cs="Arial"/>
          <w:sz w:val="24"/>
          <w:szCs w:val="24"/>
          <w:lang w:val="es-ES" w:eastAsia="es-ES"/>
        </w:rPr>
        <w:t xml:space="preserve"> </w:t>
      </w:r>
    </w:p>
    <w:p w:rsidR="00FC5BE9" w:rsidRPr="00FC5BE9" w:rsidRDefault="00FC5BE9" w:rsidP="00FC5BE9">
      <w:pPr>
        <w:spacing w:after="240" w:line="360" w:lineRule="auto"/>
        <w:ind w:right="51" w:firstLine="709"/>
        <w:jc w:val="both"/>
        <w:rPr>
          <w:rFonts w:ascii="Arial" w:eastAsia="Calibri" w:hAnsi="Arial" w:cs="Arial"/>
          <w:color w:val="000000"/>
          <w:sz w:val="24"/>
          <w:szCs w:val="24"/>
        </w:rPr>
      </w:pPr>
      <w:r w:rsidRPr="00FC5BE9">
        <w:rPr>
          <w:rFonts w:ascii="Arial" w:eastAsia="Calibri" w:hAnsi="Arial" w:cs="Arial"/>
          <w:sz w:val="24"/>
          <w:szCs w:val="24"/>
        </w:rPr>
        <w:t xml:space="preserve">Sirve de apoyo a lo anterior la </w:t>
      </w:r>
      <w:r w:rsidRPr="00FC5BE9">
        <w:rPr>
          <w:rFonts w:ascii="Arial" w:eastAsia="Calibri" w:hAnsi="Arial" w:cs="Arial"/>
          <w:color w:val="000000"/>
          <w:sz w:val="24"/>
          <w:szCs w:val="24"/>
        </w:rPr>
        <w:t xml:space="preserve">Tesis de Jurisprudencia Época: Octava Época, Registro: 216534, Instancia: Tribunales Colegiados de Circuito, Tipo de Tesis: Jurisprudencia, Fuente: Gaceta del Semanario Judicial de la </w:t>
      </w:r>
      <w:r w:rsidRPr="00FC5BE9">
        <w:rPr>
          <w:rFonts w:ascii="Arial" w:eastAsia="Calibri" w:hAnsi="Arial" w:cs="Arial"/>
          <w:color w:val="000000"/>
          <w:sz w:val="24"/>
          <w:szCs w:val="24"/>
        </w:rPr>
        <w:lastRenderedPageBreak/>
        <w:t xml:space="preserve">Federación, Núm. 64, Abril de 1993, Materia(s): Administrativa, Tesis: VI. 2o. J/248, Página: 43., que dice: </w:t>
      </w:r>
    </w:p>
    <w:p w:rsidR="00FC5BE9" w:rsidRPr="00FC5BE9" w:rsidRDefault="00FC5BE9" w:rsidP="00FC5BE9">
      <w:pPr>
        <w:spacing w:after="0" w:line="240" w:lineRule="auto"/>
        <w:ind w:left="993"/>
        <w:contextualSpacing/>
        <w:jc w:val="both"/>
        <w:rPr>
          <w:rFonts w:ascii="Arial" w:eastAsia="Calibri" w:hAnsi="Arial" w:cs="Arial"/>
          <w:color w:val="000000"/>
          <w:sz w:val="24"/>
          <w:szCs w:val="24"/>
        </w:rPr>
      </w:pPr>
    </w:p>
    <w:p w:rsidR="00FC5BE9" w:rsidRPr="00FC5BE9" w:rsidRDefault="00FC5BE9" w:rsidP="00FC5BE9">
      <w:pPr>
        <w:spacing w:after="0" w:line="240" w:lineRule="auto"/>
        <w:ind w:left="993"/>
        <w:contextualSpacing/>
        <w:jc w:val="both"/>
        <w:rPr>
          <w:rFonts w:ascii="Arial" w:eastAsia="Calibri" w:hAnsi="Arial" w:cs="Arial"/>
          <w:i/>
          <w:color w:val="000000"/>
        </w:rPr>
      </w:pPr>
      <w:r w:rsidRPr="00FC5BE9">
        <w:rPr>
          <w:rFonts w:ascii="Arial" w:eastAsia="Calibri" w:hAnsi="Arial" w:cs="Arial"/>
          <w:b/>
          <w:i/>
          <w:color w:val="000000"/>
        </w:rPr>
        <w:t>“FUNDAMENTACIÓN Y MOTIVACIÓN DE LOS ACTOS ADMINISTRATIVOS</w:t>
      </w:r>
      <w:r w:rsidRPr="00FC5BE9">
        <w:rPr>
          <w:rFonts w:ascii="Arial" w:eastAsia="Calibri" w:hAnsi="Arial" w:cs="Arial"/>
          <w:i/>
          <w:color w:val="000000"/>
        </w:rPr>
        <w:t xml:space="preserve">. 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FC5BE9">
        <w:rPr>
          <w:rFonts w:ascii="Arial" w:eastAsia="Calibri" w:hAnsi="Arial" w:cs="Arial"/>
          <w:i/>
          <w:color w:val="000000"/>
        </w:rPr>
        <w:t>subincisos</w:t>
      </w:r>
      <w:proofErr w:type="spellEnd"/>
      <w:r w:rsidRPr="00FC5BE9">
        <w:rPr>
          <w:rFonts w:ascii="Arial" w:eastAsia="Calibri" w:hAnsi="Arial" w:cs="Arial"/>
          <w:i/>
          <w:color w:val="000000"/>
        </w:rPr>
        <w:t>, fracciones y preceptos aplicables, y b).- Los cuerpos legales, y preceptos que otorgan competencia o facultades a las autoridades para emitir el acto en agravio del gobernado…”</w:t>
      </w:r>
    </w:p>
    <w:p w:rsidR="00FC5BE9" w:rsidRPr="00FC5BE9" w:rsidRDefault="00FC5BE9" w:rsidP="00FC5BE9">
      <w:pPr>
        <w:spacing w:after="0" w:line="240" w:lineRule="auto"/>
        <w:ind w:left="993"/>
        <w:contextualSpacing/>
        <w:jc w:val="both"/>
        <w:rPr>
          <w:rFonts w:ascii="Arial" w:eastAsia="Calibri" w:hAnsi="Arial" w:cs="Arial"/>
          <w:color w:val="000000"/>
          <w:sz w:val="24"/>
          <w:szCs w:val="24"/>
        </w:rPr>
      </w:pPr>
    </w:p>
    <w:p w:rsidR="00FC5BE9" w:rsidRPr="00FC5BE9" w:rsidRDefault="00FC5BE9" w:rsidP="00FC5BE9">
      <w:pPr>
        <w:spacing w:after="0" w:line="360" w:lineRule="auto"/>
        <w:ind w:firstLine="708"/>
        <w:jc w:val="both"/>
        <w:rPr>
          <w:rFonts w:ascii="Arial" w:eastAsia="Calibri" w:hAnsi="Arial" w:cs="Arial"/>
          <w:color w:val="000000"/>
          <w:sz w:val="24"/>
          <w:szCs w:val="24"/>
        </w:rPr>
      </w:pPr>
      <w:r w:rsidRPr="00FC5BE9">
        <w:rPr>
          <w:rFonts w:ascii="Arial" w:eastAsia="Calibri" w:hAnsi="Arial" w:cs="Arial"/>
          <w:color w:val="000000"/>
          <w:sz w:val="24"/>
          <w:szCs w:val="24"/>
        </w:rPr>
        <w:t xml:space="preserve">Y la Tesis de Jurisprudencia. Época: Novena Época, Registro: 173565, Instancia: Tribunales Colegiados de Circuito, Tipo de Tesis: Jurisprudencia, Fuente: Semanario Judicial de la Federación y su Gaceta, Tomo XXV, Enero de 2007, Materia(s): Común, Tesis: I.6o.C. J/52, Página: 2127. “que refiere: </w:t>
      </w:r>
    </w:p>
    <w:p w:rsidR="00FC5BE9" w:rsidRPr="00FC5BE9" w:rsidRDefault="00FC5BE9" w:rsidP="00FC5BE9">
      <w:pPr>
        <w:spacing w:after="0" w:line="240" w:lineRule="auto"/>
        <w:ind w:left="993"/>
        <w:contextualSpacing/>
        <w:jc w:val="both"/>
        <w:rPr>
          <w:rFonts w:ascii="Arial" w:eastAsia="Calibri" w:hAnsi="Arial" w:cs="Arial"/>
          <w:color w:val="000000"/>
          <w:sz w:val="24"/>
          <w:szCs w:val="24"/>
        </w:rPr>
      </w:pPr>
    </w:p>
    <w:p w:rsidR="00FC5BE9" w:rsidRPr="00FC5BE9" w:rsidRDefault="00FC5BE9" w:rsidP="00FC5BE9">
      <w:pPr>
        <w:spacing w:after="0" w:line="240" w:lineRule="auto"/>
        <w:ind w:left="993"/>
        <w:contextualSpacing/>
        <w:jc w:val="both"/>
        <w:rPr>
          <w:rFonts w:ascii="Arial" w:eastAsia="Calibri" w:hAnsi="Arial" w:cs="Arial"/>
          <w:i/>
          <w:color w:val="000000"/>
        </w:rPr>
      </w:pPr>
      <w:r w:rsidRPr="00FC5BE9">
        <w:rPr>
          <w:rFonts w:ascii="Arial" w:eastAsia="Calibri" w:hAnsi="Arial" w:cs="Arial"/>
          <w:b/>
          <w:i/>
          <w:color w:val="000000"/>
        </w:rPr>
        <w:t>“FUNDAMENTACIÓN Y MOTIVACIÓN. SU DISTINCIÓN ENTRE SU FALTA Y CUANDO ES INDEBIDA</w:t>
      </w:r>
      <w:r w:rsidRPr="00FC5BE9">
        <w:rPr>
          <w:rFonts w:ascii="Arial" w:eastAsia="Calibri" w:hAnsi="Arial" w:cs="Arial"/>
          <w:i/>
          <w:color w:val="000000"/>
        </w:rPr>
        <w:t>.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p>
    <w:p w:rsidR="00FC5BE9" w:rsidRPr="00FC5BE9" w:rsidRDefault="00FC5BE9" w:rsidP="00FC5BE9">
      <w:pPr>
        <w:spacing w:after="0" w:line="360" w:lineRule="auto"/>
        <w:ind w:firstLine="709"/>
        <w:jc w:val="both"/>
        <w:rPr>
          <w:rFonts w:ascii="Arial" w:eastAsia="Times New Roman" w:hAnsi="Arial" w:cs="Arial"/>
          <w:color w:val="000000"/>
          <w:sz w:val="24"/>
          <w:szCs w:val="24"/>
          <w:lang w:val="es-ES" w:eastAsia="es-MX"/>
        </w:rPr>
      </w:pPr>
    </w:p>
    <w:p w:rsidR="00FC5BE9" w:rsidRPr="00FC5BE9" w:rsidRDefault="00FC5BE9" w:rsidP="00FC5BE9">
      <w:pPr>
        <w:spacing w:after="0" w:line="360" w:lineRule="auto"/>
        <w:ind w:firstLine="708"/>
        <w:jc w:val="both"/>
        <w:rPr>
          <w:rFonts w:ascii="Arial" w:eastAsia="Calibri" w:hAnsi="Arial" w:cs="Arial"/>
          <w:sz w:val="24"/>
          <w:szCs w:val="24"/>
        </w:rPr>
      </w:pPr>
      <w:r w:rsidRPr="00FC5BE9">
        <w:rPr>
          <w:rFonts w:ascii="Arial" w:eastAsia="Calibri" w:hAnsi="Arial" w:cs="Arial"/>
          <w:sz w:val="24"/>
          <w:szCs w:val="24"/>
        </w:rPr>
        <w:t xml:space="preserve">No pasa inadvertido para esta Sala, que al respecto la autoridad demandada en su escrito de contestación de demanda expone </w:t>
      </w:r>
      <w:r w:rsidRPr="00FC5BE9">
        <w:rPr>
          <w:rFonts w:ascii="Arial" w:eastAsia="Arial Unicode MS" w:hAnsi="Arial" w:cs="Arial"/>
          <w:sz w:val="24"/>
          <w:szCs w:val="24"/>
          <w:lang w:eastAsia="es-MX"/>
        </w:rPr>
        <w:t>que el acto impugnado es de naturaleza declarativa mas no definitiva, y que se limitó a señalar el</w:t>
      </w:r>
      <w:r w:rsidR="008E093B">
        <w:rPr>
          <w:rFonts w:ascii="Arial" w:eastAsia="Arial Unicode MS" w:hAnsi="Arial" w:cs="Arial"/>
          <w:sz w:val="24"/>
          <w:szCs w:val="24"/>
          <w:lang w:eastAsia="es-MX"/>
        </w:rPr>
        <w:t xml:space="preserve"> estatus del trámite pretendido</w:t>
      </w:r>
      <w:r w:rsidRPr="00FC5BE9">
        <w:rPr>
          <w:rFonts w:ascii="Arial" w:eastAsia="Calibri" w:hAnsi="Arial" w:cs="Arial"/>
          <w:sz w:val="24"/>
          <w:szCs w:val="24"/>
        </w:rPr>
        <w:t>; sin embargo dichas argumentaciones debieron formar parte de la fundamentación y motivación que sustenta  la resolución en análisis, lo cual no ocurrió.</w:t>
      </w:r>
    </w:p>
    <w:p w:rsidR="00FC5BE9" w:rsidRPr="00FC5BE9" w:rsidRDefault="00FC5BE9" w:rsidP="00FC5BE9">
      <w:pPr>
        <w:spacing w:after="0" w:line="360" w:lineRule="auto"/>
        <w:ind w:firstLine="709"/>
        <w:jc w:val="both"/>
        <w:rPr>
          <w:rFonts w:ascii="Arial" w:eastAsia="Arial Unicode MS" w:hAnsi="Arial" w:cs="Arial"/>
          <w:sz w:val="24"/>
          <w:szCs w:val="24"/>
          <w:lang w:eastAsia="es-MX"/>
        </w:rPr>
      </w:pPr>
    </w:p>
    <w:p w:rsidR="00FC5BE9" w:rsidRPr="00FC5BE9" w:rsidRDefault="00FC5BE9" w:rsidP="00FC5BE9">
      <w:pPr>
        <w:spacing w:after="0" w:line="360" w:lineRule="auto"/>
        <w:ind w:firstLine="709"/>
        <w:jc w:val="both"/>
        <w:rPr>
          <w:rFonts w:ascii="Arial" w:eastAsia="Times New Roman" w:hAnsi="Arial" w:cs="Arial"/>
          <w:sz w:val="24"/>
          <w:szCs w:val="24"/>
          <w:lang w:eastAsia="es-MX"/>
        </w:rPr>
      </w:pPr>
      <w:r w:rsidRPr="00FC5BE9">
        <w:rPr>
          <w:rFonts w:ascii="Arial" w:eastAsia="Arial Unicode MS" w:hAnsi="Arial" w:cs="Arial"/>
          <w:sz w:val="24"/>
          <w:szCs w:val="24"/>
        </w:rPr>
        <w:t>En esta tesitura, se puede sostener de la contestación de la de</w:t>
      </w:r>
      <w:r w:rsidRPr="00FC5BE9">
        <w:rPr>
          <w:rFonts w:ascii="Arial" w:eastAsia="Calibri" w:hAnsi="Arial" w:cs="Arial"/>
          <w:sz w:val="24"/>
          <w:szCs w:val="24"/>
        </w:rPr>
        <w:t xml:space="preserve">manda, que la autoridad pretende con sus afirmaciones </w:t>
      </w:r>
      <w:r w:rsidRPr="00FC5BE9">
        <w:rPr>
          <w:rFonts w:ascii="Arial" w:eastAsia="Calibri" w:hAnsi="Arial" w:cs="Arial"/>
          <w:sz w:val="24"/>
          <w:szCs w:val="24"/>
          <w:lang w:val="es-ES"/>
        </w:rPr>
        <w:t xml:space="preserve">subsanar las omisiones detectadas en el acto controvertido, lo que </w:t>
      </w:r>
      <w:r w:rsidRPr="00FC5BE9">
        <w:rPr>
          <w:rFonts w:ascii="Arial" w:eastAsia="Calibri" w:hAnsi="Arial" w:cs="Arial"/>
          <w:sz w:val="24"/>
          <w:szCs w:val="24"/>
        </w:rPr>
        <w:t>no puede tenerse por satisfecho, en razón de que no resulta válido que se señalen fundamentos y motivos, en un documento distinto al acto impugnado.</w:t>
      </w:r>
    </w:p>
    <w:p w:rsidR="00FC5BE9" w:rsidRPr="00FC5BE9" w:rsidRDefault="00FC5BE9" w:rsidP="00FC5BE9">
      <w:pPr>
        <w:autoSpaceDE w:val="0"/>
        <w:autoSpaceDN w:val="0"/>
        <w:adjustRightInd w:val="0"/>
        <w:spacing w:line="240" w:lineRule="auto"/>
        <w:ind w:firstLine="709"/>
        <w:contextualSpacing/>
        <w:jc w:val="both"/>
        <w:rPr>
          <w:rFonts w:ascii="Arial" w:eastAsia="Calibri" w:hAnsi="Arial" w:cs="Arial"/>
          <w:sz w:val="24"/>
          <w:szCs w:val="24"/>
        </w:rPr>
      </w:pPr>
    </w:p>
    <w:p w:rsidR="00FC5BE9" w:rsidRPr="00FC5BE9" w:rsidRDefault="00FC5BE9" w:rsidP="00FC5BE9">
      <w:pPr>
        <w:autoSpaceDE w:val="0"/>
        <w:autoSpaceDN w:val="0"/>
        <w:adjustRightInd w:val="0"/>
        <w:spacing w:line="360" w:lineRule="auto"/>
        <w:ind w:firstLine="708"/>
        <w:jc w:val="both"/>
        <w:rPr>
          <w:rFonts w:ascii="Arial" w:eastAsia="Calibri" w:hAnsi="Arial" w:cs="Arial"/>
          <w:sz w:val="24"/>
          <w:szCs w:val="24"/>
        </w:rPr>
      </w:pPr>
      <w:r w:rsidRPr="00FC5BE9">
        <w:rPr>
          <w:rFonts w:ascii="Arial" w:eastAsia="Calibri" w:hAnsi="Arial" w:cs="Arial"/>
          <w:sz w:val="24"/>
          <w:szCs w:val="24"/>
        </w:rPr>
        <w:t xml:space="preserve">Al efecto sirve de apoyo a lo anterior la Tesis de Jurisprudencia, Época: Séptima Época, Registro: 917740, Instancia: Segunda Sala, Tipo de Tesis: Jurisprudencia, Fuente: Apéndice 2000, Tomo VI, Común, Jurisprudencia SCJN, Materia(s): Común, Tesis: 206, Página: 168, que dice: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rPr>
      </w:pPr>
      <w:r w:rsidRPr="00FC5BE9">
        <w:rPr>
          <w:rFonts w:ascii="Arial" w:eastAsia="Calibri" w:hAnsi="Arial" w:cs="Arial"/>
          <w:i/>
          <w:sz w:val="21"/>
          <w:szCs w:val="21"/>
        </w:rPr>
        <w:t>“</w:t>
      </w:r>
      <w:r w:rsidRPr="00FC5BE9">
        <w:rPr>
          <w:rFonts w:ascii="Arial" w:eastAsia="Calibri" w:hAnsi="Arial" w:cs="Arial"/>
          <w:b/>
          <w:i/>
          <w:sz w:val="21"/>
          <w:szCs w:val="21"/>
        </w:rPr>
        <w:t xml:space="preserve">FUNDAMENTACIÓN Y MOTIVACIÓN. DEBEN CONSTAR EN EL CUERPO DE LA RESOLUCIÓN Y NO EN DOCUMENTO DISTINTO.- </w:t>
      </w:r>
      <w:r w:rsidRPr="00FC5BE9">
        <w:rPr>
          <w:rFonts w:ascii="Arial" w:eastAsia="Calibri" w:hAnsi="Arial" w:cs="Arial"/>
          <w:i/>
          <w:sz w:val="21"/>
          <w:szCs w:val="21"/>
        </w:rPr>
        <w:t>Las autoridades responsables no cumplen con la obligación constitucional de fundar y motivar debidamente las resoluciones que pronuncian, expresando las razones de hecho y las consideraciones legales en que se apoyan, cuando éstas aparecen en documento distinto.”</w:t>
      </w:r>
    </w:p>
    <w:p w:rsidR="00FC5BE9" w:rsidRPr="00FC5BE9" w:rsidRDefault="00FC5BE9" w:rsidP="00FC5BE9">
      <w:pPr>
        <w:spacing w:after="0" w:line="360" w:lineRule="auto"/>
        <w:ind w:firstLine="708"/>
        <w:jc w:val="both"/>
        <w:rPr>
          <w:rFonts w:ascii="Arial" w:eastAsia="Calibri" w:hAnsi="Arial" w:cs="Arial"/>
          <w:sz w:val="24"/>
          <w:szCs w:val="24"/>
          <w:lang w:val="es-ES"/>
        </w:rPr>
      </w:pPr>
    </w:p>
    <w:p w:rsidR="00FC5BE9" w:rsidRPr="00FC5BE9" w:rsidRDefault="00FC5BE9" w:rsidP="00FC5BE9">
      <w:pPr>
        <w:spacing w:after="0" w:line="360" w:lineRule="auto"/>
        <w:ind w:firstLine="708"/>
        <w:jc w:val="both"/>
        <w:rPr>
          <w:rFonts w:ascii="Arial" w:eastAsia="Calibri" w:hAnsi="Arial" w:cs="Arial"/>
          <w:sz w:val="24"/>
          <w:szCs w:val="24"/>
          <w:lang w:val="es-ES"/>
        </w:rPr>
      </w:pPr>
      <w:r w:rsidRPr="00FC5BE9">
        <w:rPr>
          <w:rFonts w:ascii="Arial" w:eastAsia="Calibri" w:hAnsi="Arial" w:cs="Arial"/>
          <w:sz w:val="24"/>
          <w:szCs w:val="24"/>
          <w:lang w:val="es-ES"/>
        </w:rPr>
        <w:t xml:space="preserve">Además de que, la autoridad demandada, no puede invocar hechos novedosos ni mejorar los argumentos del acto impugnado al contestar la demanda; lo anterior de conformidad con lo establecido en el artículo 244, tercer párrafo, del Código Procesal Administrativo para el Estado de San Luis Potosí, razón por la cual, los argumentos que plantea la demandada en su contestación, deben desestimarse por pretender mejorar el acto de autoridad en la </w:t>
      </w:r>
      <w:r w:rsidRPr="00FC5BE9">
        <w:rPr>
          <w:rFonts w:ascii="Arial" w:eastAsia="Calibri" w:hAnsi="Arial" w:cs="Arial"/>
          <w:i/>
          <w:sz w:val="24"/>
          <w:szCs w:val="24"/>
          <w:lang w:val="es-ES"/>
        </w:rPr>
        <w:t>Litis</w:t>
      </w:r>
      <w:r w:rsidRPr="00FC5BE9">
        <w:rPr>
          <w:rFonts w:ascii="Arial" w:eastAsia="Calibri" w:hAnsi="Arial" w:cs="Arial"/>
          <w:sz w:val="24"/>
          <w:szCs w:val="24"/>
          <w:lang w:val="es-ES"/>
        </w:rPr>
        <w:t xml:space="preserve"> contenciosa. </w:t>
      </w:r>
    </w:p>
    <w:p w:rsidR="00FC5BE9" w:rsidRPr="00FC5BE9" w:rsidRDefault="00FC5BE9" w:rsidP="00FC5BE9">
      <w:pPr>
        <w:spacing w:after="0" w:line="360" w:lineRule="auto"/>
        <w:ind w:firstLine="708"/>
        <w:jc w:val="both"/>
        <w:rPr>
          <w:rFonts w:ascii="Arial" w:eastAsia="Calibri" w:hAnsi="Arial" w:cs="Arial"/>
          <w:sz w:val="24"/>
          <w:szCs w:val="24"/>
          <w:lang w:val="es-ES"/>
        </w:rPr>
      </w:pPr>
    </w:p>
    <w:p w:rsidR="00FC5BE9" w:rsidRPr="00FC5BE9" w:rsidRDefault="00FC5BE9" w:rsidP="00FC5BE9">
      <w:pPr>
        <w:spacing w:after="0" w:line="360" w:lineRule="auto"/>
        <w:ind w:firstLine="708"/>
        <w:jc w:val="both"/>
        <w:rPr>
          <w:rFonts w:ascii="Arial" w:eastAsia="Calibri" w:hAnsi="Arial" w:cs="Arial"/>
          <w:sz w:val="24"/>
          <w:szCs w:val="24"/>
          <w:lang w:val="es-ES"/>
        </w:rPr>
      </w:pPr>
      <w:r w:rsidRPr="00FC5BE9">
        <w:rPr>
          <w:rFonts w:ascii="Arial" w:eastAsia="Calibri" w:hAnsi="Arial" w:cs="Arial"/>
          <w:sz w:val="24"/>
          <w:szCs w:val="24"/>
          <w:lang w:val="es-ES"/>
        </w:rPr>
        <w:t xml:space="preserve">Refuerza el anterior criterio, por analogía, la jurisprudencia VII.1o.A. J/42 (9a.) del Primer Tribunal Colegiado en Materia Administrativa del Séptimo Circuito, publicada en el Semanario Judicial de la Federación y su Gaceta, Libro VIII, Mayo de 2012, Tomo 2, visible en la página 1724, que se inserta a continuación: </w:t>
      </w:r>
    </w:p>
    <w:p w:rsidR="00FC5BE9" w:rsidRPr="00FC5BE9" w:rsidRDefault="00FC5BE9" w:rsidP="00FC5BE9">
      <w:pPr>
        <w:autoSpaceDE w:val="0"/>
        <w:autoSpaceDN w:val="0"/>
        <w:adjustRightInd w:val="0"/>
        <w:spacing w:after="0"/>
        <w:ind w:left="709"/>
        <w:jc w:val="both"/>
        <w:rPr>
          <w:rFonts w:ascii="Arial" w:eastAsia="Calibri" w:hAnsi="Arial" w:cs="Arial"/>
          <w:b/>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sz w:val="21"/>
          <w:szCs w:val="21"/>
          <w:lang w:val="es-ES"/>
        </w:rPr>
        <w:t xml:space="preserve"> </w:t>
      </w:r>
      <w:r w:rsidRPr="00FC5BE9">
        <w:rPr>
          <w:rFonts w:ascii="Arial" w:eastAsia="Calibri" w:hAnsi="Arial" w:cs="Arial"/>
          <w:b/>
          <w:i/>
          <w:sz w:val="21"/>
          <w:szCs w:val="21"/>
          <w:lang w:val="es-ES"/>
        </w:rPr>
        <w:t>“SENTENCIAS EN EL JUICIO DE NULIDAD. LAS SALAS DEL TRIBUNAL FEDERAL DE JUSTICIA FISCAL Y ADMINISTRATIVA, EN SU DICTADO, NO DEBEN CAMBIAR LAS RAZONES Y FUNDAMENTOS DEL ACTO IMPUGNADO CON MOTIVO DE LO ADUCIDO POR LA AUTORIDAD AL CONTESTAR LA DEMANDA.</w:t>
      </w:r>
      <w:r w:rsidRPr="00FC5BE9">
        <w:rPr>
          <w:rFonts w:ascii="Arial" w:eastAsia="Calibri" w:hAnsi="Arial" w:cs="Arial"/>
          <w:i/>
          <w:sz w:val="21"/>
          <w:szCs w:val="21"/>
          <w:lang w:val="es-ES"/>
        </w:rPr>
        <w:t xml:space="preserve">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w:t>
      </w:r>
      <w:r w:rsidRPr="00FC5BE9">
        <w:rPr>
          <w:rFonts w:ascii="Arial" w:eastAsia="Calibri" w:hAnsi="Arial" w:cs="Arial"/>
          <w:i/>
          <w:sz w:val="21"/>
          <w:szCs w:val="21"/>
          <w:lang w:val="es-ES"/>
        </w:rPr>
        <w:lastRenderedPageBreak/>
        <w:t>fundamentos ahí contenidos, también lo es que ello debe acontecer bajo la condición de no variar los originales, pues de lo contrario, deben desestimarse por pretender mejorar el acto autoritario en la Litis contenciosa.”</w:t>
      </w:r>
    </w:p>
    <w:p w:rsidR="00FC5BE9" w:rsidRPr="00FC5BE9" w:rsidRDefault="00FC5BE9" w:rsidP="00FC5BE9">
      <w:pPr>
        <w:spacing w:after="0" w:line="360" w:lineRule="auto"/>
        <w:ind w:firstLine="709"/>
        <w:jc w:val="both"/>
        <w:rPr>
          <w:rFonts w:ascii="Arial" w:eastAsia="Times New Roman" w:hAnsi="Arial" w:cs="Arial"/>
          <w:color w:val="000000"/>
          <w:sz w:val="24"/>
          <w:szCs w:val="24"/>
          <w:lang w:val="es-ES" w:eastAsia="es-MX"/>
        </w:rPr>
      </w:pPr>
    </w:p>
    <w:p w:rsidR="00FC5BE9" w:rsidRPr="00FC5BE9" w:rsidRDefault="00FC5BE9" w:rsidP="00FC5BE9">
      <w:pPr>
        <w:spacing w:after="0" w:line="360" w:lineRule="auto"/>
        <w:ind w:firstLine="709"/>
        <w:jc w:val="both"/>
        <w:rPr>
          <w:rFonts w:ascii="Arial" w:eastAsia="Times New Roman" w:hAnsi="Arial" w:cs="Arial"/>
          <w:color w:val="000000"/>
          <w:sz w:val="24"/>
          <w:szCs w:val="24"/>
          <w:lang w:val="es-ES" w:eastAsia="es-MX"/>
        </w:rPr>
      </w:pPr>
      <w:r w:rsidRPr="00FC5BE9">
        <w:rPr>
          <w:rFonts w:ascii="Arial" w:eastAsia="Times New Roman" w:hAnsi="Arial" w:cs="Arial"/>
          <w:color w:val="000000"/>
          <w:sz w:val="24"/>
          <w:szCs w:val="24"/>
          <w:lang w:val="es-ES" w:eastAsia="es-MX"/>
        </w:rPr>
        <w:t>Es menester resaltar que tratándose de Registros del Padrón Catastral Municipal, estos estarán bajo control y administración de la Dirección de Catastro Municipal del ayuntamiento correspondiente, quien en su caso se regirá por lo establecido en la Ley del Registro Público de la  Propiedad y del  Catastro para el Estado  y Municipios de San Luis Potosí.</w:t>
      </w:r>
    </w:p>
    <w:p w:rsidR="00FC5BE9" w:rsidRPr="00FC5BE9" w:rsidRDefault="00FC5BE9" w:rsidP="00FC5BE9">
      <w:pPr>
        <w:spacing w:after="0" w:line="360" w:lineRule="auto"/>
        <w:ind w:firstLine="709"/>
        <w:jc w:val="both"/>
        <w:rPr>
          <w:rFonts w:ascii="Arial" w:eastAsia="Times New Roman" w:hAnsi="Arial" w:cs="Arial"/>
          <w:color w:val="000000"/>
          <w:sz w:val="24"/>
          <w:szCs w:val="24"/>
          <w:lang w:val="es-ES" w:eastAsia="es-MX"/>
        </w:rPr>
      </w:pPr>
    </w:p>
    <w:p w:rsidR="00FC5BE9" w:rsidRPr="00FC5BE9" w:rsidRDefault="00FC5BE9" w:rsidP="00FC5BE9">
      <w:pPr>
        <w:spacing w:after="0" w:line="360" w:lineRule="auto"/>
        <w:ind w:firstLine="709"/>
        <w:jc w:val="both"/>
        <w:rPr>
          <w:rFonts w:ascii="Arial" w:eastAsia="Times New Roman" w:hAnsi="Arial" w:cs="Arial"/>
          <w:color w:val="000000"/>
          <w:sz w:val="24"/>
          <w:szCs w:val="24"/>
          <w:lang w:val="es-ES" w:eastAsia="es-MX"/>
        </w:rPr>
      </w:pPr>
      <w:r w:rsidRPr="00FC5BE9">
        <w:rPr>
          <w:rFonts w:ascii="Arial" w:eastAsia="Times New Roman" w:hAnsi="Arial" w:cs="Arial"/>
          <w:color w:val="000000"/>
          <w:sz w:val="24"/>
          <w:szCs w:val="24"/>
          <w:lang w:val="es-ES" w:eastAsia="es-MX"/>
        </w:rPr>
        <w:t xml:space="preserve">Conforme a la normatividad aplicable, se tiene que Dirección de Catastro del Municipio de San Luis Potosí, </w:t>
      </w:r>
      <w:r w:rsidRPr="00FC5BE9">
        <w:rPr>
          <w:rFonts w:ascii="Arial" w:eastAsia="Times New Roman" w:hAnsi="Arial" w:cs="Arial"/>
          <w:b/>
          <w:color w:val="000000"/>
          <w:sz w:val="24"/>
          <w:szCs w:val="24"/>
          <w:lang w:val="es-ES" w:eastAsia="es-MX"/>
        </w:rPr>
        <w:t>estructura el conjunto de padrones</w:t>
      </w:r>
      <w:r w:rsidRPr="00FC5BE9">
        <w:rPr>
          <w:rFonts w:ascii="Arial" w:eastAsia="Times New Roman" w:hAnsi="Arial" w:cs="Arial"/>
          <w:color w:val="000000"/>
          <w:sz w:val="24"/>
          <w:szCs w:val="24"/>
          <w:lang w:val="es-ES" w:eastAsia="es-MX"/>
        </w:rPr>
        <w:t xml:space="preserve"> inherentes a las actividades relacionadas con los bienes inmuebles, ubicados en el territorio de los municipios de la Entidad que identifica, </w:t>
      </w:r>
      <w:r w:rsidRPr="00FC5BE9">
        <w:rPr>
          <w:rFonts w:ascii="Arial" w:eastAsia="Times New Roman" w:hAnsi="Arial" w:cs="Arial"/>
          <w:b/>
          <w:color w:val="000000"/>
          <w:sz w:val="24"/>
          <w:szCs w:val="24"/>
          <w:lang w:val="es-ES" w:eastAsia="es-MX"/>
        </w:rPr>
        <w:t>a través de una clave única catastral,</w:t>
      </w:r>
      <w:r w:rsidRPr="00FC5BE9">
        <w:rPr>
          <w:rFonts w:ascii="Arial" w:eastAsia="Times New Roman" w:hAnsi="Arial" w:cs="Arial"/>
          <w:color w:val="000000"/>
          <w:sz w:val="24"/>
          <w:szCs w:val="24"/>
          <w:lang w:val="es-ES" w:eastAsia="es-MX"/>
        </w:rPr>
        <w:t xml:space="preserve"> e integra una ficha única que describe con detalle y precisión técnica las características del terreno y construcción de un inmueble, y tiene como objetivos generales entre otros Identificar y deslindar los bienes inmuebles; debiendo otorgar para ello una Clave Catastral Única de Identificación de Predio: que es la numérica que identifica al predio, integrada por: estado, región catastral, municipio, zona catastral, localidad, sector catastral, manzana, y predio determinado; y tratándose de condominios: edificio y unidad; la cual debe otorgarse previo inscripción en el Padrón Catastral Municipal respectivo.</w:t>
      </w:r>
    </w:p>
    <w:p w:rsidR="00FC5BE9" w:rsidRPr="00FC5BE9" w:rsidRDefault="00FC5BE9" w:rsidP="00FC5BE9">
      <w:pPr>
        <w:spacing w:after="0" w:line="360" w:lineRule="auto"/>
        <w:ind w:firstLine="709"/>
        <w:jc w:val="both"/>
        <w:rPr>
          <w:rFonts w:ascii="Arial" w:eastAsia="Times New Roman" w:hAnsi="Arial" w:cs="Arial"/>
          <w:color w:val="000000"/>
          <w:sz w:val="24"/>
          <w:szCs w:val="24"/>
          <w:lang w:val="es-ES" w:eastAsia="es-MX"/>
        </w:rPr>
      </w:pPr>
    </w:p>
    <w:p w:rsidR="00FC5BE9" w:rsidRPr="00FC5BE9" w:rsidRDefault="00FC5BE9" w:rsidP="00FC5BE9">
      <w:pPr>
        <w:spacing w:after="0" w:line="360" w:lineRule="auto"/>
        <w:ind w:firstLine="709"/>
        <w:jc w:val="both"/>
        <w:rPr>
          <w:rFonts w:ascii="Arial" w:eastAsia="Times New Roman" w:hAnsi="Arial" w:cs="Arial"/>
          <w:color w:val="000000"/>
          <w:sz w:val="24"/>
          <w:szCs w:val="24"/>
          <w:lang w:val="es-ES" w:eastAsia="es-MX"/>
        </w:rPr>
      </w:pPr>
      <w:r w:rsidRPr="00FC5BE9">
        <w:rPr>
          <w:rFonts w:ascii="Arial" w:eastAsia="Times New Roman" w:hAnsi="Arial" w:cs="Arial"/>
          <w:color w:val="000000"/>
          <w:sz w:val="24"/>
          <w:szCs w:val="24"/>
          <w:lang w:val="es-ES" w:eastAsia="es-MX"/>
        </w:rPr>
        <w:t xml:space="preserve">Según se establece en los artículos que se transcriben: </w:t>
      </w:r>
    </w:p>
    <w:p w:rsidR="00FC5BE9" w:rsidRPr="00FC5BE9" w:rsidRDefault="00FC5BE9" w:rsidP="00FC5BE9">
      <w:pPr>
        <w:autoSpaceDE w:val="0"/>
        <w:autoSpaceDN w:val="0"/>
        <w:adjustRightInd w:val="0"/>
        <w:spacing w:after="0"/>
        <w:ind w:left="709"/>
        <w:jc w:val="both"/>
        <w:rPr>
          <w:rFonts w:ascii="Arial" w:eastAsia="Calibri" w:hAnsi="Arial" w:cs="Arial"/>
          <w:b/>
          <w:i/>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i/>
          <w:sz w:val="21"/>
          <w:szCs w:val="21"/>
          <w:lang w:val="es-ES"/>
        </w:rPr>
        <w:t>“Artículo 73</w:t>
      </w:r>
      <w:r w:rsidRPr="00FC5BE9">
        <w:rPr>
          <w:rFonts w:ascii="Arial" w:eastAsia="Calibri" w:hAnsi="Arial" w:cs="Arial"/>
          <w:i/>
          <w:sz w:val="21"/>
          <w:szCs w:val="21"/>
          <w:lang w:val="es-ES"/>
        </w:rPr>
        <w:t xml:space="preserve">. Para los efectos de esta Ley, Catastro es el inventario de la propiedad raíz de los municipios del Estado, estructurado por el conjunto de padrones inherentes a las actividades relacionadas con los bienes inmuebles, ubicados en el territorio de los municipios de la Entidad que identifica, a través de una clave única catastral, e integra una ficha única que describe con detalle y precisión técnica las características del terreno y construcción de un inmueble, y tiene como objetivos generales: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”I. Identificar y deslindar los bienes inmuebles;</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II. Ser la base de la información sobre planeación territorial;</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III. Certificar, integrar y mantener actualizada la información relativa a las características cuantitativas y cualitativas de los bienes inmuebles;</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IV. Determinar los valores catastrales de los bienes inmuebles;</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V. Integrar la cartografía catastral del territorio del Estado, y</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VI. Aportar la información técnica en relación a los límites del territorio del Estado y de sus municipios.</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Las actuaciones y documentos del Catastro estarán dotados de fe pública catastral.</w:t>
      </w:r>
    </w:p>
    <w:p w:rsidR="00FC5BE9" w:rsidRPr="00FC5BE9" w:rsidRDefault="00FC5BE9" w:rsidP="00FC5BE9">
      <w:pPr>
        <w:spacing w:after="0" w:line="360" w:lineRule="auto"/>
        <w:ind w:firstLine="709"/>
        <w:jc w:val="both"/>
        <w:rPr>
          <w:rFonts w:ascii="Arial" w:eastAsia="Times New Roman" w:hAnsi="Arial" w:cs="Arial"/>
          <w:color w:val="000000"/>
          <w:sz w:val="21"/>
          <w:szCs w:val="21"/>
          <w:lang w:val="es-ES" w:eastAsia="es-MX"/>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i/>
          <w:sz w:val="21"/>
          <w:szCs w:val="21"/>
          <w:lang w:val="es-ES"/>
        </w:rPr>
        <w:t>“Artículo  4º.</w:t>
      </w:r>
      <w:r w:rsidRPr="00FC5BE9">
        <w:rPr>
          <w:rFonts w:ascii="Arial" w:eastAsia="Calibri" w:hAnsi="Arial" w:cs="Arial"/>
          <w:i/>
          <w:sz w:val="21"/>
          <w:szCs w:val="21"/>
          <w:lang w:val="es-ES"/>
        </w:rPr>
        <w:t xml:space="preserve"> Para los efectos de esta Ley se entenderá por: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lastRenderedPageBreak/>
        <w:t xml:space="preserve">“…VII. CLAVE CATASTRAL UNICA DE IDENTIFICACIÓN DE PREDIO: es la numérica que identifica al predio, integrada por: estado, región catastral, municipio, zona catastral, localidad, sector catastral, manzana, y predio determinado; y tratándose de condominios: edificio y unidad;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 xml:space="preserve">“…XX. PADRON CATASTRAL MUNICIPAL: el conjunto de registros catastrales, en los que se contienen los datos generales y particulares de los bienes inmuebles ubicados en el territorio del municipio respectivo;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i/>
          <w:sz w:val="21"/>
          <w:szCs w:val="21"/>
          <w:lang w:val="es-ES"/>
        </w:rPr>
        <w:t>“Artículo 94.</w:t>
      </w:r>
      <w:r w:rsidRPr="00FC5BE9">
        <w:rPr>
          <w:rFonts w:ascii="Arial" w:eastAsia="Calibri" w:hAnsi="Arial" w:cs="Arial"/>
          <w:i/>
          <w:sz w:val="21"/>
          <w:szCs w:val="21"/>
          <w:lang w:val="es-ES"/>
        </w:rPr>
        <w:t xml:space="preserve"> Los bienes inmuebles ubicados dentro del territorio de los municipios, serán inscritos en el Padrón Catastral Municipal respectivo, señalando las características físicas de ubicación, previa verificación del título de propiedad o certificado de posesión agraria, en los formatos que para tal efecto proporcionen las autoridades catastrales municipales.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 xml:space="preserve">“La modificación a cualquiera de las características de los bienes inmuebles, deberá anotarse en el propio padrón catastral municipal para su actualización. Queda prohibido a la autoridad municipal realizar modificaciones al Padrón Catastral Municipal, salvo que se demuestre de manera fehaciente la inscripción registral, o la resolución judicial firme correspondiente del inmueble de que se trate”.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i/>
          <w:sz w:val="21"/>
          <w:szCs w:val="21"/>
          <w:lang w:val="es-ES"/>
        </w:rPr>
        <w:t>“Artículo  95.</w:t>
      </w:r>
      <w:r w:rsidRPr="00FC5BE9">
        <w:rPr>
          <w:rFonts w:ascii="Arial" w:eastAsia="Calibri" w:hAnsi="Arial" w:cs="Arial"/>
          <w:i/>
          <w:sz w:val="21"/>
          <w:szCs w:val="21"/>
          <w:lang w:val="es-ES"/>
        </w:rPr>
        <w:t xml:space="preserve"> Al inscribir un inmueble en el Padrón Catastral Municipal, se le asignará a cada predio según le corresponda, una Clave Catastral Única de Identificación de Predio, el uso del suelo, propietario o poseedor de régimen ejidal, así como sus características cualitativas y cuantitativas que le correspondan, en los términos de los planes de desarrollo urbano aprobados. </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i/>
          <w:sz w:val="21"/>
          <w:szCs w:val="21"/>
          <w:lang w:val="es-ES"/>
        </w:rPr>
        <w:t>“Cuando se solicite una inscripción en la que las autoridades catastrales detecten que existe confusión de los derechos de propiedad, o en lo relativo a su ubicación, superficie, medidas y colindancias, deberá emitir al interesado una certificación de las características y estado del predio de que se trate, a fin de que el mismo realice lo que a su derecho convenga.</w:t>
      </w: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i/>
          <w:sz w:val="21"/>
          <w:szCs w:val="21"/>
          <w:lang w:val="es-ES"/>
        </w:rPr>
        <w:t>“Artículo 109.</w:t>
      </w:r>
      <w:r w:rsidRPr="00FC5BE9">
        <w:rPr>
          <w:rFonts w:ascii="Arial" w:eastAsia="Calibri" w:hAnsi="Arial" w:cs="Arial"/>
          <w:i/>
          <w:sz w:val="21"/>
          <w:szCs w:val="21"/>
          <w:lang w:val="es-ES"/>
        </w:rPr>
        <w:t xml:space="preserve"> La inscripción de un bien inmueble en el Padrón Catastral Municipal o la constancia que de dicha inscripción obre en el Padrón Catastral Estatal, no genera ningún derecho real en favor de la persona a cuyo nombre aparezca inscrito. </w:t>
      </w:r>
    </w:p>
    <w:p w:rsidR="00FC5BE9" w:rsidRPr="00FC5BE9" w:rsidRDefault="00FC5BE9" w:rsidP="00FC5BE9">
      <w:pPr>
        <w:autoSpaceDE w:val="0"/>
        <w:autoSpaceDN w:val="0"/>
        <w:adjustRightInd w:val="0"/>
        <w:spacing w:after="0"/>
        <w:ind w:left="709"/>
        <w:jc w:val="both"/>
        <w:rPr>
          <w:rFonts w:ascii="Arial" w:eastAsia="Calibri" w:hAnsi="Arial" w:cs="Arial"/>
          <w:b/>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i/>
          <w:sz w:val="21"/>
          <w:szCs w:val="21"/>
          <w:lang w:val="es-ES"/>
        </w:rPr>
        <w:t>“Articulo 110.</w:t>
      </w:r>
      <w:r w:rsidRPr="00FC5BE9">
        <w:rPr>
          <w:rFonts w:ascii="Arial" w:eastAsia="Calibri" w:hAnsi="Arial" w:cs="Arial"/>
          <w:i/>
          <w:sz w:val="21"/>
          <w:szCs w:val="21"/>
          <w:lang w:val="es-ES"/>
        </w:rPr>
        <w:t xml:space="preserve"> El Padrón Catastral Estatal estará bajo el control y administración del Instituto. El Padrón Catastral Municipal estará bajo control y administración de la Dirección de Catastro Municipal del ayuntamiento correspondiente. Ambos padrones podrán ser consultados por las dependencias y entidades de las administraciones públicas estatal, y municipales, por los notarios públicos y, en general por todas aquellas personas propietarias de bienes inmuebles, incluyendo su construcción. </w:t>
      </w:r>
    </w:p>
    <w:p w:rsidR="00FC5BE9" w:rsidRPr="00FC5BE9" w:rsidRDefault="00FC5BE9" w:rsidP="00FC5BE9">
      <w:pPr>
        <w:autoSpaceDE w:val="0"/>
        <w:autoSpaceDN w:val="0"/>
        <w:adjustRightInd w:val="0"/>
        <w:spacing w:after="0"/>
        <w:ind w:left="709"/>
        <w:jc w:val="both"/>
        <w:rPr>
          <w:rFonts w:ascii="Arial" w:eastAsia="Calibri" w:hAnsi="Arial" w:cs="Arial"/>
          <w:b/>
          <w:i/>
          <w:sz w:val="21"/>
          <w:szCs w:val="21"/>
          <w:lang w:val="es-ES"/>
        </w:rPr>
      </w:pPr>
    </w:p>
    <w:p w:rsidR="00FC5BE9" w:rsidRPr="00FC5BE9" w:rsidRDefault="00FC5BE9" w:rsidP="00FC5BE9">
      <w:pPr>
        <w:autoSpaceDE w:val="0"/>
        <w:autoSpaceDN w:val="0"/>
        <w:adjustRightInd w:val="0"/>
        <w:spacing w:after="0"/>
        <w:ind w:left="709"/>
        <w:jc w:val="both"/>
        <w:rPr>
          <w:rFonts w:ascii="Arial" w:eastAsia="Calibri" w:hAnsi="Arial" w:cs="Arial"/>
          <w:i/>
          <w:sz w:val="21"/>
          <w:szCs w:val="21"/>
          <w:lang w:val="es-ES"/>
        </w:rPr>
      </w:pPr>
      <w:r w:rsidRPr="00FC5BE9">
        <w:rPr>
          <w:rFonts w:ascii="Arial" w:eastAsia="Calibri" w:hAnsi="Arial" w:cs="Arial"/>
          <w:b/>
          <w:i/>
          <w:sz w:val="21"/>
          <w:szCs w:val="21"/>
          <w:lang w:val="es-ES"/>
        </w:rPr>
        <w:t xml:space="preserve">“Artículo 111. </w:t>
      </w:r>
      <w:r w:rsidRPr="00FC5BE9">
        <w:rPr>
          <w:rFonts w:ascii="Arial" w:eastAsia="Calibri" w:hAnsi="Arial" w:cs="Arial"/>
          <w:i/>
          <w:sz w:val="21"/>
          <w:szCs w:val="21"/>
          <w:lang w:val="es-ES"/>
        </w:rPr>
        <w:t>Las autoridades catastrales proporcionarán, previo pago de derechos respectivos, la información catastral que se encuentre en sus registros, padrones y archivos, y expedirán constancias, avalúos, copias certificadas sobre inscripciones y documentos relativos a los bienes inmuebles, previa solicitud por escrito en donde se acredite su interés jurídico. Asimismo, cuando se solicite expresamente, expedirán avalúo catastral referido.</w:t>
      </w:r>
    </w:p>
    <w:p w:rsidR="00FC5BE9" w:rsidRPr="00FC5BE9" w:rsidRDefault="00FC5BE9" w:rsidP="002F4158">
      <w:pPr>
        <w:spacing w:after="0" w:line="360" w:lineRule="auto"/>
        <w:ind w:firstLine="709"/>
        <w:jc w:val="both"/>
        <w:rPr>
          <w:rFonts w:ascii="Arial" w:eastAsia="Calibri" w:hAnsi="Arial" w:cs="Arial"/>
          <w:sz w:val="24"/>
          <w:szCs w:val="24"/>
        </w:rPr>
      </w:pPr>
      <w:r w:rsidRPr="00FC5BE9">
        <w:rPr>
          <w:rFonts w:ascii="Arial" w:eastAsia="Times New Roman" w:hAnsi="Arial" w:cs="Arial"/>
          <w:color w:val="000000"/>
          <w:sz w:val="24"/>
          <w:szCs w:val="24"/>
          <w:lang w:val="es-ES" w:eastAsia="es-MX"/>
        </w:rPr>
        <w:t xml:space="preserve">Bajo ese contexto, </w:t>
      </w:r>
      <w:r w:rsidRPr="00FC5BE9">
        <w:rPr>
          <w:rFonts w:ascii="Arial" w:eastAsia="Times New Roman" w:hAnsi="Arial" w:cs="Arial"/>
          <w:b/>
          <w:color w:val="000000"/>
          <w:sz w:val="24"/>
          <w:szCs w:val="24"/>
          <w:lang w:val="es-ES" w:eastAsia="es-MX"/>
        </w:rPr>
        <w:t xml:space="preserve">resulta ilegal </w:t>
      </w:r>
      <w:r w:rsidR="002F4158">
        <w:rPr>
          <w:rFonts w:ascii="Arial" w:eastAsia="Times New Roman" w:hAnsi="Arial" w:cs="Arial"/>
          <w:b/>
          <w:color w:val="000000"/>
          <w:sz w:val="24"/>
          <w:szCs w:val="24"/>
          <w:lang w:val="es-ES" w:eastAsia="es-MX"/>
        </w:rPr>
        <w:t>el acto impugnado, consistente en el oficio SIN/209/BIS/2024, de fecha 9 de diciembre de 2024, emitido por el Síndico Municipal del H. Ayuntamiento de San Luis Potosí,</w:t>
      </w:r>
      <w:r w:rsidRPr="00FC5BE9">
        <w:rPr>
          <w:rFonts w:ascii="Arial" w:eastAsia="Times New Roman" w:hAnsi="Arial" w:cs="Arial"/>
          <w:sz w:val="24"/>
          <w:szCs w:val="24"/>
          <w:lang w:val="es-ES" w:eastAsia="es-ES"/>
        </w:rPr>
        <w:t xml:space="preserve"> </w:t>
      </w:r>
      <w:r w:rsidRPr="00FC5BE9">
        <w:rPr>
          <w:rFonts w:ascii="Arial" w:eastAsia="Times New Roman" w:hAnsi="Arial" w:cs="Arial"/>
          <w:color w:val="000000"/>
          <w:sz w:val="24"/>
          <w:szCs w:val="24"/>
          <w:lang w:val="es-ES" w:eastAsia="es-MX"/>
        </w:rPr>
        <w:t xml:space="preserve">ante la </w:t>
      </w:r>
      <w:r w:rsidR="002F4158">
        <w:rPr>
          <w:rFonts w:ascii="Arial" w:eastAsia="Times New Roman" w:hAnsi="Arial" w:cs="Arial"/>
          <w:color w:val="000000"/>
          <w:sz w:val="24"/>
          <w:szCs w:val="24"/>
          <w:lang w:val="es-ES" w:eastAsia="es-MX"/>
        </w:rPr>
        <w:lastRenderedPageBreak/>
        <w:t xml:space="preserve">falta de fundamentación y motivación con que se dictó la respuesta a la petición formulada por las actoras, lo que se hizo a manera de información y sin remitir a la autoridad competente, como lo es la Dirección de Catastro del H. Ayuntamiento de San Luis Potosí, autoridad ante quien se llevó el trámite que señalaron las demandantes, </w:t>
      </w:r>
      <w:r w:rsidRPr="00FC5BE9">
        <w:rPr>
          <w:rFonts w:ascii="Arial" w:eastAsia="Times New Roman" w:hAnsi="Arial" w:cs="Arial"/>
          <w:color w:val="000000"/>
          <w:sz w:val="24"/>
          <w:szCs w:val="24"/>
          <w:lang w:val="es-ES" w:eastAsia="es-MX"/>
        </w:rPr>
        <w:t xml:space="preserve">lo que contraviene lo establecido en los artículos 14 y 16 Constitucional e incumple con elementos y forma para la exigencia del acto establecido </w:t>
      </w:r>
      <w:r w:rsidRPr="00FC5BE9">
        <w:rPr>
          <w:rFonts w:ascii="Arial" w:eastAsia="Calibri" w:hAnsi="Arial" w:cs="Arial"/>
          <w:sz w:val="24"/>
          <w:szCs w:val="24"/>
        </w:rPr>
        <w:t>que se establecen en los numerales 164 fracciones V y VI y 165 fracciones II y III</w:t>
      </w:r>
      <w:r w:rsidR="002F4158">
        <w:rPr>
          <w:rFonts w:ascii="Arial" w:eastAsia="Calibri" w:hAnsi="Arial" w:cs="Arial"/>
          <w:sz w:val="24"/>
          <w:szCs w:val="24"/>
        </w:rPr>
        <w:t xml:space="preserve">, así como lo dispuesto por el </w:t>
      </w:r>
      <w:r w:rsidR="002F4158">
        <w:rPr>
          <w:rFonts w:ascii="Arial" w:eastAsia="Times New Roman" w:hAnsi="Arial" w:cs="Arial"/>
          <w:sz w:val="24"/>
          <w:szCs w:val="24"/>
          <w:lang w:val="es-ES" w:eastAsia="es-ES"/>
        </w:rPr>
        <w:t xml:space="preserve">segundo párrafo del artículo 182 </w:t>
      </w:r>
      <w:r w:rsidRPr="00FC5BE9">
        <w:rPr>
          <w:rFonts w:ascii="Arial" w:eastAsia="Calibri" w:hAnsi="Arial" w:cs="Arial"/>
          <w:sz w:val="24"/>
          <w:szCs w:val="24"/>
        </w:rPr>
        <w:t xml:space="preserve"> del Código Procesal Administrativo</w:t>
      </w:r>
      <w:r w:rsidRPr="00FC5BE9">
        <w:rPr>
          <w:rFonts w:ascii="Arial" w:eastAsia="Times New Roman" w:hAnsi="Arial" w:cs="Arial"/>
          <w:color w:val="000000"/>
          <w:sz w:val="24"/>
          <w:szCs w:val="24"/>
          <w:lang w:val="es-ES" w:eastAsia="es-MX"/>
        </w:rPr>
        <w:t xml:space="preserve">, y los artículos 4°fraciones VII y XX, 73, 94, 95, 109, 110 y 111 de la Ley del Registro Público de la  Propiedad y del  Catastro para el Estado  y Municipios de San Luis Potosí; según se razonó en párrafos que anteceden, </w:t>
      </w:r>
      <w:r w:rsidRPr="00FC5BE9">
        <w:rPr>
          <w:rFonts w:ascii="Arial" w:eastAsia="Calibri" w:hAnsi="Arial" w:cs="Arial"/>
          <w:sz w:val="24"/>
          <w:szCs w:val="24"/>
        </w:rPr>
        <w:t>en virtud de que todos los actos administrativos, requieren para ser legales entre otros requisitos, imprescindiblemente que sean emitidos cumpliéndose con las formalidades esenciales que les den eficacia jurídica, lo que significa que todo acto de autoridad necesariamente debe emitirse por autoridad competente, siguiendo los procedimientos establecidos, y con los requisitos de la debida fundamentación y motivación, circunstancias que en el caso que nos ocupa no acontecieron</w:t>
      </w:r>
      <w:r w:rsidR="002F4158">
        <w:rPr>
          <w:rFonts w:ascii="Arial" w:eastAsia="Calibri" w:hAnsi="Arial" w:cs="Arial"/>
          <w:sz w:val="24"/>
          <w:szCs w:val="24"/>
        </w:rPr>
        <w:t>, pues la solicitud de las actoras, junto con las pruebas ofrecidas, no fue remitido a la autoridad competente, para que esta determinara lo conducente, haciendo una valoración de la petición en conjunto con las probanzas que acompaña su petición</w:t>
      </w:r>
      <w:r w:rsidRPr="00FC5BE9">
        <w:rPr>
          <w:rFonts w:ascii="Arial" w:eastAsia="Calibri" w:hAnsi="Arial" w:cs="Arial"/>
          <w:sz w:val="24"/>
          <w:szCs w:val="24"/>
        </w:rPr>
        <w:t xml:space="preserve">. </w:t>
      </w:r>
    </w:p>
    <w:p w:rsidR="00FC5BE9" w:rsidRPr="00FC5BE9" w:rsidRDefault="00FC5BE9" w:rsidP="00FC5BE9">
      <w:pPr>
        <w:autoSpaceDE w:val="0"/>
        <w:autoSpaceDN w:val="0"/>
        <w:adjustRightInd w:val="0"/>
        <w:spacing w:after="0" w:line="360" w:lineRule="auto"/>
        <w:ind w:firstLine="708"/>
        <w:jc w:val="both"/>
        <w:rPr>
          <w:rFonts w:ascii="Arial" w:eastAsia="Calibri" w:hAnsi="Arial" w:cs="Arial"/>
          <w:sz w:val="24"/>
          <w:szCs w:val="24"/>
          <w:lang w:val="es-ES"/>
        </w:rPr>
      </w:pPr>
    </w:p>
    <w:p w:rsidR="00FC5BE9" w:rsidRPr="00FC5BE9" w:rsidRDefault="00FC5BE9" w:rsidP="00FC5BE9">
      <w:pPr>
        <w:spacing w:after="0" w:line="360" w:lineRule="auto"/>
        <w:ind w:firstLine="708"/>
        <w:jc w:val="both"/>
        <w:rPr>
          <w:rFonts w:ascii="Arial" w:eastAsia="Times New Roman" w:hAnsi="Arial" w:cs="Arial"/>
          <w:sz w:val="24"/>
          <w:szCs w:val="24"/>
          <w:lang w:val="es-ES" w:eastAsia="es-ES"/>
        </w:rPr>
      </w:pPr>
      <w:r w:rsidRPr="00FC5BE9">
        <w:rPr>
          <w:rFonts w:ascii="Arial" w:eastAsia="Times New Roman" w:hAnsi="Arial" w:cs="Arial"/>
          <w:sz w:val="24"/>
          <w:szCs w:val="24"/>
          <w:lang w:val="es-ES" w:eastAsia="es-ES"/>
        </w:rPr>
        <w:t xml:space="preserve">Así las cosas, en la especie se actualizaron las causales de ilegalidad previstas en el </w:t>
      </w:r>
      <w:r w:rsidRPr="00FC5BE9">
        <w:rPr>
          <w:rFonts w:ascii="Arial" w:eastAsia="Times New Roman" w:hAnsi="Arial" w:cs="Arial"/>
          <w:b/>
          <w:sz w:val="24"/>
          <w:szCs w:val="24"/>
          <w:lang w:val="es-ES" w:eastAsia="es-ES"/>
        </w:rPr>
        <w:t>artículo 250</w:t>
      </w:r>
      <w:r w:rsidRPr="00FC5BE9">
        <w:rPr>
          <w:rFonts w:ascii="Arial" w:eastAsia="Calibri" w:hAnsi="Arial" w:cs="Arial"/>
          <w:b/>
          <w:sz w:val="24"/>
          <w:szCs w:val="24"/>
        </w:rPr>
        <w:t xml:space="preserve"> </w:t>
      </w:r>
      <w:r w:rsidRPr="00FC5BE9">
        <w:rPr>
          <w:rFonts w:ascii="Arial" w:eastAsia="Times New Roman" w:hAnsi="Arial" w:cs="Arial"/>
          <w:b/>
          <w:sz w:val="24"/>
          <w:szCs w:val="24"/>
          <w:lang w:val="es-ES" w:eastAsia="es-ES"/>
        </w:rPr>
        <w:t xml:space="preserve">fracciones II, III y penúltimo párrafo,  </w:t>
      </w:r>
      <w:r w:rsidRPr="00FC5BE9">
        <w:rPr>
          <w:rFonts w:ascii="Arial" w:eastAsia="Times New Roman" w:hAnsi="Arial" w:cs="Arial"/>
          <w:sz w:val="24"/>
          <w:szCs w:val="24"/>
          <w:lang w:val="es-ES" w:eastAsia="es-ES"/>
        </w:rPr>
        <w:t>del Código Procesal Administrativo para el Estado de San Luis Potosí, que se refiere a la ilegalidad del acto impugnado cuando se dicta en contravención a las disposiciones legales aplicables.</w:t>
      </w:r>
    </w:p>
    <w:p w:rsidR="00FC5BE9" w:rsidRPr="00FC5BE9" w:rsidRDefault="00FC5BE9" w:rsidP="00FC5BE9">
      <w:pPr>
        <w:spacing w:after="0" w:line="360" w:lineRule="auto"/>
        <w:ind w:firstLine="709"/>
        <w:jc w:val="both"/>
        <w:rPr>
          <w:rFonts w:ascii="Arial" w:eastAsia="Times New Roman" w:hAnsi="Arial" w:cs="Arial"/>
          <w:sz w:val="24"/>
          <w:szCs w:val="24"/>
          <w:lang w:val="es-ES" w:eastAsia="es-ES"/>
        </w:rPr>
      </w:pPr>
    </w:p>
    <w:p w:rsidR="00FC5BE9" w:rsidRPr="00FC5BE9" w:rsidRDefault="00FC5BE9" w:rsidP="00946DC6">
      <w:pPr>
        <w:autoSpaceDE w:val="0"/>
        <w:autoSpaceDN w:val="0"/>
        <w:adjustRightInd w:val="0"/>
        <w:spacing w:after="0" w:line="360" w:lineRule="auto"/>
        <w:ind w:firstLine="708"/>
        <w:jc w:val="both"/>
        <w:rPr>
          <w:rFonts w:ascii="Arial" w:eastAsia="Times New Roman" w:hAnsi="Arial" w:cs="Arial"/>
          <w:sz w:val="24"/>
          <w:szCs w:val="24"/>
          <w:lang w:val="es-ES" w:eastAsia="es-ES"/>
        </w:rPr>
      </w:pPr>
      <w:r w:rsidRPr="00FC5BE9">
        <w:rPr>
          <w:rFonts w:ascii="Arial" w:eastAsia="Calibri" w:hAnsi="Arial" w:cs="Arial"/>
          <w:sz w:val="24"/>
          <w:szCs w:val="24"/>
        </w:rPr>
        <w:t>Por lo que, lo procedente será decretar su ilegalidad y nulidad</w:t>
      </w:r>
      <w:r w:rsidRPr="00FC5BE9">
        <w:rPr>
          <w:rFonts w:ascii="Arial" w:eastAsia="Calibri" w:hAnsi="Arial" w:cs="Arial"/>
          <w:b/>
          <w:sz w:val="24"/>
          <w:szCs w:val="24"/>
        </w:rPr>
        <w:t>,</w:t>
      </w:r>
      <w:r w:rsidRPr="00FC5BE9">
        <w:rPr>
          <w:rFonts w:ascii="Arial" w:eastAsia="Calibri" w:hAnsi="Arial" w:cs="Arial"/>
          <w:sz w:val="24"/>
          <w:szCs w:val="24"/>
        </w:rPr>
        <w:t xml:space="preserve"> para que la autoridad demandada emita </w:t>
      </w:r>
      <w:r w:rsidR="00946DC6">
        <w:rPr>
          <w:rFonts w:ascii="Arial" w:eastAsia="Times New Roman" w:hAnsi="Arial" w:cs="Arial"/>
          <w:sz w:val="24"/>
          <w:szCs w:val="24"/>
          <w:lang w:val="es-ES" w:eastAsia="es-ES"/>
        </w:rPr>
        <w:t>otra, mediante la cual remita la solicitud de la actora, junto con las probanzas que acompaña la misma, a la Dirección de Catastro del H. Ayuntamiento de San Luis Potosí y sea esta quien analice y valore lo conducente, atendiendo la petición formulada por las aquí actoras</w:t>
      </w:r>
      <w:r w:rsidRPr="00FC5BE9">
        <w:rPr>
          <w:rFonts w:ascii="Arial" w:eastAsia="Times New Roman" w:hAnsi="Arial" w:cs="Arial"/>
          <w:sz w:val="24"/>
          <w:szCs w:val="24"/>
          <w:lang w:val="es-ES" w:eastAsia="es-ES"/>
        </w:rPr>
        <w:t xml:space="preserve">, valorando íntegramente </w:t>
      </w:r>
      <w:r w:rsidRPr="00FC5BE9">
        <w:rPr>
          <w:rFonts w:ascii="Arial" w:eastAsia="Times New Roman" w:hAnsi="Arial" w:cs="Arial"/>
          <w:b/>
          <w:sz w:val="24"/>
          <w:szCs w:val="24"/>
          <w:u w:val="single"/>
          <w:lang w:val="es-ES" w:eastAsia="es-ES"/>
        </w:rPr>
        <w:t>cada una de las probanzas que fueron ofrecidas por la</w:t>
      </w:r>
      <w:r w:rsidR="00946DC6">
        <w:rPr>
          <w:rFonts w:ascii="Arial" w:eastAsia="Times New Roman" w:hAnsi="Arial" w:cs="Arial"/>
          <w:b/>
          <w:sz w:val="24"/>
          <w:szCs w:val="24"/>
          <w:u w:val="single"/>
          <w:lang w:val="es-ES" w:eastAsia="es-ES"/>
        </w:rPr>
        <w:t>s</w:t>
      </w:r>
      <w:r w:rsidRPr="00FC5BE9">
        <w:rPr>
          <w:rFonts w:ascii="Arial" w:eastAsia="Times New Roman" w:hAnsi="Arial" w:cs="Arial"/>
          <w:b/>
          <w:sz w:val="24"/>
          <w:szCs w:val="24"/>
          <w:u w:val="single"/>
          <w:lang w:val="es-ES" w:eastAsia="es-ES"/>
        </w:rPr>
        <w:t xml:space="preserve"> accionante</w:t>
      </w:r>
      <w:r w:rsidR="00946DC6">
        <w:rPr>
          <w:rFonts w:ascii="Arial" w:eastAsia="Times New Roman" w:hAnsi="Arial" w:cs="Arial"/>
          <w:b/>
          <w:sz w:val="24"/>
          <w:szCs w:val="24"/>
          <w:u w:val="single"/>
          <w:lang w:val="es-ES" w:eastAsia="es-ES"/>
        </w:rPr>
        <w:t>s</w:t>
      </w:r>
      <w:r w:rsidRPr="00FC5BE9">
        <w:rPr>
          <w:rFonts w:ascii="Arial" w:eastAsia="Times New Roman" w:hAnsi="Arial" w:cs="Arial"/>
          <w:b/>
          <w:sz w:val="24"/>
          <w:szCs w:val="24"/>
          <w:u w:val="single"/>
          <w:lang w:val="es-ES" w:eastAsia="es-ES"/>
        </w:rPr>
        <w:t xml:space="preserve"> en concordancia con l</w:t>
      </w:r>
      <w:r w:rsidR="00946DC6">
        <w:rPr>
          <w:rFonts w:ascii="Arial" w:eastAsia="Times New Roman" w:hAnsi="Arial" w:cs="Arial"/>
          <w:b/>
          <w:sz w:val="24"/>
          <w:szCs w:val="24"/>
          <w:u w:val="single"/>
          <w:lang w:val="es-ES" w:eastAsia="es-ES"/>
        </w:rPr>
        <w:t>o peticionado</w:t>
      </w:r>
      <w:r w:rsidRPr="00FC5BE9">
        <w:rPr>
          <w:rFonts w:ascii="Arial" w:eastAsia="Times New Roman" w:hAnsi="Arial" w:cs="Arial"/>
          <w:sz w:val="24"/>
          <w:szCs w:val="24"/>
          <w:lang w:val="es-ES" w:eastAsia="es-ES"/>
        </w:rPr>
        <w:t xml:space="preserve">, atendiendo a los lineamientos vertidos en esta sentencia de referencia, </w:t>
      </w:r>
      <w:r w:rsidRPr="00FC5BE9">
        <w:rPr>
          <w:rFonts w:ascii="Arial" w:eastAsia="Times New Roman" w:hAnsi="Arial" w:cs="Arial"/>
          <w:sz w:val="24"/>
          <w:szCs w:val="24"/>
          <w:lang w:eastAsia="es-ES"/>
        </w:rPr>
        <w:t xml:space="preserve">en la que </w:t>
      </w:r>
      <w:r w:rsidRPr="00FC5BE9">
        <w:rPr>
          <w:rFonts w:ascii="Arial" w:eastAsia="Times New Roman" w:hAnsi="Arial" w:cs="Arial"/>
          <w:sz w:val="24"/>
          <w:szCs w:val="24"/>
          <w:lang w:val="es-ES" w:eastAsia="es-ES"/>
        </w:rPr>
        <w:t xml:space="preserve">cumpla con los requisitos de la fundamentación y motivación, acorde a los principios </w:t>
      </w:r>
      <w:r w:rsidRPr="00FC5BE9">
        <w:rPr>
          <w:rFonts w:ascii="Arial" w:eastAsia="Times New Roman" w:hAnsi="Arial" w:cs="Arial"/>
          <w:sz w:val="24"/>
          <w:szCs w:val="24"/>
          <w:lang w:val="es-ES" w:eastAsia="es-ES"/>
        </w:rPr>
        <w:lastRenderedPageBreak/>
        <w:t>de diversos principios de exhaustividad y congruencia,</w:t>
      </w:r>
      <w:r w:rsidRPr="00FC5BE9">
        <w:rPr>
          <w:rFonts w:ascii="Arial" w:eastAsia="Calibri" w:hAnsi="Arial" w:cs="Arial"/>
          <w:sz w:val="24"/>
          <w:szCs w:val="24"/>
        </w:rPr>
        <w:t xml:space="preserve"> para el efecto de </w:t>
      </w:r>
      <w:r w:rsidRPr="00FC5BE9">
        <w:rPr>
          <w:rFonts w:ascii="Arial" w:eastAsia="Calibri" w:hAnsi="Arial" w:cs="Arial"/>
          <w:b/>
          <w:color w:val="000000"/>
          <w:sz w:val="24"/>
          <w:szCs w:val="24"/>
          <w:lang w:val="es-ES" w:eastAsia="es-ES"/>
        </w:rPr>
        <w:t>observar las garantías</w:t>
      </w:r>
      <w:r w:rsidRPr="00FC5BE9">
        <w:rPr>
          <w:rFonts w:ascii="Arial" w:eastAsia="Calibri" w:hAnsi="Arial" w:cs="Arial"/>
          <w:b/>
          <w:bCs/>
          <w:iCs/>
          <w:color w:val="000000"/>
          <w:sz w:val="24"/>
          <w:szCs w:val="24"/>
          <w:lang w:val="es-ES"/>
        </w:rPr>
        <w:t xml:space="preserve"> de audiencia, legalidad, seguridad jurídica y debido proceso, </w:t>
      </w:r>
      <w:r w:rsidRPr="00FC5BE9">
        <w:rPr>
          <w:rFonts w:ascii="Arial" w:eastAsia="Arial Unicode MS" w:hAnsi="Arial" w:cs="Arial"/>
          <w:color w:val="000000"/>
          <w:sz w:val="24"/>
          <w:szCs w:val="24"/>
          <w:lang w:val="es" w:eastAsia="es-MX"/>
        </w:rPr>
        <w:t>previstos en los artículos 14, 16 y 17 de nuestra Carta Magna.</w:t>
      </w:r>
    </w:p>
    <w:p w:rsidR="00FC5BE9" w:rsidRPr="00FC5BE9" w:rsidRDefault="00FC5BE9" w:rsidP="00FC5BE9">
      <w:pPr>
        <w:spacing w:after="0" w:line="360" w:lineRule="auto"/>
        <w:ind w:firstLine="709"/>
        <w:jc w:val="both"/>
        <w:rPr>
          <w:rFonts w:ascii="Arial" w:eastAsia="Times New Roman" w:hAnsi="Arial" w:cs="Arial"/>
          <w:sz w:val="24"/>
          <w:szCs w:val="24"/>
          <w:lang w:val="es-ES" w:eastAsia="es-ES"/>
        </w:rPr>
      </w:pPr>
    </w:p>
    <w:p w:rsidR="00FC5BE9" w:rsidRPr="00FC5BE9" w:rsidRDefault="00FC5BE9" w:rsidP="00FC5BE9">
      <w:pPr>
        <w:spacing w:after="0" w:line="360" w:lineRule="auto"/>
        <w:ind w:firstLine="709"/>
        <w:jc w:val="both"/>
        <w:rPr>
          <w:rFonts w:ascii="Arial" w:eastAsia="Calibri" w:hAnsi="Arial" w:cs="Arial"/>
          <w:color w:val="000000"/>
          <w:sz w:val="24"/>
          <w:szCs w:val="24"/>
        </w:rPr>
      </w:pPr>
      <w:r w:rsidRPr="00FC5BE9">
        <w:rPr>
          <w:rFonts w:ascii="Arial" w:eastAsia="Times New Roman" w:hAnsi="Arial" w:cs="Arial"/>
          <w:sz w:val="24"/>
          <w:szCs w:val="24"/>
          <w:lang w:val="es-ES" w:eastAsia="es-ES"/>
        </w:rPr>
        <w:t xml:space="preserve">En tal virtud, esta </w:t>
      </w:r>
      <w:r w:rsidRPr="00FC5BE9">
        <w:rPr>
          <w:rFonts w:ascii="Arial" w:eastAsia="Times New Roman" w:hAnsi="Arial" w:cs="Arial"/>
          <w:b/>
          <w:bCs/>
          <w:sz w:val="24"/>
          <w:szCs w:val="24"/>
          <w:lang w:val="es-ES" w:eastAsia="es-ES"/>
        </w:rPr>
        <w:t xml:space="preserve">Tercera Sala Unitaria del Tribunal Estatal de Justicia Administrativa, </w:t>
      </w:r>
      <w:r w:rsidRPr="00FC5BE9">
        <w:rPr>
          <w:rFonts w:ascii="Arial" w:eastAsia="Calibri" w:hAnsi="Arial" w:cs="Arial"/>
          <w:sz w:val="24"/>
          <w:szCs w:val="24"/>
        </w:rPr>
        <w:t xml:space="preserve">con fundamento en el artículo 251 </w:t>
      </w:r>
      <w:r w:rsidRPr="00FC5BE9">
        <w:rPr>
          <w:rFonts w:ascii="Arial" w:eastAsia="Times New Roman" w:hAnsi="Arial" w:cs="Arial"/>
          <w:bCs/>
          <w:sz w:val="24"/>
          <w:szCs w:val="24"/>
          <w:lang w:val="es-ES" w:eastAsia="es-ES"/>
        </w:rPr>
        <w:t>del Código Procesal Administrativo para el Estado de San Luis Potosí</w:t>
      </w:r>
      <w:r w:rsidRPr="00FC5BE9">
        <w:rPr>
          <w:rFonts w:ascii="Arial" w:eastAsia="Calibri" w:hAnsi="Arial" w:cs="Arial"/>
          <w:sz w:val="24"/>
          <w:szCs w:val="24"/>
        </w:rPr>
        <w:t xml:space="preserve">, determina que lo procedente es decretar y decreta, </w:t>
      </w:r>
      <w:r w:rsidRPr="00FC5BE9">
        <w:rPr>
          <w:rFonts w:ascii="Arial" w:eastAsia="Calibri" w:hAnsi="Arial" w:cs="Arial"/>
          <w:b/>
          <w:sz w:val="24"/>
          <w:szCs w:val="24"/>
        </w:rPr>
        <w:t>la ILEGALIDAD E INVALIDEZ del acto impugnado,</w:t>
      </w:r>
      <w:r w:rsidRPr="00FC5BE9">
        <w:rPr>
          <w:rFonts w:ascii="Arial" w:eastAsia="Calibri" w:hAnsi="Arial" w:cs="Arial"/>
          <w:sz w:val="24"/>
          <w:szCs w:val="24"/>
        </w:rPr>
        <w:t xml:space="preserve"> consistente en: </w:t>
      </w:r>
      <w:r w:rsidR="00946DC6">
        <w:rPr>
          <w:rFonts w:ascii="Arial" w:eastAsia="Calibri" w:hAnsi="Arial" w:cs="Arial"/>
          <w:sz w:val="24"/>
          <w:szCs w:val="24"/>
        </w:rPr>
        <w:t>El oficio SIN/209/BIS/2024, de fecha 9 de diciembre de 2024, emitido por el Síndico Municipal del H. Ayuntamiento de San Luis Potosí, mismo que obra a fojas 24 de autos</w:t>
      </w:r>
      <w:r w:rsidRPr="00FC5BE9">
        <w:rPr>
          <w:rFonts w:ascii="Arial" w:eastAsia="Times New Roman" w:hAnsi="Arial" w:cs="Arial"/>
          <w:sz w:val="24"/>
          <w:szCs w:val="24"/>
          <w:lang w:val="es-ES" w:eastAsia="es-ES"/>
        </w:rPr>
        <w:t xml:space="preserve"> y</w:t>
      </w:r>
      <w:r w:rsidRPr="00FC5BE9">
        <w:rPr>
          <w:rFonts w:ascii="Arial" w:eastAsia="Calibri" w:hAnsi="Arial" w:cs="Arial"/>
          <w:sz w:val="24"/>
          <w:szCs w:val="24"/>
        </w:rPr>
        <w:t xml:space="preserve"> por consecuencia, </w:t>
      </w:r>
      <w:r w:rsidRPr="00FC5BE9">
        <w:rPr>
          <w:rFonts w:ascii="Arial" w:eastAsia="Times New Roman" w:hAnsi="Arial" w:cs="Arial"/>
          <w:sz w:val="24"/>
          <w:szCs w:val="24"/>
          <w:lang w:eastAsia="es-ES"/>
        </w:rPr>
        <w:t xml:space="preserve">la </w:t>
      </w:r>
      <w:r w:rsidRPr="00FC5BE9">
        <w:rPr>
          <w:rFonts w:ascii="Arial" w:eastAsia="Times New Roman" w:hAnsi="Arial" w:cs="Arial"/>
          <w:b/>
          <w:sz w:val="24"/>
          <w:szCs w:val="24"/>
          <w:lang w:eastAsia="es-ES"/>
        </w:rPr>
        <w:t xml:space="preserve">NULIDAD  LISA Y LLANA </w:t>
      </w:r>
      <w:r w:rsidRPr="00FC5BE9">
        <w:rPr>
          <w:rFonts w:ascii="Arial" w:eastAsia="Calibri" w:hAnsi="Arial" w:cs="Arial"/>
          <w:sz w:val="24"/>
          <w:szCs w:val="24"/>
        </w:rPr>
        <w:t>del mism</w:t>
      </w:r>
      <w:r w:rsidR="00946DC6">
        <w:rPr>
          <w:rFonts w:ascii="Arial" w:eastAsia="Calibri" w:hAnsi="Arial" w:cs="Arial"/>
          <w:sz w:val="24"/>
          <w:szCs w:val="24"/>
        </w:rPr>
        <w:t>o</w:t>
      </w:r>
      <w:r w:rsidRPr="00FC5BE9">
        <w:rPr>
          <w:rFonts w:ascii="Arial" w:eastAsia="Calibri" w:hAnsi="Arial" w:cs="Arial"/>
          <w:sz w:val="24"/>
          <w:szCs w:val="24"/>
        </w:rPr>
        <w:t xml:space="preserve">, de acuerdo a los razonamientos y para los efectos precisados en el Considerando Sexto de esta sentencia. </w:t>
      </w:r>
    </w:p>
    <w:p w:rsidR="00FC5BE9" w:rsidRPr="00FC5BE9" w:rsidRDefault="00FC5BE9" w:rsidP="00FC5BE9">
      <w:pPr>
        <w:spacing w:after="0" w:line="360" w:lineRule="auto"/>
        <w:ind w:firstLine="709"/>
        <w:jc w:val="both"/>
        <w:rPr>
          <w:rFonts w:ascii="Arial Narrow" w:eastAsia="Arial Unicode MS" w:hAnsi="Arial Narrow" w:cs="Arial Unicode MS"/>
          <w:sz w:val="28"/>
          <w:szCs w:val="28"/>
        </w:rPr>
      </w:pPr>
    </w:p>
    <w:p w:rsidR="00FC5BE9" w:rsidRPr="00FC5BE9" w:rsidRDefault="00FC5BE9" w:rsidP="00FC5BE9">
      <w:pPr>
        <w:spacing w:after="0" w:line="360" w:lineRule="auto"/>
        <w:ind w:firstLine="708"/>
        <w:jc w:val="both"/>
        <w:rPr>
          <w:rFonts w:ascii="Arial" w:eastAsia="Arial Unicode MS" w:hAnsi="Arial" w:cs="Arial"/>
          <w:sz w:val="24"/>
          <w:szCs w:val="24"/>
        </w:rPr>
      </w:pPr>
      <w:r w:rsidRPr="00FC5BE9">
        <w:rPr>
          <w:rFonts w:ascii="Arial" w:eastAsia="Calibri" w:hAnsi="Arial" w:cs="Arial"/>
          <w:sz w:val="24"/>
          <w:szCs w:val="24"/>
        </w:rPr>
        <w:t xml:space="preserve">Resultando innecesario el estudio de los restantes argumentos contenidos en el único concepto de impugnación, en acatamiento a la </w:t>
      </w:r>
      <w:r w:rsidRPr="00FC5BE9">
        <w:rPr>
          <w:rFonts w:ascii="Arial" w:eastAsia="Arial Unicode MS" w:hAnsi="Arial" w:cs="Arial"/>
          <w:sz w:val="24"/>
          <w:szCs w:val="24"/>
        </w:rPr>
        <w:t xml:space="preserve">Tesis de Jurisprudencia, Época: Novena Época, Registro: 172578, Instancia: Tribunales Colegiados de Circuito, Tipo de Tesis: Jurisprudencia, Fuente: Semanario Judicial de la Federación y su Gaceta, Tomo XXV, Mayo de 2007, Materia(s): Común, Tesis: IV.2o.C. J/9, Página: 1743, que dice:  </w:t>
      </w:r>
    </w:p>
    <w:p w:rsidR="00FC5BE9" w:rsidRPr="00FC5BE9" w:rsidRDefault="00FC5BE9" w:rsidP="00FC5BE9">
      <w:pPr>
        <w:autoSpaceDE w:val="0"/>
        <w:autoSpaceDN w:val="0"/>
        <w:adjustRightInd w:val="0"/>
        <w:spacing w:after="0" w:line="240" w:lineRule="auto"/>
        <w:ind w:left="709"/>
        <w:jc w:val="both"/>
        <w:rPr>
          <w:rFonts w:ascii="Arial" w:eastAsia="Times New Roman" w:hAnsi="Arial" w:cs="Arial"/>
          <w:i/>
          <w:iCs/>
          <w:color w:val="000000"/>
          <w:sz w:val="24"/>
          <w:szCs w:val="24"/>
          <w:lang w:val="es-ES" w:eastAsia="es-MX"/>
        </w:rPr>
      </w:pPr>
    </w:p>
    <w:p w:rsidR="00FC5BE9" w:rsidRPr="00FC5BE9" w:rsidRDefault="00FC5BE9" w:rsidP="00FC5BE9">
      <w:pPr>
        <w:autoSpaceDE w:val="0"/>
        <w:autoSpaceDN w:val="0"/>
        <w:adjustRightInd w:val="0"/>
        <w:spacing w:after="0"/>
        <w:ind w:left="709"/>
        <w:jc w:val="both"/>
        <w:rPr>
          <w:rFonts w:ascii="Arial" w:eastAsia="Arial Unicode MS" w:hAnsi="Arial" w:cs="Arial"/>
          <w:i/>
          <w:sz w:val="20"/>
          <w:szCs w:val="20"/>
        </w:rPr>
      </w:pPr>
      <w:r w:rsidRPr="00FC5BE9">
        <w:rPr>
          <w:rFonts w:ascii="Arial" w:eastAsia="Arial Unicode MS" w:hAnsi="Arial" w:cs="Arial"/>
          <w:b/>
          <w:i/>
          <w:sz w:val="20"/>
          <w:szCs w:val="20"/>
        </w:rPr>
        <w:t>“CONCEPTOS DE VIOLACIÓN. ES INNECESARIO SU ESTUDIO, CUANDO LA DECLARACIÓN DE FIRMEZA DE UNA CONSIDERACIÓN AUTÓNOMA DE LA SENTENCIA RECLAMADA ES SUFICIENTE PARA REGIR SU SENTIDO</w:t>
      </w:r>
      <w:r w:rsidRPr="00FC5BE9">
        <w:rPr>
          <w:rFonts w:ascii="Arial" w:eastAsia="Arial Unicode MS" w:hAnsi="Arial" w:cs="Arial"/>
          <w:i/>
          <w:sz w:val="20"/>
          <w:szCs w:val="20"/>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w:t>
      </w:r>
    </w:p>
    <w:p w:rsidR="00FC5BE9" w:rsidRPr="00FC5BE9" w:rsidRDefault="00FC5BE9" w:rsidP="00FC5BE9">
      <w:pPr>
        <w:spacing w:after="0" w:line="360" w:lineRule="auto"/>
        <w:ind w:firstLine="709"/>
        <w:jc w:val="both"/>
        <w:rPr>
          <w:rFonts w:ascii="Arial" w:eastAsia="Times New Roman" w:hAnsi="Arial" w:cs="Arial"/>
          <w:sz w:val="24"/>
          <w:szCs w:val="24"/>
          <w:lang w:eastAsia="es-ES"/>
        </w:rPr>
      </w:pPr>
    </w:p>
    <w:p w:rsidR="00FC5BE9" w:rsidRPr="00FC5BE9" w:rsidRDefault="00FC5BE9" w:rsidP="00946DC6">
      <w:pPr>
        <w:autoSpaceDE w:val="0"/>
        <w:autoSpaceDN w:val="0"/>
        <w:adjustRightInd w:val="0"/>
        <w:spacing w:after="0" w:line="360" w:lineRule="auto"/>
        <w:ind w:firstLine="708"/>
        <w:jc w:val="both"/>
        <w:rPr>
          <w:rFonts w:ascii="Arial" w:eastAsia="Calibri" w:hAnsi="Arial" w:cs="Arial"/>
          <w:sz w:val="24"/>
          <w:szCs w:val="24"/>
        </w:rPr>
      </w:pPr>
      <w:r w:rsidRPr="00FC5BE9">
        <w:rPr>
          <w:rFonts w:ascii="Arial" w:eastAsia="Times New Roman" w:hAnsi="Arial" w:cs="Arial"/>
          <w:sz w:val="24"/>
          <w:szCs w:val="24"/>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FC5BE9">
        <w:rPr>
          <w:rFonts w:ascii="Arial" w:eastAsia="Times New Roman" w:hAnsi="Arial" w:cs="Arial"/>
          <w:b/>
          <w:sz w:val="24"/>
          <w:szCs w:val="24"/>
          <w:u w:val="single"/>
          <w:lang w:eastAsia="es-ES"/>
        </w:rPr>
        <w:t>se ordena a la autoridad demandada</w:t>
      </w:r>
      <w:r w:rsidRPr="00946DC6">
        <w:rPr>
          <w:rFonts w:ascii="Arial" w:eastAsia="Times New Roman" w:hAnsi="Arial" w:cs="Arial"/>
          <w:b/>
          <w:sz w:val="24"/>
          <w:szCs w:val="24"/>
          <w:lang w:eastAsia="es-ES"/>
        </w:rPr>
        <w:t>,</w:t>
      </w:r>
      <w:r w:rsidRPr="00946DC6">
        <w:rPr>
          <w:rFonts w:ascii="Arial" w:eastAsia="Arial Unicode MS" w:hAnsi="Arial" w:cs="Arial"/>
          <w:b/>
          <w:sz w:val="24"/>
          <w:szCs w:val="24"/>
        </w:rPr>
        <w:t xml:space="preserve"> </w:t>
      </w:r>
      <w:r w:rsidRPr="00946DC6">
        <w:rPr>
          <w:rFonts w:ascii="Arial" w:eastAsia="Times New Roman" w:hAnsi="Arial" w:cs="Arial"/>
          <w:b/>
          <w:sz w:val="24"/>
          <w:szCs w:val="24"/>
          <w:lang w:eastAsia="es-ES"/>
        </w:rPr>
        <w:t>e</w:t>
      </w:r>
      <w:r w:rsidRPr="00FC5BE9">
        <w:rPr>
          <w:rFonts w:ascii="Arial" w:eastAsia="Times New Roman" w:hAnsi="Arial" w:cs="Arial"/>
          <w:b/>
          <w:sz w:val="24"/>
          <w:szCs w:val="24"/>
          <w:lang w:eastAsia="es-ES"/>
        </w:rPr>
        <w:t xml:space="preserve">mita </w:t>
      </w:r>
      <w:r w:rsidRPr="00946DC6">
        <w:rPr>
          <w:rFonts w:ascii="Arial" w:eastAsia="Calibri" w:hAnsi="Arial" w:cs="Arial"/>
          <w:b/>
          <w:sz w:val="24"/>
          <w:szCs w:val="24"/>
        </w:rPr>
        <w:t xml:space="preserve">una </w:t>
      </w:r>
      <w:r w:rsidR="00946DC6">
        <w:rPr>
          <w:rFonts w:ascii="Arial" w:eastAsia="Calibri" w:hAnsi="Arial" w:cs="Arial"/>
          <w:b/>
          <w:sz w:val="24"/>
          <w:szCs w:val="24"/>
        </w:rPr>
        <w:t>nueva resolución</w:t>
      </w:r>
      <w:r w:rsidR="00946DC6">
        <w:rPr>
          <w:rFonts w:ascii="Arial" w:eastAsia="Times New Roman" w:hAnsi="Arial" w:cs="Arial"/>
          <w:sz w:val="24"/>
          <w:szCs w:val="24"/>
          <w:lang w:val="es-ES" w:eastAsia="es-ES"/>
        </w:rPr>
        <w:t>, mediante la cual remita la solicitud de la actora, junto con las probanzas que acompaña la misma, a la Dirección de Catastro del H. Ayuntamiento de San Luis Potosí y sea esta quien analice y valore lo conducente, atendiendo la petición formulada por las aquí actoras</w:t>
      </w:r>
      <w:r w:rsidR="00946DC6" w:rsidRPr="00FC5BE9">
        <w:rPr>
          <w:rFonts w:ascii="Arial" w:eastAsia="Times New Roman" w:hAnsi="Arial" w:cs="Arial"/>
          <w:sz w:val="24"/>
          <w:szCs w:val="24"/>
          <w:lang w:val="es-ES" w:eastAsia="es-ES"/>
        </w:rPr>
        <w:t xml:space="preserve">, valorando íntegramente </w:t>
      </w:r>
      <w:r w:rsidR="00946DC6" w:rsidRPr="00FC5BE9">
        <w:rPr>
          <w:rFonts w:ascii="Arial" w:eastAsia="Times New Roman" w:hAnsi="Arial" w:cs="Arial"/>
          <w:b/>
          <w:sz w:val="24"/>
          <w:szCs w:val="24"/>
          <w:u w:val="single"/>
          <w:lang w:val="es-ES" w:eastAsia="es-ES"/>
        </w:rPr>
        <w:t>cada una de las probanzas que fueron ofrecidas por la</w:t>
      </w:r>
      <w:r w:rsidR="00946DC6">
        <w:rPr>
          <w:rFonts w:ascii="Arial" w:eastAsia="Times New Roman" w:hAnsi="Arial" w:cs="Arial"/>
          <w:b/>
          <w:sz w:val="24"/>
          <w:szCs w:val="24"/>
          <w:u w:val="single"/>
          <w:lang w:val="es-ES" w:eastAsia="es-ES"/>
        </w:rPr>
        <w:t>s</w:t>
      </w:r>
      <w:r w:rsidR="00946DC6" w:rsidRPr="00FC5BE9">
        <w:rPr>
          <w:rFonts w:ascii="Arial" w:eastAsia="Times New Roman" w:hAnsi="Arial" w:cs="Arial"/>
          <w:b/>
          <w:sz w:val="24"/>
          <w:szCs w:val="24"/>
          <w:u w:val="single"/>
          <w:lang w:val="es-ES" w:eastAsia="es-ES"/>
        </w:rPr>
        <w:t xml:space="preserve"> </w:t>
      </w:r>
      <w:r w:rsidR="00946DC6" w:rsidRPr="00FC5BE9">
        <w:rPr>
          <w:rFonts w:ascii="Arial" w:eastAsia="Times New Roman" w:hAnsi="Arial" w:cs="Arial"/>
          <w:b/>
          <w:sz w:val="24"/>
          <w:szCs w:val="24"/>
          <w:u w:val="single"/>
          <w:lang w:val="es-ES" w:eastAsia="es-ES"/>
        </w:rPr>
        <w:lastRenderedPageBreak/>
        <w:t>accionante</w:t>
      </w:r>
      <w:r w:rsidR="00946DC6">
        <w:rPr>
          <w:rFonts w:ascii="Arial" w:eastAsia="Times New Roman" w:hAnsi="Arial" w:cs="Arial"/>
          <w:b/>
          <w:sz w:val="24"/>
          <w:szCs w:val="24"/>
          <w:u w:val="single"/>
          <w:lang w:val="es-ES" w:eastAsia="es-ES"/>
        </w:rPr>
        <w:t>s</w:t>
      </w:r>
      <w:r w:rsidR="00946DC6" w:rsidRPr="00FC5BE9">
        <w:rPr>
          <w:rFonts w:ascii="Arial" w:eastAsia="Times New Roman" w:hAnsi="Arial" w:cs="Arial"/>
          <w:b/>
          <w:sz w:val="24"/>
          <w:szCs w:val="24"/>
          <w:u w:val="single"/>
          <w:lang w:val="es-ES" w:eastAsia="es-ES"/>
        </w:rPr>
        <w:t xml:space="preserve"> en concordancia con l</w:t>
      </w:r>
      <w:r w:rsidR="00946DC6">
        <w:rPr>
          <w:rFonts w:ascii="Arial" w:eastAsia="Times New Roman" w:hAnsi="Arial" w:cs="Arial"/>
          <w:b/>
          <w:sz w:val="24"/>
          <w:szCs w:val="24"/>
          <w:u w:val="single"/>
          <w:lang w:val="es-ES" w:eastAsia="es-ES"/>
        </w:rPr>
        <w:t>o peticionado</w:t>
      </w:r>
      <w:r w:rsidR="00946DC6" w:rsidRPr="00FC5BE9">
        <w:rPr>
          <w:rFonts w:ascii="Arial" w:eastAsia="Times New Roman" w:hAnsi="Arial" w:cs="Arial"/>
          <w:sz w:val="24"/>
          <w:szCs w:val="24"/>
          <w:lang w:val="es-ES" w:eastAsia="es-ES"/>
        </w:rPr>
        <w:t xml:space="preserve">, atendiendo a los lineamientos vertidos en esta sentencia de referencia, </w:t>
      </w:r>
      <w:r w:rsidR="00946DC6" w:rsidRPr="00FC5BE9">
        <w:rPr>
          <w:rFonts w:ascii="Arial" w:eastAsia="Times New Roman" w:hAnsi="Arial" w:cs="Arial"/>
          <w:sz w:val="24"/>
          <w:szCs w:val="24"/>
          <w:lang w:eastAsia="es-ES"/>
        </w:rPr>
        <w:t xml:space="preserve">en la que </w:t>
      </w:r>
      <w:r w:rsidR="00946DC6" w:rsidRPr="00FC5BE9">
        <w:rPr>
          <w:rFonts w:ascii="Arial" w:eastAsia="Times New Roman" w:hAnsi="Arial" w:cs="Arial"/>
          <w:sz w:val="24"/>
          <w:szCs w:val="24"/>
          <w:lang w:val="es-ES" w:eastAsia="es-ES"/>
        </w:rPr>
        <w:t>cumpla con los requisitos de la fundamentación y motivación, acorde a los principios de diversos principios de exhaustividad y congruencia,</w:t>
      </w:r>
      <w:r w:rsidR="00946DC6" w:rsidRPr="00FC5BE9">
        <w:rPr>
          <w:rFonts w:ascii="Arial" w:eastAsia="Calibri" w:hAnsi="Arial" w:cs="Arial"/>
          <w:sz w:val="24"/>
          <w:szCs w:val="24"/>
        </w:rPr>
        <w:t xml:space="preserve"> para el efecto de </w:t>
      </w:r>
      <w:r w:rsidR="00946DC6" w:rsidRPr="00FC5BE9">
        <w:rPr>
          <w:rFonts w:ascii="Arial" w:eastAsia="Calibri" w:hAnsi="Arial" w:cs="Arial"/>
          <w:b/>
          <w:color w:val="000000"/>
          <w:sz w:val="24"/>
          <w:szCs w:val="24"/>
          <w:lang w:val="es-ES" w:eastAsia="es-ES"/>
        </w:rPr>
        <w:t>observar las garantías</w:t>
      </w:r>
      <w:r w:rsidR="00946DC6" w:rsidRPr="00FC5BE9">
        <w:rPr>
          <w:rFonts w:ascii="Arial" w:eastAsia="Calibri" w:hAnsi="Arial" w:cs="Arial"/>
          <w:b/>
          <w:bCs/>
          <w:iCs/>
          <w:color w:val="000000"/>
          <w:sz w:val="24"/>
          <w:szCs w:val="24"/>
          <w:lang w:val="es-ES"/>
        </w:rPr>
        <w:t xml:space="preserve"> de audiencia, legalidad, seguridad jurídica y debido proceso, </w:t>
      </w:r>
      <w:r w:rsidR="00946DC6" w:rsidRPr="00FC5BE9">
        <w:rPr>
          <w:rFonts w:ascii="Arial" w:eastAsia="Arial Unicode MS" w:hAnsi="Arial" w:cs="Arial"/>
          <w:color w:val="000000"/>
          <w:sz w:val="24"/>
          <w:szCs w:val="24"/>
          <w:lang w:val="es" w:eastAsia="es-MX"/>
        </w:rPr>
        <w:t>previstos en los artículos 14, 16 y 17 de nuestra Carta</w:t>
      </w:r>
      <w:r w:rsidR="00946DC6">
        <w:rPr>
          <w:rFonts w:ascii="Arial" w:eastAsia="Arial Unicode MS" w:hAnsi="Arial" w:cs="Arial"/>
          <w:color w:val="000000"/>
          <w:sz w:val="24"/>
          <w:szCs w:val="24"/>
          <w:lang w:val="es" w:eastAsia="es-MX"/>
        </w:rPr>
        <w:t xml:space="preserve"> Magna</w:t>
      </w:r>
      <w:r w:rsidRPr="00FC5BE9">
        <w:rPr>
          <w:rFonts w:ascii="Arial" w:eastAsia="Times New Roman" w:hAnsi="Arial" w:cs="Arial"/>
          <w:sz w:val="24"/>
          <w:szCs w:val="24"/>
          <w:lang w:val="es-ES" w:eastAsia="es-ES"/>
        </w:rPr>
        <w:t xml:space="preserve">; </w:t>
      </w:r>
      <w:r w:rsidRPr="00FC5BE9">
        <w:rPr>
          <w:rFonts w:ascii="Arial" w:eastAsia="Times New Roman" w:hAnsi="Arial" w:cs="Arial"/>
          <w:b/>
          <w:sz w:val="24"/>
          <w:szCs w:val="24"/>
          <w:u w:val="single"/>
          <w:lang w:eastAsia="es-ES"/>
        </w:rPr>
        <w:t>debiendo informar</w:t>
      </w:r>
      <w:r w:rsidRPr="00FC5BE9">
        <w:rPr>
          <w:rFonts w:ascii="Arial" w:eastAsia="Times New Roman" w:hAnsi="Arial" w:cs="Arial"/>
          <w:b/>
          <w:sz w:val="24"/>
          <w:szCs w:val="24"/>
          <w:lang w:eastAsia="es-ES"/>
        </w:rPr>
        <w:t xml:space="preserve"> a este Tribunal sobre dicho cumplimiento</w:t>
      </w:r>
      <w:r w:rsidRPr="00FC5BE9">
        <w:rPr>
          <w:rFonts w:ascii="Arial" w:eastAsia="Times New Roman" w:hAnsi="Arial" w:cs="Arial"/>
          <w:sz w:val="24"/>
          <w:szCs w:val="24"/>
          <w:lang w:eastAsia="es-ES"/>
        </w:rPr>
        <w:t xml:space="preserve"> y, acompañar para acreditarlo copia certificada de las constancias correspondientes, inclusive de los oficios emitidos para ese efecto.</w:t>
      </w:r>
    </w:p>
    <w:p w:rsidR="00FC5BE9" w:rsidRPr="00FC5BE9" w:rsidRDefault="00FC5BE9" w:rsidP="00FC5BE9">
      <w:pPr>
        <w:spacing w:after="0" w:line="360" w:lineRule="auto"/>
        <w:ind w:firstLine="708"/>
        <w:jc w:val="both"/>
        <w:rPr>
          <w:rFonts w:ascii="Arial" w:eastAsia="Times New Roman" w:hAnsi="Arial" w:cs="Arial"/>
          <w:sz w:val="24"/>
          <w:szCs w:val="24"/>
          <w:lang w:eastAsia="es-ES"/>
        </w:rPr>
      </w:pPr>
    </w:p>
    <w:p w:rsidR="00FC5BE9" w:rsidRPr="00FC5BE9" w:rsidRDefault="00FC5BE9" w:rsidP="00FC5BE9">
      <w:pPr>
        <w:spacing w:after="0" w:line="360" w:lineRule="auto"/>
        <w:ind w:firstLine="709"/>
        <w:jc w:val="both"/>
        <w:rPr>
          <w:rFonts w:ascii="Arial" w:eastAsia="Times New Roman" w:hAnsi="Arial" w:cs="Arial"/>
          <w:sz w:val="24"/>
          <w:szCs w:val="24"/>
          <w:lang w:eastAsia="es-ES"/>
        </w:rPr>
      </w:pPr>
      <w:r w:rsidRPr="00FC5BE9">
        <w:rPr>
          <w:rFonts w:ascii="Arial" w:eastAsia="Times New Roman" w:hAnsi="Arial" w:cs="Arial"/>
          <w:sz w:val="24"/>
          <w:szCs w:val="24"/>
          <w:lang w:eastAsia="es-ES"/>
        </w:rPr>
        <w:t xml:space="preserve">Con base en los numerales 255 y 256 del Código Procesal Administrativo para el Estado de San Luis Potosí, </w:t>
      </w:r>
      <w:r w:rsidRPr="00FC5BE9">
        <w:rPr>
          <w:rFonts w:ascii="Arial" w:eastAsia="Times New Roman" w:hAnsi="Arial" w:cs="Arial"/>
          <w:b/>
          <w:sz w:val="24"/>
          <w:szCs w:val="24"/>
          <w:u w:val="single"/>
          <w:lang w:eastAsia="es-ES"/>
        </w:rPr>
        <w:t>dígase</w:t>
      </w:r>
      <w:r w:rsidRPr="00FC5BE9">
        <w:rPr>
          <w:rFonts w:ascii="Arial" w:eastAsia="Times New Roman" w:hAnsi="Arial" w:cs="Arial"/>
          <w:b/>
          <w:sz w:val="24"/>
          <w:szCs w:val="24"/>
          <w:lang w:eastAsia="es-ES"/>
        </w:rPr>
        <w:t xml:space="preserve"> a la autoridad demandada </w:t>
      </w:r>
      <w:r w:rsidRPr="00FC5BE9">
        <w:rPr>
          <w:rFonts w:ascii="Arial" w:eastAsia="Arial Unicode MS" w:hAnsi="Arial" w:cs="Arial"/>
          <w:b/>
          <w:sz w:val="24"/>
          <w:szCs w:val="24"/>
        </w:rPr>
        <w:t xml:space="preserve">o bien a la autoridad que deba cumplirla, que a partir de que cause ejecutoria esta sentencia, correrán los plazos para su cumplimiento; </w:t>
      </w:r>
      <w:r w:rsidRPr="00FC5BE9">
        <w:rPr>
          <w:rFonts w:ascii="Arial" w:eastAsia="Arial Unicode MS" w:hAnsi="Arial" w:cs="Arial"/>
          <w:sz w:val="24"/>
          <w:szCs w:val="24"/>
        </w:rPr>
        <w:t>por lo que, una vez que cause ejecutoria, esta Tercera Sala Unitaria la prevendrá por el cumplimiento de la misma, o en su caso, la requerirá por su ejecución, con los apercibimientos legales</w:t>
      </w:r>
      <w:r w:rsidRPr="00FC5BE9">
        <w:rPr>
          <w:rFonts w:ascii="Arial" w:eastAsia="Times New Roman" w:hAnsi="Arial" w:cs="Arial"/>
          <w:sz w:val="24"/>
          <w:szCs w:val="24"/>
          <w:lang w:eastAsia="es-ES"/>
        </w:rPr>
        <w:t xml:space="preserve"> que procedan.</w:t>
      </w:r>
    </w:p>
    <w:p w:rsidR="00FC5BE9" w:rsidRPr="00FC5BE9" w:rsidRDefault="00FC5BE9" w:rsidP="00FC5BE9">
      <w:pPr>
        <w:spacing w:after="0" w:line="360" w:lineRule="auto"/>
        <w:ind w:firstLine="708"/>
        <w:jc w:val="both"/>
        <w:rPr>
          <w:rFonts w:ascii="Arial" w:eastAsia="Calibri" w:hAnsi="Arial" w:cs="Arial"/>
          <w:sz w:val="24"/>
          <w:szCs w:val="24"/>
        </w:rPr>
      </w:pPr>
    </w:p>
    <w:p w:rsidR="00FC5BE9" w:rsidRPr="00FC5BE9" w:rsidRDefault="00FC5BE9" w:rsidP="00FC5BE9">
      <w:pPr>
        <w:spacing w:after="0" w:line="360" w:lineRule="auto"/>
        <w:ind w:firstLine="708"/>
        <w:jc w:val="both"/>
        <w:rPr>
          <w:rFonts w:ascii="Arial" w:eastAsia="Calibri" w:hAnsi="Arial" w:cs="Arial"/>
          <w:sz w:val="24"/>
          <w:szCs w:val="24"/>
        </w:rPr>
      </w:pPr>
      <w:r w:rsidRPr="00FC5BE9">
        <w:rPr>
          <w:rFonts w:ascii="Arial" w:eastAsia="Calibri" w:hAnsi="Arial" w:cs="Arial"/>
          <w:sz w:val="24"/>
          <w:szCs w:val="24"/>
        </w:rPr>
        <w:t xml:space="preserve">Por lo expuesto, fundado y con apoyo en </w:t>
      </w:r>
      <w:r w:rsidRPr="00FC5BE9">
        <w:rPr>
          <w:rFonts w:ascii="Arial" w:eastAsia="Times New Roman" w:hAnsi="Arial" w:cs="Arial"/>
          <w:sz w:val="24"/>
          <w:szCs w:val="24"/>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250 fracción II, 251 primer párrafo, 252, 255 y 256, del Código Procesal Administrativo para el Estado de San Luis Potosí; </w:t>
      </w:r>
      <w:r w:rsidRPr="00FC5BE9">
        <w:rPr>
          <w:rFonts w:ascii="Arial" w:eastAsia="Calibri" w:hAnsi="Arial" w:cs="Arial"/>
          <w:sz w:val="24"/>
          <w:szCs w:val="24"/>
        </w:rPr>
        <w:t>es de resolverse y se,</w:t>
      </w:r>
    </w:p>
    <w:p w:rsidR="00FC5BE9" w:rsidRPr="00FC5BE9" w:rsidRDefault="00FC5BE9" w:rsidP="00FC5BE9">
      <w:pPr>
        <w:spacing w:after="0" w:line="360" w:lineRule="auto"/>
        <w:ind w:firstLine="708"/>
        <w:jc w:val="both"/>
        <w:rPr>
          <w:rFonts w:ascii="Arial" w:eastAsia="Calibri" w:hAnsi="Arial" w:cs="Arial"/>
          <w:sz w:val="24"/>
          <w:szCs w:val="24"/>
        </w:rPr>
      </w:pPr>
    </w:p>
    <w:p w:rsidR="00FC5BE9" w:rsidRPr="00FC5BE9" w:rsidRDefault="00FC5BE9" w:rsidP="00FC5BE9">
      <w:pPr>
        <w:spacing w:after="0" w:line="360" w:lineRule="auto"/>
        <w:jc w:val="center"/>
        <w:rPr>
          <w:rFonts w:ascii="Arial" w:eastAsia="Calibri" w:hAnsi="Arial" w:cs="Arial"/>
          <w:b/>
          <w:sz w:val="24"/>
          <w:szCs w:val="24"/>
        </w:rPr>
      </w:pPr>
      <w:r w:rsidRPr="00FC5BE9">
        <w:rPr>
          <w:rFonts w:ascii="Arial" w:eastAsia="Calibri" w:hAnsi="Arial" w:cs="Arial"/>
          <w:b/>
          <w:sz w:val="24"/>
          <w:szCs w:val="24"/>
        </w:rPr>
        <w:t>R E S U E L V E</w:t>
      </w:r>
    </w:p>
    <w:p w:rsidR="00FC5BE9" w:rsidRPr="00FC5BE9" w:rsidRDefault="00FC5BE9" w:rsidP="00FC5BE9">
      <w:pPr>
        <w:spacing w:after="0" w:line="360" w:lineRule="auto"/>
        <w:jc w:val="center"/>
        <w:rPr>
          <w:rFonts w:ascii="Arial" w:eastAsia="Calibri" w:hAnsi="Arial" w:cs="Arial"/>
          <w:b/>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b/>
          <w:sz w:val="24"/>
          <w:szCs w:val="24"/>
        </w:rPr>
        <w:t>PRIMERO.-</w:t>
      </w:r>
      <w:r w:rsidRPr="00FC5BE9">
        <w:rPr>
          <w:rFonts w:ascii="Arial" w:eastAsia="Calibri" w:hAnsi="Arial" w:cs="Arial"/>
          <w:sz w:val="24"/>
          <w:szCs w:val="24"/>
        </w:rPr>
        <w:t xml:space="preserve"> Esta </w:t>
      </w:r>
      <w:r w:rsidRPr="00FC5BE9">
        <w:rPr>
          <w:rFonts w:ascii="Arial" w:eastAsia="Calibri" w:hAnsi="Arial" w:cs="Arial"/>
          <w:b/>
          <w:sz w:val="24"/>
          <w:szCs w:val="24"/>
        </w:rPr>
        <w:t>Tercera Sala Unitaria del Tribunal Estatal de Justicia Administrativa,</w:t>
      </w:r>
      <w:r w:rsidRPr="00FC5BE9">
        <w:rPr>
          <w:rFonts w:ascii="Arial" w:eastAsia="Calibri" w:hAnsi="Arial" w:cs="Arial"/>
          <w:sz w:val="24"/>
          <w:szCs w:val="24"/>
        </w:rPr>
        <w:t xml:space="preserve"> resultó competente para conocer y resolver la presente controversia.</w:t>
      </w:r>
    </w:p>
    <w:p w:rsidR="00FC5BE9" w:rsidRPr="00FC5BE9" w:rsidRDefault="00FC5BE9" w:rsidP="00FC5BE9">
      <w:pPr>
        <w:spacing w:after="0" w:line="360" w:lineRule="auto"/>
        <w:ind w:firstLine="709"/>
        <w:jc w:val="both"/>
        <w:rPr>
          <w:rFonts w:ascii="Arial" w:eastAsia="Calibri" w:hAnsi="Arial" w:cs="Arial"/>
          <w:b/>
          <w:sz w:val="24"/>
          <w:szCs w:val="24"/>
        </w:rPr>
      </w:pP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Calibri" w:hAnsi="Arial" w:cs="Arial"/>
          <w:b/>
          <w:sz w:val="24"/>
          <w:szCs w:val="24"/>
        </w:rPr>
        <w:t>SEGUNDO.-</w:t>
      </w:r>
      <w:r w:rsidRPr="00FC5BE9">
        <w:rPr>
          <w:rFonts w:ascii="Arial" w:eastAsia="Calibri" w:hAnsi="Arial" w:cs="Arial"/>
          <w:sz w:val="24"/>
          <w:szCs w:val="24"/>
        </w:rPr>
        <w:t xml:space="preserve"> Se declara la </w:t>
      </w:r>
      <w:r w:rsidRPr="00FC5BE9">
        <w:rPr>
          <w:rFonts w:ascii="Arial" w:eastAsia="Calibri" w:hAnsi="Arial" w:cs="Arial"/>
          <w:b/>
          <w:sz w:val="24"/>
          <w:szCs w:val="24"/>
        </w:rPr>
        <w:t>ILEGALIDAD E INVALIDEZ</w:t>
      </w:r>
      <w:r w:rsidRPr="00FC5BE9">
        <w:rPr>
          <w:rFonts w:ascii="Arial" w:eastAsia="Calibri" w:hAnsi="Arial" w:cs="Arial"/>
          <w:sz w:val="24"/>
          <w:szCs w:val="24"/>
        </w:rPr>
        <w:t xml:space="preserve"> de los actos impugnados y, por consecuencia, la </w:t>
      </w:r>
      <w:r w:rsidRPr="00FC5BE9">
        <w:rPr>
          <w:rFonts w:ascii="Arial" w:eastAsia="Calibri" w:hAnsi="Arial" w:cs="Arial"/>
          <w:b/>
          <w:sz w:val="24"/>
          <w:szCs w:val="24"/>
        </w:rPr>
        <w:t xml:space="preserve">NULIDAD LISA Y LLANA </w:t>
      </w:r>
      <w:r w:rsidRPr="00FC5BE9">
        <w:rPr>
          <w:rFonts w:ascii="Arial" w:eastAsia="Calibri" w:hAnsi="Arial" w:cs="Arial"/>
          <w:sz w:val="24"/>
          <w:szCs w:val="24"/>
        </w:rPr>
        <w:t xml:space="preserve">de los mismos, de acuerdo a los razonamientos y para los efectos precisados en el Considerando Sexto  de la presente sentencia. </w:t>
      </w:r>
    </w:p>
    <w:p w:rsidR="00FC5BE9" w:rsidRPr="00FC5BE9" w:rsidRDefault="00FC5BE9" w:rsidP="00FC5BE9">
      <w:pPr>
        <w:spacing w:after="0" w:line="360" w:lineRule="auto"/>
        <w:ind w:firstLine="709"/>
        <w:jc w:val="both"/>
        <w:rPr>
          <w:rFonts w:ascii="Arial" w:eastAsia="Calibri" w:hAnsi="Arial" w:cs="Arial"/>
          <w:sz w:val="24"/>
          <w:szCs w:val="24"/>
        </w:rPr>
      </w:pPr>
      <w:r w:rsidRPr="00FC5BE9">
        <w:rPr>
          <w:rFonts w:ascii="Arial" w:eastAsia="Times New Roman" w:hAnsi="Arial" w:cs="Arial"/>
          <w:b/>
          <w:sz w:val="24"/>
          <w:szCs w:val="24"/>
          <w:lang w:eastAsia="es-MX"/>
        </w:rPr>
        <w:t>TERCERO.-</w:t>
      </w:r>
      <w:r w:rsidRPr="00FC5BE9">
        <w:rPr>
          <w:rFonts w:ascii="Arial" w:eastAsia="Times New Roman" w:hAnsi="Arial" w:cs="Arial"/>
          <w:sz w:val="24"/>
          <w:szCs w:val="24"/>
          <w:lang w:eastAsia="es-MX"/>
        </w:rPr>
        <w:t xml:space="preserve"> </w:t>
      </w:r>
      <w:r w:rsidRPr="00FC5BE9">
        <w:rPr>
          <w:rFonts w:ascii="Arial" w:eastAsia="Calibri" w:hAnsi="Arial" w:cs="Arial"/>
          <w:sz w:val="24"/>
          <w:szCs w:val="24"/>
        </w:rPr>
        <w:t>Con copia autorizada de esta resolución, notifíquese personalmente a la parte actora y por oficio a la autoridad demandada.</w:t>
      </w:r>
    </w:p>
    <w:p w:rsidR="00FC5BE9" w:rsidRPr="00FC5BE9" w:rsidRDefault="00FC5BE9" w:rsidP="00FC5BE9">
      <w:pPr>
        <w:spacing w:after="0" w:line="360" w:lineRule="auto"/>
        <w:ind w:firstLine="709"/>
        <w:jc w:val="both"/>
        <w:rPr>
          <w:rFonts w:ascii="Arial" w:eastAsia="Arial Unicode MS" w:hAnsi="Arial" w:cs="Arial"/>
          <w:i/>
        </w:rPr>
      </w:pPr>
      <w:r w:rsidRPr="00FC5BE9">
        <w:rPr>
          <w:rFonts w:ascii="Arial" w:eastAsia="Arial Unicode MS" w:hAnsi="Arial" w:cs="Arial"/>
          <w:i/>
        </w:rPr>
        <w:t xml:space="preserve"> </w:t>
      </w:r>
    </w:p>
    <w:p w:rsidR="00D21704" w:rsidRPr="00D21704" w:rsidRDefault="00FC5BE9" w:rsidP="00C17D0F">
      <w:pPr>
        <w:spacing w:after="0" w:line="360" w:lineRule="auto"/>
        <w:ind w:firstLine="709"/>
        <w:jc w:val="both"/>
        <w:rPr>
          <w:rFonts w:ascii="CG Omega" w:eastAsia="Times New Roman" w:hAnsi="CG Omega" w:cs="Times New Roman"/>
          <w:b/>
          <w:szCs w:val="20"/>
          <w:lang w:eastAsia="es-ES"/>
        </w:rPr>
      </w:pPr>
      <w:r w:rsidRPr="00FC5BE9">
        <w:rPr>
          <w:rFonts w:ascii="Arial" w:eastAsia="Calibri" w:hAnsi="Arial" w:cs="Arial"/>
          <w:sz w:val="24"/>
          <w:szCs w:val="24"/>
        </w:rPr>
        <w:lastRenderedPageBreak/>
        <w:t xml:space="preserve">Así lo resolvió y firma, el Magistrado Titular de la Tercera Sala Unitaria del Tribunal Estatal de Justicia Administrativa de San Luis Potosí, </w:t>
      </w:r>
      <w:r w:rsidRPr="00FC5BE9">
        <w:rPr>
          <w:rFonts w:ascii="Arial" w:eastAsia="Calibri" w:hAnsi="Arial" w:cs="Arial"/>
          <w:b/>
          <w:sz w:val="24"/>
          <w:szCs w:val="24"/>
        </w:rPr>
        <w:t>Licenciado Jorge Alejandro Vera Noyola,</w:t>
      </w:r>
      <w:r w:rsidRPr="00FC5BE9">
        <w:rPr>
          <w:rFonts w:ascii="Arial" w:eastAsia="Calibri" w:hAnsi="Arial" w:cs="Arial"/>
          <w:sz w:val="24"/>
          <w:szCs w:val="24"/>
        </w:rPr>
        <w:t xml:space="preserve"> quien actúa con Secretario de Acuerdos, </w:t>
      </w:r>
      <w:r w:rsidRPr="00FC5BE9">
        <w:rPr>
          <w:rFonts w:ascii="Arial" w:eastAsia="Calibri" w:hAnsi="Arial" w:cs="Arial"/>
          <w:b/>
          <w:sz w:val="24"/>
          <w:szCs w:val="24"/>
        </w:rPr>
        <w:t>Licenciado Ismael Méndez Hernández,</w:t>
      </w:r>
      <w:r w:rsidRPr="00FC5BE9">
        <w:rPr>
          <w:rFonts w:ascii="Arial" w:eastAsia="Calibri" w:hAnsi="Arial" w:cs="Arial"/>
          <w:sz w:val="24"/>
          <w:szCs w:val="24"/>
        </w:rPr>
        <w:t xml:space="preserve"> que autoriza y da fe.- </w:t>
      </w:r>
    </w:p>
    <w:p w:rsidR="006E2263" w:rsidRDefault="006E2263" w:rsidP="006E2263">
      <w:pPr>
        <w:spacing w:after="0" w:line="240" w:lineRule="auto"/>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D21704" w:rsidRPr="00660243" w:rsidRDefault="00D21704" w:rsidP="00660243">
      <w:pPr>
        <w:spacing w:after="0" w:line="360" w:lineRule="auto"/>
        <w:ind w:firstLine="709"/>
        <w:jc w:val="both"/>
        <w:rPr>
          <w:rFonts w:ascii="Arial" w:eastAsia="Times New Roman" w:hAnsi="Arial" w:cs="Arial"/>
          <w:b/>
          <w:sz w:val="24"/>
          <w:szCs w:val="24"/>
          <w:lang w:eastAsia="es-ES"/>
        </w:rPr>
      </w:pPr>
      <w:bookmarkStart w:id="0" w:name="_GoBack"/>
      <w:bookmarkEnd w:id="0"/>
    </w:p>
    <w:sectPr w:rsidR="00D21704" w:rsidRPr="00660243" w:rsidSect="005D61C2">
      <w:headerReference w:type="even" r:id="rId7"/>
      <w:headerReference w:type="default" r:id="rId8"/>
      <w:headerReference w:type="first" r:id="rId9"/>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491" w:rsidRDefault="005D3491" w:rsidP="00530A97">
      <w:pPr>
        <w:spacing w:after="0" w:line="240" w:lineRule="auto"/>
      </w:pPr>
      <w:r>
        <w:separator/>
      </w:r>
    </w:p>
  </w:endnote>
  <w:endnote w:type="continuationSeparator" w:id="0">
    <w:p w:rsidR="005D3491" w:rsidRDefault="005D3491" w:rsidP="00530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491" w:rsidRDefault="005D3491" w:rsidP="00530A97">
      <w:pPr>
        <w:spacing w:after="0" w:line="240" w:lineRule="auto"/>
      </w:pPr>
      <w:r>
        <w:separator/>
      </w:r>
    </w:p>
  </w:footnote>
  <w:footnote w:type="continuationSeparator" w:id="0">
    <w:p w:rsidR="005D3491" w:rsidRDefault="005D3491" w:rsidP="00530A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158" w:rsidRPr="007A07AF" w:rsidRDefault="002F4158" w:rsidP="00026045">
    <w:pPr>
      <w:pStyle w:val="Sinespaciado"/>
      <w:rPr>
        <w:rFonts w:ascii="Arial" w:hAnsi="Arial" w:cs="Arial"/>
      </w:rPr>
    </w:pPr>
  </w:p>
  <w:p w:rsidR="002F4158" w:rsidRPr="00EC604F" w:rsidRDefault="002F4158" w:rsidP="00026045">
    <w:pPr>
      <w:pStyle w:val="Sinespaciado"/>
      <w:rPr>
        <w:rFonts w:ascii="Arial" w:hAnsi="Arial" w:cs="Arial"/>
        <w:sz w:val="20"/>
        <w:szCs w:val="20"/>
      </w:rPr>
    </w:pPr>
    <w:r w:rsidRPr="00EC604F">
      <w:rPr>
        <w:rFonts w:ascii="Arial" w:hAnsi="Arial" w:cs="Arial"/>
        <w:sz w:val="20"/>
        <w:szCs w:val="20"/>
      </w:rPr>
      <w:t xml:space="preserve">Página </w:t>
    </w:r>
    <w:r w:rsidRPr="00EC604F">
      <w:rPr>
        <w:rStyle w:val="Nmerodepgina"/>
        <w:rFonts w:ascii="Arial" w:hAnsi="Arial" w:cs="Arial"/>
        <w:sz w:val="20"/>
        <w:szCs w:val="20"/>
      </w:rPr>
      <w:fldChar w:fldCharType="begin"/>
    </w:r>
    <w:r w:rsidRPr="00EC604F">
      <w:rPr>
        <w:rStyle w:val="Nmerodepgina"/>
        <w:rFonts w:ascii="Arial" w:hAnsi="Arial" w:cs="Arial"/>
        <w:sz w:val="20"/>
        <w:szCs w:val="20"/>
      </w:rPr>
      <w:instrText xml:space="preserve"> PAGE </w:instrText>
    </w:r>
    <w:r w:rsidRPr="00EC604F">
      <w:rPr>
        <w:rStyle w:val="Nmerodepgina"/>
        <w:rFonts w:ascii="Arial" w:hAnsi="Arial" w:cs="Arial"/>
        <w:sz w:val="20"/>
        <w:szCs w:val="20"/>
      </w:rPr>
      <w:fldChar w:fldCharType="separate"/>
    </w:r>
    <w:r w:rsidR="006E2263">
      <w:rPr>
        <w:rStyle w:val="Nmerodepgina"/>
        <w:rFonts w:ascii="Arial" w:hAnsi="Arial" w:cs="Arial"/>
        <w:noProof/>
        <w:sz w:val="20"/>
        <w:szCs w:val="20"/>
      </w:rPr>
      <w:t>20</w:t>
    </w:r>
    <w:r w:rsidRPr="00EC604F">
      <w:rPr>
        <w:rStyle w:val="Nmerodepgina"/>
        <w:rFonts w:ascii="Arial" w:hAnsi="Arial" w:cs="Arial"/>
        <w:sz w:val="20"/>
        <w:szCs w:val="20"/>
      </w:rPr>
      <w:fldChar w:fldCharType="end"/>
    </w:r>
  </w:p>
  <w:p w:rsidR="002F4158" w:rsidRPr="00EC604F" w:rsidRDefault="002F4158" w:rsidP="00026045">
    <w:pPr>
      <w:pStyle w:val="Sinespaciado"/>
      <w:rPr>
        <w:rFonts w:ascii="Arial" w:hAnsi="Arial" w:cs="Arial"/>
        <w:sz w:val="20"/>
        <w:szCs w:val="20"/>
      </w:rPr>
    </w:pPr>
    <w:proofErr w:type="spellStart"/>
    <w:r w:rsidRPr="00EC604F">
      <w:rPr>
        <w:rFonts w:ascii="Arial" w:hAnsi="Arial" w:cs="Arial"/>
        <w:sz w:val="20"/>
        <w:szCs w:val="20"/>
      </w:rPr>
      <w:t>Exp</w:t>
    </w:r>
    <w:proofErr w:type="spellEnd"/>
    <w:r w:rsidRPr="00EC604F">
      <w:rPr>
        <w:rFonts w:ascii="Arial" w:hAnsi="Arial" w:cs="Arial"/>
        <w:sz w:val="20"/>
        <w:szCs w:val="20"/>
      </w:rPr>
      <w:t xml:space="preserve">. </w:t>
    </w:r>
    <w:r>
      <w:rPr>
        <w:rFonts w:ascii="Arial" w:hAnsi="Arial" w:cs="Arial"/>
        <w:sz w:val="20"/>
        <w:szCs w:val="20"/>
      </w:rPr>
      <w:t>177</w:t>
    </w:r>
    <w:r w:rsidRPr="00EC604F">
      <w:rPr>
        <w:rFonts w:ascii="Arial" w:hAnsi="Arial" w:cs="Arial"/>
        <w:sz w:val="20"/>
        <w:szCs w:val="20"/>
      </w:rPr>
      <w:t>/202</w:t>
    </w:r>
    <w:r>
      <w:rPr>
        <w:rFonts w:ascii="Arial" w:hAnsi="Arial" w:cs="Arial"/>
        <w:sz w:val="20"/>
        <w:szCs w:val="20"/>
      </w:rPr>
      <w:t>5</w:t>
    </w:r>
    <w:r w:rsidRPr="00EC604F">
      <w:rPr>
        <w:rFonts w:ascii="Arial" w:hAnsi="Arial" w:cs="Arial"/>
        <w:color w:val="000000"/>
        <w:sz w:val="20"/>
        <w:szCs w:val="20"/>
      </w:rPr>
      <w:t>-3</w:t>
    </w:r>
  </w:p>
  <w:p w:rsidR="002F4158" w:rsidRPr="00E70E28" w:rsidRDefault="002F4158" w:rsidP="00026045">
    <w:pPr>
      <w:pStyle w:val="Encabezado"/>
      <w:rPr>
        <w:rFonts w:ascii="Arial" w:hAnsi="Arial" w:cs="Arial"/>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2F4158" w:rsidRPr="007A07AF" w:rsidRDefault="002F4158" w:rsidP="00026045">
    <w:pPr>
      <w:pStyle w:val="Encabezado"/>
      <w:ind w:right="360"/>
      <w:rPr>
        <w:rStyle w:val="Nmerodepgina"/>
        <w:rFonts w:ascii="Arial" w:hAnsi="Arial" w:cs="Arial"/>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E2263">
      <w:rPr>
        <w:rStyle w:val="Nmerodepgina"/>
        <w:noProof/>
        <w:color w:val="FFFFFF"/>
      </w:rPr>
      <w:t>21</w:t>
    </w:r>
    <w:r w:rsidRPr="006C0427">
      <w:rPr>
        <w:rStyle w:val="Nmerodepgina"/>
        <w:color w:val="FFFFFF"/>
      </w:rPr>
      <w:fldChar w:fldCharType="end"/>
    </w:r>
    <w:r w:rsidRPr="006C0427">
      <w:rPr>
        <w:rStyle w:val="Nmerodepgina"/>
        <w:color w:val="FFFFFF"/>
      </w:rPr>
      <w:t xml:space="preserve"> </w:t>
    </w:r>
  </w:p>
  <w:bookmarkEnd w:id="1"/>
  <w:p w:rsidR="002F4158" w:rsidRPr="00EC604F" w:rsidRDefault="002F4158" w:rsidP="00026045">
    <w:pPr>
      <w:pStyle w:val="Sinespaciado"/>
      <w:jc w:val="right"/>
      <w:rPr>
        <w:rFonts w:ascii="Arial" w:hAnsi="Arial" w:cs="Arial"/>
        <w:sz w:val="20"/>
        <w:szCs w:val="20"/>
      </w:rPr>
    </w:pPr>
    <w:r>
      <w:rPr>
        <w:rFonts w:ascii="Arial" w:hAnsi="Arial" w:cs="Arial"/>
        <w:noProof/>
        <w:sz w:val="20"/>
        <w:szCs w:val="20"/>
        <w:lang w:eastAsia="es-MX"/>
      </w:rPr>
      <mc:AlternateContent>
        <mc:Choice Requires="wps">
          <w:drawing>
            <wp:anchor distT="0" distB="0" distL="114300" distR="114300" simplePos="0" relativeHeight="251660288" behindDoc="0" locked="0" layoutInCell="1" allowOverlap="1" wp14:anchorId="1CCCAE1E" wp14:editId="734084D8">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F4158" w:rsidRDefault="002F4158" w:rsidP="0002604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650DCB8" wp14:editId="27304787">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F4158" w:rsidRPr="00B23B9D" w:rsidRDefault="002F4158" w:rsidP="00026045">
                          <w:pPr>
                            <w:pStyle w:val="Sinespaciado"/>
                            <w:jc w:val="center"/>
                            <w:rPr>
                              <w:rFonts w:ascii="Microsoft Sans Serif" w:eastAsia="SimHei" w:hAnsi="Microsoft Sans Serif" w:cs="Microsoft Sans Serif"/>
                              <w:b/>
                              <w:sz w:val="14"/>
                              <w:szCs w:val="14"/>
                            </w:rPr>
                          </w:pPr>
                        </w:p>
                        <w:p w:rsidR="002F4158" w:rsidRPr="00B23B9D" w:rsidRDefault="002F4158" w:rsidP="0002604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2F4158" w:rsidRDefault="002F4158" w:rsidP="0002604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650DCB8" wp14:editId="27304787">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F4158" w:rsidRPr="00B23B9D" w:rsidRDefault="002F4158" w:rsidP="00026045">
                    <w:pPr>
                      <w:pStyle w:val="Sinespaciado"/>
                      <w:jc w:val="center"/>
                      <w:rPr>
                        <w:rFonts w:ascii="Microsoft Sans Serif" w:eastAsia="SimHei" w:hAnsi="Microsoft Sans Serif" w:cs="Microsoft Sans Serif"/>
                        <w:b/>
                        <w:sz w:val="14"/>
                        <w:szCs w:val="14"/>
                      </w:rPr>
                    </w:pPr>
                  </w:p>
                  <w:p w:rsidR="002F4158" w:rsidRPr="00B23B9D" w:rsidRDefault="002F4158" w:rsidP="0002604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EC604F">
      <w:rPr>
        <w:rFonts w:ascii="Arial" w:hAnsi="Arial" w:cs="Arial"/>
        <w:sz w:val="20"/>
        <w:szCs w:val="20"/>
      </w:rPr>
      <w:t xml:space="preserve">Página </w:t>
    </w:r>
    <w:r w:rsidRPr="00EC604F">
      <w:rPr>
        <w:rStyle w:val="Nmerodepgina"/>
        <w:rFonts w:ascii="Arial" w:hAnsi="Arial" w:cs="Arial"/>
        <w:sz w:val="20"/>
        <w:szCs w:val="20"/>
      </w:rPr>
      <w:fldChar w:fldCharType="begin"/>
    </w:r>
    <w:r w:rsidRPr="00EC604F">
      <w:rPr>
        <w:rStyle w:val="Nmerodepgina"/>
        <w:rFonts w:ascii="Arial" w:hAnsi="Arial" w:cs="Arial"/>
        <w:sz w:val="20"/>
        <w:szCs w:val="20"/>
      </w:rPr>
      <w:instrText xml:space="preserve"> PAGE </w:instrText>
    </w:r>
    <w:r w:rsidRPr="00EC604F">
      <w:rPr>
        <w:rStyle w:val="Nmerodepgina"/>
        <w:rFonts w:ascii="Arial" w:hAnsi="Arial" w:cs="Arial"/>
        <w:sz w:val="20"/>
        <w:szCs w:val="20"/>
      </w:rPr>
      <w:fldChar w:fldCharType="separate"/>
    </w:r>
    <w:r w:rsidR="006E2263">
      <w:rPr>
        <w:rStyle w:val="Nmerodepgina"/>
        <w:rFonts w:ascii="Arial" w:hAnsi="Arial" w:cs="Arial"/>
        <w:noProof/>
        <w:sz w:val="20"/>
        <w:szCs w:val="20"/>
      </w:rPr>
      <w:t>21</w:t>
    </w:r>
    <w:r w:rsidRPr="00EC604F">
      <w:rPr>
        <w:rStyle w:val="Nmerodepgina"/>
        <w:rFonts w:ascii="Arial" w:hAnsi="Arial" w:cs="Arial"/>
        <w:sz w:val="20"/>
        <w:szCs w:val="20"/>
      </w:rPr>
      <w:fldChar w:fldCharType="end"/>
    </w:r>
  </w:p>
  <w:p w:rsidR="002F4158" w:rsidRDefault="002F4158" w:rsidP="00530A97">
    <w:pPr>
      <w:pStyle w:val="Sinespaciado"/>
      <w:jc w:val="right"/>
      <w:rPr>
        <w:rFonts w:ascii="Arial" w:hAnsi="Arial" w:cs="Arial"/>
        <w:sz w:val="20"/>
        <w:szCs w:val="20"/>
      </w:rPr>
    </w:pPr>
    <w:proofErr w:type="spellStart"/>
    <w:r w:rsidRPr="00EC604F">
      <w:rPr>
        <w:rFonts w:ascii="Arial" w:hAnsi="Arial" w:cs="Arial"/>
        <w:sz w:val="20"/>
        <w:szCs w:val="20"/>
      </w:rPr>
      <w:t>Exp</w:t>
    </w:r>
    <w:proofErr w:type="spellEnd"/>
    <w:r w:rsidRPr="00EC604F">
      <w:rPr>
        <w:rFonts w:ascii="Arial" w:hAnsi="Arial" w:cs="Arial"/>
        <w:sz w:val="20"/>
        <w:szCs w:val="20"/>
      </w:rPr>
      <w:t xml:space="preserve">. </w:t>
    </w:r>
    <w:r>
      <w:rPr>
        <w:rFonts w:ascii="Arial" w:hAnsi="Arial" w:cs="Arial"/>
        <w:sz w:val="20"/>
        <w:szCs w:val="20"/>
      </w:rPr>
      <w:t>177</w:t>
    </w:r>
    <w:r w:rsidRPr="00EC604F">
      <w:rPr>
        <w:rFonts w:ascii="Arial" w:hAnsi="Arial" w:cs="Arial"/>
        <w:sz w:val="20"/>
        <w:szCs w:val="20"/>
      </w:rPr>
      <w:t>/</w:t>
    </w:r>
    <w:r>
      <w:rPr>
        <w:rFonts w:ascii="Arial" w:hAnsi="Arial" w:cs="Arial"/>
        <w:sz w:val="20"/>
        <w:szCs w:val="20"/>
      </w:rPr>
      <w:t>2025</w:t>
    </w:r>
  </w:p>
  <w:p w:rsidR="002F4158" w:rsidRPr="007A07AF" w:rsidRDefault="002F4158" w:rsidP="00530A97">
    <w:pPr>
      <w:pStyle w:val="Sinespaciado"/>
      <w:jc w:val="right"/>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158" w:rsidRPr="004A456E" w:rsidRDefault="002F4158" w:rsidP="00026045">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D354B68" wp14:editId="509A8EDA">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F4158" w:rsidRDefault="002F4158" w:rsidP="0002604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BE5E937" wp14:editId="0E309D47">
                                <wp:extent cx="1035050" cy="103505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5050" cy="1035050"/>
                                        </a:xfrm>
                                        <a:prstGeom prst="rect">
                                          <a:avLst/>
                                        </a:prstGeom>
                                        <a:solidFill>
                                          <a:srgbClr val="FFFFFF">
                                            <a:alpha val="0"/>
                                          </a:srgbClr>
                                        </a:solidFill>
                                        <a:ln>
                                          <a:noFill/>
                                        </a:ln>
                                      </pic:spPr>
                                    </pic:pic>
                                  </a:graphicData>
                                </a:graphic>
                              </wp:inline>
                            </w:drawing>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F4158" w:rsidRPr="00B23B9D" w:rsidRDefault="002F4158" w:rsidP="00026045">
                          <w:pPr>
                            <w:pStyle w:val="Sinespaciado"/>
                            <w:jc w:val="center"/>
                            <w:rPr>
                              <w:rFonts w:ascii="Microsoft Sans Serif" w:eastAsia="SimHei" w:hAnsi="Microsoft Sans Serif" w:cs="Microsoft Sans Serif"/>
                              <w:b/>
                              <w:sz w:val="14"/>
                              <w:szCs w:val="14"/>
                            </w:rPr>
                          </w:pPr>
                        </w:p>
                        <w:p w:rsidR="002F4158" w:rsidRPr="00B23B9D" w:rsidRDefault="002F4158" w:rsidP="0002604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2F4158" w:rsidRDefault="002F4158" w:rsidP="00026045">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BE5E937" wp14:editId="0E309D47">
                          <wp:extent cx="1035050" cy="103505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5050" cy="1035050"/>
                                  </a:xfrm>
                                  <a:prstGeom prst="rect">
                                    <a:avLst/>
                                  </a:prstGeom>
                                  <a:solidFill>
                                    <a:srgbClr val="FFFFFF">
                                      <a:alpha val="0"/>
                                    </a:srgbClr>
                                  </a:solidFill>
                                  <a:ln>
                                    <a:noFill/>
                                  </a:ln>
                                </pic:spPr>
                              </pic:pic>
                            </a:graphicData>
                          </a:graphic>
                        </wp:inline>
                      </w:drawing>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2F4158" w:rsidRPr="00B23B9D" w:rsidRDefault="002F4158" w:rsidP="00026045">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2F4158" w:rsidRPr="00B23B9D" w:rsidRDefault="002F4158" w:rsidP="00026045">
                    <w:pPr>
                      <w:pStyle w:val="Sinespaciado"/>
                      <w:jc w:val="center"/>
                      <w:rPr>
                        <w:rFonts w:ascii="Microsoft Sans Serif" w:eastAsia="SimHei" w:hAnsi="Microsoft Sans Serif" w:cs="Microsoft Sans Serif"/>
                        <w:b/>
                        <w:sz w:val="14"/>
                        <w:szCs w:val="14"/>
                      </w:rPr>
                    </w:pPr>
                  </w:p>
                  <w:p w:rsidR="002F4158" w:rsidRPr="00B23B9D" w:rsidRDefault="002F4158" w:rsidP="00026045">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BE9"/>
    <w:rsid w:val="00026045"/>
    <w:rsid w:val="000559F8"/>
    <w:rsid w:val="0009321F"/>
    <w:rsid w:val="000C6C06"/>
    <w:rsid w:val="000F4670"/>
    <w:rsid w:val="001E58FA"/>
    <w:rsid w:val="002B2C93"/>
    <w:rsid w:val="002B2E44"/>
    <w:rsid w:val="002B5E54"/>
    <w:rsid w:val="002C478D"/>
    <w:rsid w:val="002F4158"/>
    <w:rsid w:val="00355C92"/>
    <w:rsid w:val="00386F69"/>
    <w:rsid w:val="003A7C39"/>
    <w:rsid w:val="003B0128"/>
    <w:rsid w:val="003B5346"/>
    <w:rsid w:val="003E6A6A"/>
    <w:rsid w:val="004222F5"/>
    <w:rsid w:val="004905C0"/>
    <w:rsid w:val="004957C5"/>
    <w:rsid w:val="004A0089"/>
    <w:rsid w:val="004F4BDC"/>
    <w:rsid w:val="00520AA6"/>
    <w:rsid w:val="00530A97"/>
    <w:rsid w:val="005315B0"/>
    <w:rsid w:val="00574041"/>
    <w:rsid w:val="005D3491"/>
    <w:rsid w:val="005D61C2"/>
    <w:rsid w:val="005D7910"/>
    <w:rsid w:val="00660243"/>
    <w:rsid w:val="00663DBD"/>
    <w:rsid w:val="006A5154"/>
    <w:rsid w:val="006E2263"/>
    <w:rsid w:val="00710109"/>
    <w:rsid w:val="0075457F"/>
    <w:rsid w:val="007A630B"/>
    <w:rsid w:val="007F4B0B"/>
    <w:rsid w:val="008748B2"/>
    <w:rsid w:val="008D5F24"/>
    <w:rsid w:val="008E093B"/>
    <w:rsid w:val="008F3973"/>
    <w:rsid w:val="009274CC"/>
    <w:rsid w:val="009349D4"/>
    <w:rsid w:val="00946DC6"/>
    <w:rsid w:val="00A428EA"/>
    <w:rsid w:val="00AC66DB"/>
    <w:rsid w:val="00AD35A0"/>
    <w:rsid w:val="00B71497"/>
    <w:rsid w:val="00B91BFA"/>
    <w:rsid w:val="00C079CB"/>
    <w:rsid w:val="00C17D0F"/>
    <w:rsid w:val="00C31DDF"/>
    <w:rsid w:val="00D21704"/>
    <w:rsid w:val="00D87098"/>
    <w:rsid w:val="00DB460B"/>
    <w:rsid w:val="00DB5506"/>
    <w:rsid w:val="00DC45B7"/>
    <w:rsid w:val="00DE7D59"/>
    <w:rsid w:val="00E704B3"/>
    <w:rsid w:val="00EA3770"/>
    <w:rsid w:val="00FC5BDD"/>
    <w:rsid w:val="00FC5BE9"/>
    <w:rsid w:val="00FE2C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C5B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C5BE9"/>
  </w:style>
  <w:style w:type="character" w:styleId="Nmerodepgina">
    <w:name w:val="page number"/>
    <w:basedOn w:val="Fuentedeprrafopredeter"/>
    <w:rsid w:val="00FC5BE9"/>
  </w:style>
  <w:style w:type="paragraph" w:styleId="Sinespaciado">
    <w:name w:val="No Spacing"/>
    <w:link w:val="SinespaciadoCar"/>
    <w:uiPriority w:val="1"/>
    <w:qFormat/>
    <w:rsid w:val="00FC5BE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C5BE9"/>
    <w:rPr>
      <w:rFonts w:ascii="Calibri" w:eastAsia="Calibri" w:hAnsi="Calibri" w:cs="Times New Roman"/>
    </w:rPr>
  </w:style>
  <w:style w:type="paragraph" w:styleId="Textodeglobo">
    <w:name w:val="Balloon Text"/>
    <w:basedOn w:val="Normal"/>
    <w:link w:val="TextodegloboCar"/>
    <w:uiPriority w:val="99"/>
    <w:semiHidden/>
    <w:unhideWhenUsed/>
    <w:rsid w:val="00FC5BE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5BE9"/>
    <w:rPr>
      <w:rFonts w:ascii="Tahoma" w:hAnsi="Tahoma" w:cs="Tahoma"/>
      <w:sz w:val="16"/>
      <w:szCs w:val="16"/>
    </w:rPr>
  </w:style>
  <w:style w:type="paragraph" w:styleId="Piedepgina">
    <w:name w:val="footer"/>
    <w:basedOn w:val="Normal"/>
    <w:link w:val="PiedepginaCar"/>
    <w:uiPriority w:val="99"/>
    <w:unhideWhenUsed/>
    <w:rsid w:val="00530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30A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C5B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C5BE9"/>
  </w:style>
  <w:style w:type="character" w:styleId="Nmerodepgina">
    <w:name w:val="page number"/>
    <w:basedOn w:val="Fuentedeprrafopredeter"/>
    <w:rsid w:val="00FC5BE9"/>
  </w:style>
  <w:style w:type="paragraph" w:styleId="Sinespaciado">
    <w:name w:val="No Spacing"/>
    <w:link w:val="SinespaciadoCar"/>
    <w:uiPriority w:val="1"/>
    <w:qFormat/>
    <w:rsid w:val="00FC5BE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C5BE9"/>
    <w:rPr>
      <w:rFonts w:ascii="Calibri" w:eastAsia="Calibri" w:hAnsi="Calibri" w:cs="Times New Roman"/>
    </w:rPr>
  </w:style>
  <w:style w:type="paragraph" w:styleId="Textodeglobo">
    <w:name w:val="Balloon Text"/>
    <w:basedOn w:val="Normal"/>
    <w:link w:val="TextodegloboCar"/>
    <w:uiPriority w:val="99"/>
    <w:semiHidden/>
    <w:unhideWhenUsed/>
    <w:rsid w:val="00FC5BE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5BE9"/>
    <w:rPr>
      <w:rFonts w:ascii="Tahoma" w:hAnsi="Tahoma" w:cs="Tahoma"/>
      <w:sz w:val="16"/>
      <w:szCs w:val="16"/>
    </w:rPr>
  </w:style>
  <w:style w:type="paragraph" w:styleId="Piedepgina">
    <w:name w:val="footer"/>
    <w:basedOn w:val="Normal"/>
    <w:link w:val="PiedepginaCar"/>
    <w:uiPriority w:val="99"/>
    <w:unhideWhenUsed/>
    <w:rsid w:val="00530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30A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445</TotalTime>
  <Pages>21</Pages>
  <Words>7985</Words>
  <Characters>43921</Characters>
  <Application>Microsoft Office Word</Application>
  <DocSecurity>0</DocSecurity>
  <Lines>366</Lines>
  <Paragraphs>103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51803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64</cp:revision>
  <cp:lastPrinted>2025-10-22T17:25:00Z</cp:lastPrinted>
  <dcterms:created xsi:type="dcterms:W3CDTF">2025-10-14T16:52:00Z</dcterms:created>
  <dcterms:modified xsi:type="dcterms:W3CDTF">2025-11-10T20:06:00Z</dcterms:modified>
</cp:coreProperties>
</file>