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B3B11" w14:textId="10E1DCA5" w:rsidR="00396A0F" w:rsidRDefault="00A356C6">
      <w:r>
        <w:rPr>
          <w:noProof/>
        </w:rPr>
        <w:drawing>
          <wp:anchor distT="0" distB="0" distL="114300" distR="114300" simplePos="0" relativeHeight="251659264" behindDoc="1" locked="0" layoutInCell="1" allowOverlap="1" wp14:anchorId="132B6DD6" wp14:editId="43DA5C0A">
            <wp:simplePos x="0" y="0"/>
            <wp:positionH relativeFrom="margin">
              <wp:align>left</wp:align>
            </wp:positionH>
            <wp:positionV relativeFrom="paragraph">
              <wp:posOffset>195580</wp:posOffset>
            </wp:positionV>
            <wp:extent cx="1562100" cy="733425"/>
            <wp:effectExtent l="0" t="0" r="0" b="9525"/>
            <wp:wrapNone/>
            <wp:docPr id="6" name="Imagen 5">
              <a:extLst xmlns:a="http://schemas.openxmlformats.org/drawingml/2006/main">
                <a:ext uri="{FF2B5EF4-FFF2-40B4-BE49-F238E27FC236}">
                  <a16:creationId xmlns:a16="http://schemas.microsoft.com/office/drawing/2014/main" id="{6C3DF39C-E79B-4A5D-A889-5E903CC689A0}"/>
                </a:ext>
              </a:extLst>
            </wp:docPr>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6C3DF39C-E79B-4A5D-A889-5E903CC689A0}"/>
                        </a:ext>
                      </a:extLst>
                    </pic:cNvPr>
                    <pic:cNvPicPr/>
                  </pic:nvPicPr>
                  <pic:blipFill rotWithShape="1">
                    <a:blip r:embed="rId4">
                      <a:extLst>
                        <a:ext uri="{28A0092B-C50C-407E-A947-70E740481C1C}">
                          <a14:useLocalDpi xmlns:a14="http://schemas.microsoft.com/office/drawing/2010/main" val="0"/>
                        </a:ext>
                      </a:extLst>
                    </a:blip>
                    <a:srcRect l="27943" t="23305" r="56789" b="68926"/>
                    <a:stretch/>
                  </pic:blipFill>
                  <pic:spPr>
                    <a:xfrm>
                      <a:off x="0" y="0"/>
                      <a:ext cx="1562100" cy="733425"/>
                    </a:xfrm>
                    <a:prstGeom prst="rect">
                      <a:avLst/>
                    </a:prstGeom>
                  </pic:spPr>
                </pic:pic>
              </a:graphicData>
            </a:graphic>
          </wp:anchor>
        </w:drawing>
      </w:r>
      <w:r>
        <w:rPr>
          <w:noProof/>
        </w:rPr>
        <w:drawing>
          <wp:anchor distT="0" distB="0" distL="114300" distR="114300" simplePos="0" relativeHeight="251658240" behindDoc="1" locked="0" layoutInCell="1" allowOverlap="1" wp14:anchorId="3B13519A" wp14:editId="3A302290">
            <wp:simplePos x="0" y="0"/>
            <wp:positionH relativeFrom="column">
              <wp:posOffset>1824990</wp:posOffset>
            </wp:positionH>
            <wp:positionV relativeFrom="paragraph">
              <wp:posOffset>-147320</wp:posOffset>
            </wp:positionV>
            <wp:extent cx="1169670" cy="1311099"/>
            <wp:effectExtent l="0" t="0" r="0" b="381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69739"/>
                    <a:stretch/>
                  </pic:blipFill>
                  <pic:spPr bwMode="auto">
                    <a:xfrm>
                      <a:off x="0" y="0"/>
                      <a:ext cx="1169670" cy="1311099"/>
                    </a:xfrm>
                    <a:prstGeom prst="rect">
                      <a:avLst/>
                    </a:prstGeom>
                    <a:ln>
                      <a:noFill/>
                    </a:ln>
                    <a:extLst>
                      <a:ext uri="{53640926-AAD7-44D8-BBD7-CCE9431645EC}">
                        <a14:shadowObscured xmlns:a14="http://schemas.microsoft.com/office/drawing/2010/main"/>
                      </a:ext>
                    </a:extLst>
                  </pic:spPr>
                </pic:pic>
              </a:graphicData>
            </a:graphic>
          </wp:anchor>
        </w:drawing>
      </w:r>
    </w:p>
    <w:p w14:paraId="2E43CF0A" w14:textId="01A231C0" w:rsidR="00396A0F" w:rsidRDefault="00396A0F"/>
    <w:p w14:paraId="7EA24667" w14:textId="7D238E11" w:rsidR="00B3201E" w:rsidRDefault="00B3201E">
      <w:pPr>
        <w:rPr>
          <w:color w:val="000000"/>
          <w:sz w:val="27"/>
          <w:szCs w:val="27"/>
        </w:rPr>
      </w:pPr>
      <w:bookmarkStart w:id="0" w:name="_GoBack"/>
      <w:bookmarkEnd w:id="0"/>
    </w:p>
    <w:p w14:paraId="1F8EAB2B" w14:textId="5D0B2D9E" w:rsidR="00B3201E" w:rsidRPr="00442DE0" w:rsidRDefault="00B3201E" w:rsidP="00442DE0">
      <w:pPr>
        <w:jc w:val="both"/>
        <w:rPr>
          <w:color w:val="000000"/>
          <w:sz w:val="36"/>
          <w:szCs w:val="36"/>
        </w:rPr>
      </w:pPr>
    </w:p>
    <w:p w14:paraId="06473A97" w14:textId="004237E9" w:rsidR="004A4397" w:rsidRDefault="004A4397"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color w:val="000000"/>
          <w:sz w:val="36"/>
          <w:szCs w:val="36"/>
        </w:rPr>
        <w:t xml:space="preserve">El Instituto de Capacitación para el Trabajo del Estado de San Luis Potosí (ICAT), en el mes que nos ocupa se informa que no se generó información relativa </w:t>
      </w:r>
      <w:r w:rsidR="00A1523C" w:rsidRPr="00442DE0">
        <w:rPr>
          <w:rFonts w:asciiTheme="majorHAnsi" w:hAnsiTheme="majorHAnsi" w:cstheme="majorHAnsi"/>
          <w:color w:val="000000"/>
          <w:sz w:val="36"/>
          <w:szCs w:val="36"/>
        </w:rPr>
        <w:t xml:space="preserve">a </w:t>
      </w:r>
      <w:r w:rsidRPr="00442DE0">
        <w:rPr>
          <w:rFonts w:asciiTheme="majorHAnsi" w:hAnsiTheme="majorHAnsi" w:cstheme="majorHAnsi"/>
          <w:color w:val="000000"/>
          <w:sz w:val="36"/>
          <w:szCs w:val="36"/>
        </w:rPr>
        <w:t xml:space="preserve">resultados de </w:t>
      </w:r>
      <w:r w:rsidR="00842EFC" w:rsidRPr="00442DE0">
        <w:rPr>
          <w:rFonts w:asciiTheme="majorHAnsi" w:hAnsiTheme="majorHAnsi" w:cstheme="majorHAnsi"/>
          <w:color w:val="000000"/>
          <w:sz w:val="36"/>
          <w:szCs w:val="36"/>
        </w:rPr>
        <w:t xml:space="preserve">procedimientos de </w:t>
      </w:r>
      <w:r w:rsidRPr="00442DE0">
        <w:rPr>
          <w:rFonts w:asciiTheme="majorHAnsi" w:hAnsiTheme="majorHAnsi" w:cstheme="majorHAnsi"/>
          <w:color w:val="000000"/>
          <w:sz w:val="36"/>
          <w:szCs w:val="36"/>
        </w:rPr>
        <w:t>licitación pública e invitación restringida, debido a que</w:t>
      </w:r>
      <w:r w:rsidR="00A1523C" w:rsidRPr="00442DE0">
        <w:rPr>
          <w:rFonts w:asciiTheme="majorHAnsi" w:hAnsiTheme="majorHAnsi" w:cstheme="majorHAnsi"/>
          <w:color w:val="000000"/>
          <w:sz w:val="36"/>
          <w:szCs w:val="36"/>
        </w:rPr>
        <w:t xml:space="preserve"> el tipo de procedimiento que se realizó fue adjudicación directa</w:t>
      </w:r>
      <w:r w:rsidR="00397CB2" w:rsidRPr="00442DE0">
        <w:rPr>
          <w:rFonts w:asciiTheme="majorHAnsi" w:hAnsiTheme="majorHAnsi" w:cstheme="majorHAnsi"/>
          <w:color w:val="000000"/>
          <w:sz w:val="36"/>
          <w:szCs w:val="36"/>
        </w:rPr>
        <w:t>, por</w:t>
      </w:r>
      <w:r w:rsidRPr="00442DE0">
        <w:rPr>
          <w:rFonts w:asciiTheme="majorHAnsi" w:hAnsiTheme="majorHAnsi" w:cstheme="majorHAnsi"/>
          <w:color w:val="000000"/>
          <w:sz w:val="36"/>
          <w:szCs w:val="36"/>
        </w:rPr>
        <w:t xml:space="preserve"> ende, se informa que los campos que comprenden esas disposiciones</w:t>
      </w:r>
      <w:r w:rsidR="009B65DD" w:rsidRPr="00442DE0">
        <w:rPr>
          <w:rFonts w:asciiTheme="majorHAnsi" w:hAnsiTheme="majorHAnsi" w:cstheme="majorHAnsi"/>
          <w:color w:val="000000"/>
          <w:sz w:val="36"/>
          <w:szCs w:val="36"/>
        </w:rPr>
        <w:t xml:space="preserve"> </w:t>
      </w:r>
      <w:r w:rsidRPr="00442DE0">
        <w:rPr>
          <w:rFonts w:asciiTheme="majorHAnsi" w:hAnsiTheme="majorHAnsi" w:cstheme="majorHAnsi"/>
          <w:color w:val="000000"/>
          <w:sz w:val="36"/>
          <w:szCs w:val="36"/>
        </w:rPr>
        <w:t xml:space="preserve">fueron llenados con la finalidad de </w:t>
      </w:r>
      <w:r w:rsidR="009B65DD" w:rsidRPr="00442DE0">
        <w:rPr>
          <w:rFonts w:asciiTheme="majorHAnsi" w:hAnsiTheme="majorHAnsi" w:cstheme="majorHAnsi"/>
          <w:color w:val="000000"/>
          <w:sz w:val="36"/>
          <w:szCs w:val="36"/>
        </w:rPr>
        <w:t xml:space="preserve">respetar </w:t>
      </w:r>
      <w:r w:rsidRPr="00442DE0">
        <w:rPr>
          <w:rFonts w:asciiTheme="majorHAnsi" w:hAnsiTheme="majorHAnsi" w:cstheme="majorHAnsi"/>
          <w:color w:val="000000"/>
          <w:sz w:val="36"/>
          <w:szCs w:val="36"/>
        </w:rPr>
        <w:t>el formato de las celdas.</w:t>
      </w:r>
    </w:p>
    <w:p w14:paraId="225782F7" w14:textId="656D876D" w:rsidR="00E60143" w:rsidRPr="00442DE0" w:rsidRDefault="00E60143" w:rsidP="00442DE0">
      <w:pPr>
        <w:spacing w:line="360" w:lineRule="auto"/>
        <w:jc w:val="both"/>
        <w:rPr>
          <w:rFonts w:asciiTheme="majorHAnsi" w:hAnsiTheme="majorHAnsi" w:cstheme="majorHAnsi"/>
          <w:color w:val="000000"/>
          <w:sz w:val="36"/>
          <w:szCs w:val="36"/>
        </w:rPr>
      </w:pPr>
      <w:r>
        <w:rPr>
          <w:rFonts w:asciiTheme="majorHAnsi" w:hAnsiTheme="majorHAnsi" w:cstheme="majorHAnsi"/>
          <w:color w:val="000000"/>
          <w:sz w:val="36"/>
          <w:szCs w:val="36"/>
        </w:rPr>
        <w:t>Por tal motivo no</w:t>
      </w:r>
      <w:r w:rsidR="00AA6A5F">
        <w:rPr>
          <w:rFonts w:asciiTheme="majorHAnsi" w:hAnsiTheme="majorHAnsi" w:cstheme="majorHAnsi"/>
          <w:color w:val="000000"/>
          <w:sz w:val="36"/>
          <w:szCs w:val="36"/>
        </w:rPr>
        <w:t xml:space="preserve"> </w:t>
      </w:r>
      <w:r>
        <w:rPr>
          <w:rFonts w:asciiTheme="majorHAnsi" w:hAnsiTheme="majorHAnsi" w:cstheme="majorHAnsi"/>
          <w:color w:val="000000"/>
          <w:sz w:val="36"/>
          <w:szCs w:val="36"/>
        </w:rPr>
        <w:t xml:space="preserve">se </w:t>
      </w:r>
      <w:r w:rsidR="004419E4">
        <w:rPr>
          <w:rFonts w:asciiTheme="majorHAnsi" w:hAnsiTheme="majorHAnsi" w:cstheme="majorHAnsi"/>
          <w:color w:val="000000"/>
          <w:sz w:val="36"/>
          <w:szCs w:val="36"/>
        </w:rPr>
        <w:t>realizó</w:t>
      </w:r>
      <w:r>
        <w:rPr>
          <w:rFonts w:asciiTheme="majorHAnsi" w:hAnsiTheme="majorHAnsi" w:cstheme="majorHAnsi"/>
          <w:color w:val="000000"/>
          <w:sz w:val="36"/>
          <w:szCs w:val="36"/>
        </w:rPr>
        <w:t xml:space="preserve"> </w:t>
      </w:r>
      <w:r w:rsidR="00AA6A5F" w:rsidRPr="00AA6A5F">
        <w:rPr>
          <w:rFonts w:asciiTheme="majorHAnsi" w:hAnsiTheme="majorHAnsi" w:cstheme="majorHAnsi"/>
          <w:color w:val="000000"/>
          <w:sz w:val="36"/>
          <w:szCs w:val="36"/>
        </w:rPr>
        <w:t>comunicado de suspensión,</w:t>
      </w:r>
      <w:r w:rsidR="00AA6A5F">
        <w:rPr>
          <w:rFonts w:asciiTheme="majorHAnsi" w:hAnsiTheme="majorHAnsi" w:cstheme="majorHAnsi"/>
          <w:color w:val="000000"/>
          <w:sz w:val="36"/>
          <w:szCs w:val="36"/>
        </w:rPr>
        <w:t xml:space="preserve"> </w:t>
      </w:r>
      <w:r w:rsidR="00AA6A5F" w:rsidRPr="00AA6A5F">
        <w:rPr>
          <w:rFonts w:asciiTheme="majorHAnsi" w:hAnsiTheme="majorHAnsi" w:cstheme="majorHAnsi"/>
          <w:color w:val="000000"/>
          <w:sz w:val="36"/>
          <w:szCs w:val="36"/>
        </w:rPr>
        <w:t>rescisión o terminación anticipada del contrato</w:t>
      </w:r>
      <w:r w:rsidR="00AA6A5F">
        <w:rPr>
          <w:rFonts w:asciiTheme="majorHAnsi" w:hAnsiTheme="majorHAnsi" w:cstheme="majorHAnsi"/>
          <w:color w:val="000000"/>
          <w:sz w:val="36"/>
          <w:szCs w:val="36"/>
        </w:rPr>
        <w:t>.</w:t>
      </w:r>
    </w:p>
    <w:p w14:paraId="583613D6" w14:textId="5FEA2133" w:rsidR="001C2063" w:rsidRPr="00442DE0" w:rsidRDefault="00273E87"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color w:val="000000"/>
          <w:sz w:val="36"/>
          <w:szCs w:val="36"/>
        </w:rPr>
        <w:t>C</w:t>
      </w:r>
      <w:r w:rsidR="00442DE0" w:rsidRPr="00442DE0">
        <w:rPr>
          <w:rFonts w:asciiTheme="majorHAnsi" w:hAnsiTheme="majorHAnsi" w:cstheme="majorHAnsi"/>
          <w:color w:val="000000"/>
          <w:sz w:val="36"/>
          <w:szCs w:val="36"/>
        </w:rPr>
        <w:t>on base a la Ley de Adquisiciones del Estado de San Luis Potosí</w:t>
      </w:r>
      <w:r w:rsidR="001C2063" w:rsidRPr="00442DE0">
        <w:rPr>
          <w:rFonts w:asciiTheme="majorHAnsi" w:hAnsiTheme="majorHAnsi" w:cstheme="majorHAnsi"/>
          <w:color w:val="000000"/>
          <w:sz w:val="36"/>
          <w:szCs w:val="36"/>
        </w:rPr>
        <w:t xml:space="preserve"> </w:t>
      </w:r>
    </w:p>
    <w:p w14:paraId="12A2FCAC"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ARTICULO 22.-</w:t>
      </w:r>
      <w:r w:rsidRPr="00442DE0">
        <w:rPr>
          <w:rFonts w:asciiTheme="majorHAnsi" w:hAnsiTheme="majorHAnsi" w:cstheme="majorHAnsi"/>
          <w:sz w:val="36"/>
          <w:szCs w:val="36"/>
        </w:rPr>
        <w:t xml:space="preserve"> Las adquisiciones, arrendamientos y servicios, solamente podrán efectuarse mediante: I. Licitación pública; II. Invitación restringida a cuando menos tres proveedores; y III. Adjudicación directa. </w:t>
      </w:r>
    </w:p>
    <w:p w14:paraId="164ABD52" w14:textId="7DA6A241"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lastRenderedPageBreak/>
        <w:t>(F. DE E., P.O. 19 DE FEBRERO DE 1997) (REFORMADO, P.O. 13 DE MAYO DE 2017</w:t>
      </w:r>
    </w:p>
    <w:p w14:paraId="7CAB89E0" w14:textId="77777777" w:rsidR="00442DE0" w:rsidRPr="00442DE0" w:rsidRDefault="00442DE0" w:rsidP="00442DE0">
      <w:pPr>
        <w:spacing w:line="360" w:lineRule="auto"/>
        <w:jc w:val="both"/>
        <w:rPr>
          <w:rFonts w:asciiTheme="majorHAnsi" w:hAnsiTheme="majorHAnsi" w:cstheme="majorHAnsi"/>
          <w:sz w:val="36"/>
          <w:szCs w:val="36"/>
        </w:rPr>
      </w:pPr>
    </w:p>
    <w:p w14:paraId="629EB585"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(REFORMADO, P.O. DE ENERO DE 2013)</w:t>
      </w:r>
    </w:p>
    <w:p w14:paraId="283C7F02" w14:textId="5BD556BA"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 xml:space="preserve"> ARTICULO 25.</w:t>
      </w:r>
      <w:r w:rsidRPr="00442DE0">
        <w:rPr>
          <w:rFonts w:asciiTheme="majorHAnsi" w:hAnsiTheme="majorHAnsi" w:cstheme="majorHAnsi"/>
          <w:sz w:val="36"/>
          <w:szCs w:val="36"/>
        </w:rPr>
        <w:t xml:space="preserve"> Los titulares de las instituciones podrán, bajo su responsabilidad, ordenar al área administrativa la adjudicación directa de adquisiciones, arrendamientos o servicios, en aquéllos casos en que de cuya resolución inmediata y expedita dependa la preservación del orden social, la continuidad en la prestación de los servicios públicos, la economía, la salubridad, la seguridad pública, el ecosistema de una región, así como en los casos de siniestros o desastres producidos por fenómenos naturales que requieran atención emergente.</w:t>
      </w:r>
    </w:p>
    <w:p w14:paraId="226CFD42" w14:textId="2F6E49E5"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ARTICULO 26.-</w:t>
      </w:r>
      <w:r w:rsidRPr="00442DE0">
        <w:rPr>
          <w:rFonts w:asciiTheme="majorHAnsi" w:hAnsiTheme="majorHAnsi" w:cstheme="majorHAnsi"/>
          <w:sz w:val="36"/>
          <w:szCs w:val="36"/>
        </w:rPr>
        <w:t xml:space="preserve"> El comité podrá, bajo su responsabilidad, adjudicar directamente adquisiciones, arrendamientos y servicios, sin sujetarse a las formalidades de los procedimientos de licitación pública e invitación restringida, cuando: I. El contrato sólo pueda celebrarse con una </w:t>
      </w:r>
      <w:r w:rsidRPr="00442DE0">
        <w:rPr>
          <w:rFonts w:asciiTheme="majorHAnsi" w:hAnsiTheme="majorHAnsi" w:cstheme="majorHAnsi"/>
          <w:sz w:val="36"/>
          <w:szCs w:val="36"/>
        </w:rPr>
        <w:lastRenderedPageBreak/>
        <w:t>determinada persona por tratarse de obras de arte, titularidad de patentes, derechos de autor u otros derechos exclusivos; II. Existan circunstancias que puedan provocar trastornos graves a la institución o costos adicionales importantes en el precio de los bienes o servicios; III. Se hubiere rescindido una operación previamente contratada, por causas imputables al proveedor; IV. Sobre una misma operación se realicen dos procedimientos de licitación pública o de invitación restringida y ambos sean declarados desiertos; V. Existan no más de dos proveedores del ramo en la Entidad; VI. Existan razones justificadas para la adquisición y arrendamiento de bienes o servicios de marca determinada; VII. Se trate de adquisiciones de bienes perecederos, granos y productos alimenticios, básicos o semiprocesados, semovientes, y bienes usados; y</w:t>
      </w:r>
    </w:p>
    <w:p w14:paraId="46978E69"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 xml:space="preserve">VIII. Se trate de adquisiciones, arrendamientos o servicios cuya contratación se realice con campesinos o grupos urbanos marginados. </w:t>
      </w:r>
    </w:p>
    <w:p w14:paraId="752E183A"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 xml:space="preserve">(ADICIONADO, P.O. 26 DE JULIO DE 2018) </w:t>
      </w:r>
    </w:p>
    <w:p w14:paraId="35159F66" w14:textId="3F3F29A9" w:rsidR="00442DE0" w:rsidRPr="00442DE0" w:rsidRDefault="00442DE0"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b/>
          <w:sz w:val="36"/>
          <w:szCs w:val="36"/>
        </w:rPr>
        <w:lastRenderedPageBreak/>
        <w:t>ARTÍCULO 26 Bis</w:t>
      </w:r>
      <w:r w:rsidRPr="00442DE0">
        <w:rPr>
          <w:rFonts w:asciiTheme="majorHAnsi" w:hAnsiTheme="majorHAnsi" w:cstheme="majorHAnsi"/>
          <w:sz w:val="36"/>
          <w:szCs w:val="36"/>
        </w:rPr>
        <w:t>. La selección del procedimiento de adjudicación directa deberá fundarse y motivarse según las circunstancias de cada caso, en criterios de, economía, eficacia, eficiencia, imparcialidad, honradez y transparencia que resulten procedentes para obtener las mejores condiciones para el Estado, municipio o institución, según corresponda. La acreditación del o los criterios en los que se funde la justificación de las razones en las que se sustente el ejercicio de la opción, deberá constar por escrito y ser firmada por el titular de la unidad requirente de los bienes o servicios, y por el titular de la institución contratante.</w:t>
      </w:r>
    </w:p>
    <w:sectPr w:rsidR="00442DE0" w:rsidRPr="00442DE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A0F"/>
    <w:rsid w:val="000F5EE7"/>
    <w:rsid w:val="001C2063"/>
    <w:rsid w:val="00273E87"/>
    <w:rsid w:val="00396A0F"/>
    <w:rsid w:val="00397CB2"/>
    <w:rsid w:val="004419E4"/>
    <w:rsid w:val="00442DE0"/>
    <w:rsid w:val="004A4397"/>
    <w:rsid w:val="00682809"/>
    <w:rsid w:val="007A66AF"/>
    <w:rsid w:val="00842EFC"/>
    <w:rsid w:val="00897843"/>
    <w:rsid w:val="00905548"/>
    <w:rsid w:val="009713A0"/>
    <w:rsid w:val="009B65DD"/>
    <w:rsid w:val="009F6E73"/>
    <w:rsid w:val="00A1523C"/>
    <w:rsid w:val="00A356C6"/>
    <w:rsid w:val="00AA6A5F"/>
    <w:rsid w:val="00B3201E"/>
    <w:rsid w:val="00BE6A72"/>
    <w:rsid w:val="00D23FA0"/>
    <w:rsid w:val="00D667D7"/>
    <w:rsid w:val="00DC5F0A"/>
    <w:rsid w:val="00E60143"/>
    <w:rsid w:val="00E80F29"/>
    <w:rsid w:val="00FB4E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F1622"/>
  <w15:chartTrackingRefBased/>
  <w15:docId w15:val="{F9F8337C-AEFB-4707-947E-8F6644956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528</Words>
  <Characters>2910</Characters>
  <Application>Microsoft Office Word</Application>
  <DocSecurity>4</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ICAT SLP - Nóminas</dc:creator>
  <cp:keywords/>
  <dc:description/>
  <cp:lastModifiedBy>icat.compras</cp:lastModifiedBy>
  <cp:revision>2</cp:revision>
  <dcterms:created xsi:type="dcterms:W3CDTF">2025-09-10T17:12:00Z</dcterms:created>
  <dcterms:modified xsi:type="dcterms:W3CDTF">2025-09-10T17:12:00Z</dcterms:modified>
</cp:coreProperties>
</file>