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8764AA">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764AA">
        <w:rPr>
          <w:rFonts w:ascii="Arial" w:hAnsi="Arial" w:cs="Arial"/>
          <w:b/>
          <w:sz w:val="24"/>
          <w:szCs w:val="24"/>
        </w:rPr>
        <w:t>septiembre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764AA">
        <w:rPr>
          <w:rFonts w:ascii="Arial" w:hAnsi="Arial" w:cs="Arial"/>
          <w:b/>
          <w:sz w:val="24"/>
          <w:szCs w:val="24"/>
        </w:rPr>
        <w:t>novena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BF3665"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E0610B">
        <w:rPr>
          <w:rFonts w:ascii="Arial" w:hAnsi="Arial" w:cs="Arial"/>
          <w:sz w:val="24"/>
          <w:szCs w:val="24"/>
        </w:rPr>
        <w:t xml:space="preserve">El </w:t>
      </w:r>
      <w:r w:rsidR="00672FE8">
        <w:rPr>
          <w:rFonts w:ascii="Arial" w:hAnsi="Arial" w:cs="Arial"/>
          <w:sz w:val="24"/>
          <w:szCs w:val="24"/>
        </w:rPr>
        <w:t>director General de Administración Cesar Isidro Cruz</w:t>
      </w:r>
      <w:r w:rsidR="00D4742A" w:rsidRPr="00115CE3">
        <w:rPr>
          <w:rFonts w:ascii="Arial" w:hAnsi="Arial" w:cs="Arial"/>
          <w:sz w:val="24"/>
          <w:szCs w:val="24"/>
        </w:rPr>
        <w:t>,</w:t>
      </w:r>
      <w:r w:rsidRPr="00115CE3">
        <w:rPr>
          <w:rFonts w:ascii="Arial" w:hAnsi="Arial" w:cs="Arial"/>
          <w:sz w:val="24"/>
          <w:szCs w:val="24"/>
        </w:rPr>
        <w:t xml:space="preserve"> mediante oficio </w:t>
      </w:r>
      <w:r w:rsidR="00CE3272">
        <w:rPr>
          <w:rFonts w:ascii="Arial" w:hAnsi="Arial" w:cs="Arial"/>
          <w:b/>
          <w:sz w:val="24"/>
          <w:szCs w:val="24"/>
        </w:rPr>
        <w:t>DGA/DRH/03</w:t>
      </w:r>
      <w:r w:rsidR="008764AA">
        <w:rPr>
          <w:rFonts w:ascii="Arial" w:hAnsi="Arial" w:cs="Arial"/>
          <w:b/>
          <w:sz w:val="24"/>
          <w:szCs w:val="24"/>
        </w:rPr>
        <w:t>230</w:t>
      </w:r>
      <w:r w:rsidR="00D4742A" w:rsidRPr="00115CE3">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F801A9">
        <w:rPr>
          <w:rFonts w:ascii="Arial" w:hAnsi="Arial" w:cs="Arial"/>
          <w:b/>
          <w:sz w:val="24"/>
          <w:szCs w:val="24"/>
        </w:rPr>
        <w:t>total</w:t>
      </w:r>
      <w:r w:rsidR="00A15922">
        <w:rPr>
          <w:rFonts w:ascii="Arial" w:hAnsi="Arial" w:cs="Arial"/>
          <w:b/>
          <w:sz w:val="24"/>
          <w:szCs w:val="24"/>
        </w:rPr>
        <w:t xml:space="preserve"> </w:t>
      </w:r>
      <w:r w:rsidR="00E0610B">
        <w:rPr>
          <w:rFonts w:ascii="Arial" w:hAnsi="Arial" w:cs="Arial"/>
          <w:b/>
          <w:sz w:val="24"/>
          <w:szCs w:val="24"/>
        </w:rPr>
        <w:t>AR/</w:t>
      </w:r>
      <w:r w:rsidR="00CE3272">
        <w:rPr>
          <w:rFonts w:ascii="Arial" w:hAnsi="Arial" w:cs="Arial"/>
          <w:b/>
          <w:sz w:val="24"/>
          <w:szCs w:val="24"/>
        </w:rPr>
        <w:t>05</w:t>
      </w:r>
      <w:r w:rsidR="008764AA">
        <w:rPr>
          <w:rFonts w:ascii="Arial" w:hAnsi="Arial" w:cs="Arial"/>
          <w:b/>
          <w:sz w:val="24"/>
          <w:szCs w:val="24"/>
        </w:rPr>
        <w:t>3</w:t>
      </w:r>
      <w:r w:rsidR="00E0610B">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5F0249">
        <w:rPr>
          <w:rFonts w:ascii="Arial" w:hAnsi="Arial" w:cs="Arial"/>
          <w:b/>
          <w:sz w:val="24"/>
          <w:szCs w:val="24"/>
        </w:rPr>
        <w:t>3</w:t>
      </w:r>
      <w:r w:rsidR="008764AA">
        <w:rPr>
          <w:rFonts w:ascii="Arial" w:hAnsi="Arial" w:cs="Arial"/>
          <w:b/>
          <w:sz w:val="24"/>
          <w:szCs w:val="24"/>
        </w:rPr>
        <w:t>76</w:t>
      </w:r>
      <w:r w:rsidR="0053156B" w:rsidRPr="00115CE3">
        <w:rPr>
          <w:rFonts w:ascii="Arial" w:hAnsi="Arial" w:cs="Arial"/>
          <w:sz w:val="24"/>
          <w:szCs w:val="24"/>
        </w:rPr>
        <w:t>-240469825000</w:t>
      </w:r>
      <w:r w:rsidR="005F0249">
        <w:rPr>
          <w:rFonts w:ascii="Arial" w:hAnsi="Arial" w:cs="Arial"/>
          <w:b/>
          <w:sz w:val="24"/>
          <w:szCs w:val="24"/>
        </w:rPr>
        <w:t>3</w:t>
      </w:r>
      <w:r w:rsidR="008764AA">
        <w:rPr>
          <w:rFonts w:ascii="Arial" w:hAnsi="Arial" w:cs="Arial"/>
          <w:b/>
          <w:sz w:val="24"/>
          <w:szCs w:val="24"/>
        </w:rPr>
        <w:t>76</w:t>
      </w:r>
      <w:r w:rsidR="0053156B" w:rsidRPr="00115CE3">
        <w:rPr>
          <w:rFonts w:ascii="Arial" w:hAnsi="Arial" w:cs="Arial"/>
          <w:sz w:val="24"/>
          <w:szCs w:val="24"/>
        </w:rPr>
        <w:t xml:space="preserve">-2025 realizada por </w:t>
      </w:r>
      <w:r w:rsidR="005F0249">
        <w:rPr>
          <w:rFonts w:ascii="Arial" w:hAnsi="Arial" w:cs="Arial"/>
          <w:sz w:val="24"/>
          <w:szCs w:val="24"/>
        </w:rPr>
        <w:t xml:space="preserve">un usuario </w:t>
      </w:r>
      <w:r w:rsidR="008764AA" w:rsidRPr="00845C94">
        <w:rPr>
          <w:rFonts w:ascii="Arial" w:hAnsi="Arial" w:cs="Arial"/>
          <w:b/>
          <w:sz w:val="24"/>
          <w:szCs w:val="24"/>
        </w:rPr>
        <w:t>Ernesto Barajas Páez</w:t>
      </w:r>
      <w:r w:rsidR="00845C94">
        <w:rPr>
          <w:rFonts w:ascii="Arial" w:hAnsi="Arial" w:cs="Arial"/>
          <w:sz w:val="24"/>
          <w:szCs w:val="24"/>
        </w:rPr>
        <w:t xml:space="preserve"> quien manifiesta su deseo de acceder a la siguiente información:</w:t>
      </w:r>
      <w:r w:rsidR="0053156B" w:rsidRPr="00115CE3">
        <w:rPr>
          <w:rFonts w:ascii="Arial" w:hAnsi="Arial" w:cs="Arial"/>
          <w:sz w:val="24"/>
          <w:szCs w:val="24"/>
        </w:rPr>
        <w:t xml:space="preserve"> </w:t>
      </w:r>
    </w:p>
    <w:p w:rsidR="00845C94" w:rsidRPr="00845C94" w:rsidRDefault="00845C94" w:rsidP="00845C94">
      <w:pPr>
        <w:spacing w:line="240" w:lineRule="auto"/>
        <w:jc w:val="both"/>
        <w:rPr>
          <w:rFonts w:ascii="Arial" w:hAnsi="Arial" w:cs="Arial"/>
          <w:sz w:val="24"/>
          <w:szCs w:val="24"/>
        </w:rPr>
      </w:pPr>
      <w:r w:rsidRPr="00845C94">
        <w:rPr>
          <w:rFonts w:ascii="Arial" w:hAnsi="Arial" w:cs="Arial"/>
          <w:sz w:val="24"/>
          <w:szCs w:val="24"/>
        </w:rPr>
        <w:t>1.</w:t>
      </w:r>
      <w:r w:rsidRPr="00845C94">
        <w:rPr>
          <w:rFonts w:ascii="Arial" w:hAnsi="Arial" w:cs="Arial"/>
          <w:sz w:val="24"/>
          <w:szCs w:val="24"/>
        </w:rPr>
        <w:tab/>
        <w:t>Indique si la Fiscalía General del Estado cuenta con una unidad de atención especializada para la investigación y persecución de delitos cometidos contra las personas LGBTIQ+ y/o delitos motivados por la orientación sexual, identidad y/o expresión de género o características sexuales de las víctimas.</w:t>
      </w:r>
    </w:p>
    <w:p w:rsidR="00845C94" w:rsidRPr="00845C94" w:rsidRDefault="00845C94" w:rsidP="00845C94">
      <w:pPr>
        <w:spacing w:line="240" w:lineRule="auto"/>
        <w:jc w:val="both"/>
        <w:rPr>
          <w:rFonts w:ascii="Arial" w:hAnsi="Arial" w:cs="Arial"/>
          <w:sz w:val="24"/>
          <w:szCs w:val="24"/>
        </w:rPr>
      </w:pPr>
      <w:r w:rsidRPr="00845C94">
        <w:rPr>
          <w:rFonts w:ascii="Arial" w:hAnsi="Arial" w:cs="Arial"/>
          <w:sz w:val="24"/>
          <w:szCs w:val="24"/>
        </w:rPr>
        <w:t>2.</w:t>
      </w:r>
      <w:r w:rsidRPr="00845C94">
        <w:rPr>
          <w:rFonts w:ascii="Arial" w:hAnsi="Arial" w:cs="Arial"/>
          <w:sz w:val="24"/>
          <w:szCs w:val="24"/>
        </w:rPr>
        <w:tab/>
        <w:t xml:space="preserve">Indique si la Fiscalía General del Estado cuenta protocolos especializados para la atención de casos que involucren orientación sexual, identidad y/o expresión de género o características sexuales. En caso de no contar con ellos, indique cuál es el procedimiento interno para atender personas que denuncian delitos motivados por su orientación sexual, identidad y/o expresión de género o características sexuales. </w:t>
      </w:r>
    </w:p>
    <w:p w:rsidR="00845C94" w:rsidRPr="00845C94" w:rsidRDefault="00845C94" w:rsidP="00845C94">
      <w:pPr>
        <w:spacing w:line="240" w:lineRule="auto"/>
        <w:jc w:val="both"/>
        <w:rPr>
          <w:rFonts w:ascii="Arial" w:hAnsi="Arial" w:cs="Arial"/>
          <w:sz w:val="24"/>
          <w:szCs w:val="24"/>
        </w:rPr>
      </w:pPr>
      <w:r w:rsidRPr="00845C94">
        <w:rPr>
          <w:rFonts w:ascii="Arial" w:hAnsi="Arial" w:cs="Arial"/>
          <w:sz w:val="24"/>
          <w:szCs w:val="24"/>
        </w:rPr>
        <w:t>3.</w:t>
      </w:r>
      <w:r w:rsidRPr="00845C94">
        <w:rPr>
          <w:rFonts w:ascii="Arial" w:hAnsi="Arial" w:cs="Arial"/>
          <w:sz w:val="24"/>
          <w:szCs w:val="24"/>
        </w:rPr>
        <w:tab/>
        <w:t xml:space="preserve">En caso de ser afirmativa la respuesta al punto "1", indique el número de personas adscrita a dicha unidad. </w:t>
      </w:r>
    </w:p>
    <w:p w:rsidR="00845C94" w:rsidRPr="00845C94" w:rsidRDefault="00845C94" w:rsidP="00845C94">
      <w:pPr>
        <w:spacing w:line="240" w:lineRule="auto"/>
        <w:jc w:val="both"/>
        <w:rPr>
          <w:rFonts w:ascii="Arial" w:hAnsi="Arial" w:cs="Arial"/>
          <w:sz w:val="24"/>
          <w:szCs w:val="24"/>
        </w:rPr>
      </w:pPr>
      <w:r w:rsidRPr="00845C94">
        <w:rPr>
          <w:rFonts w:ascii="Arial" w:hAnsi="Arial" w:cs="Arial"/>
          <w:sz w:val="24"/>
          <w:szCs w:val="24"/>
        </w:rPr>
        <w:t>4.</w:t>
      </w:r>
      <w:r w:rsidRPr="00845C94">
        <w:rPr>
          <w:rFonts w:ascii="Arial" w:hAnsi="Arial" w:cs="Arial"/>
          <w:sz w:val="24"/>
          <w:szCs w:val="24"/>
        </w:rPr>
        <w:tab/>
        <w:t xml:space="preserve">Asimismo, indique si el personal de la Fiscalía General del Estado ha recibido charlas, talleres o capacitaciones en materia de investigación de delitos con perspectiva de diversidad sexual o charlas, talleres o capacitaciones de sensibilización sobre temas que involucren a personas LGBTIQ+. </w:t>
      </w:r>
    </w:p>
    <w:p w:rsidR="00845C94" w:rsidRPr="00845C94" w:rsidRDefault="00845C94" w:rsidP="00845C94">
      <w:pPr>
        <w:spacing w:line="240" w:lineRule="auto"/>
        <w:jc w:val="both"/>
        <w:rPr>
          <w:rFonts w:ascii="Arial" w:hAnsi="Arial" w:cs="Arial"/>
          <w:sz w:val="24"/>
          <w:szCs w:val="24"/>
        </w:rPr>
      </w:pPr>
      <w:r w:rsidRPr="00845C94">
        <w:rPr>
          <w:rFonts w:ascii="Arial" w:hAnsi="Arial" w:cs="Arial"/>
          <w:sz w:val="24"/>
          <w:szCs w:val="24"/>
        </w:rPr>
        <w:t>5.</w:t>
      </w:r>
      <w:r w:rsidRPr="00845C94">
        <w:rPr>
          <w:rFonts w:ascii="Arial" w:hAnsi="Arial" w:cs="Arial"/>
          <w:sz w:val="24"/>
          <w:szCs w:val="24"/>
        </w:rPr>
        <w:tab/>
        <w:t xml:space="preserve">En caso de ser afirmativa su respuesta al punto anterior, indique el nombre de los talleres, descripción de los contenidos impartidos, nombre de la persona facilitadora de la charla, taller o capacitación y número de horas por charla, taller o capacitación. </w:t>
      </w:r>
    </w:p>
    <w:p w:rsidR="00845C94" w:rsidRPr="00845C94" w:rsidRDefault="00845C94" w:rsidP="00845C94">
      <w:pPr>
        <w:spacing w:line="240" w:lineRule="auto"/>
        <w:jc w:val="both"/>
        <w:rPr>
          <w:rFonts w:ascii="Arial" w:hAnsi="Arial" w:cs="Arial"/>
          <w:sz w:val="24"/>
          <w:szCs w:val="24"/>
        </w:rPr>
      </w:pPr>
      <w:r w:rsidRPr="00845C94">
        <w:rPr>
          <w:rFonts w:ascii="Arial" w:hAnsi="Arial" w:cs="Arial"/>
          <w:sz w:val="24"/>
          <w:szCs w:val="24"/>
        </w:rPr>
        <w:t>6.</w:t>
      </w:r>
      <w:r w:rsidRPr="00845C94">
        <w:rPr>
          <w:rFonts w:ascii="Arial" w:hAnsi="Arial" w:cs="Arial"/>
          <w:sz w:val="24"/>
          <w:szCs w:val="24"/>
        </w:rPr>
        <w:tab/>
        <w:t xml:space="preserve">En caso de ser afirmativa su respuesta, indique el número total de personas que recibieron dicha charla, taller o capacitación. </w:t>
      </w:r>
    </w:p>
    <w:p w:rsidR="00845C94" w:rsidRPr="00115CE3" w:rsidRDefault="00845C94" w:rsidP="00845C94">
      <w:pPr>
        <w:spacing w:line="240" w:lineRule="auto"/>
        <w:jc w:val="both"/>
        <w:rPr>
          <w:rFonts w:ascii="Arial" w:hAnsi="Arial" w:cs="Arial"/>
          <w:sz w:val="24"/>
          <w:szCs w:val="24"/>
        </w:rPr>
      </w:pPr>
      <w:r w:rsidRPr="00845C94">
        <w:rPr>
          <w:rFonts w:ascii="Arial" w:hAnsi="Arial" w:cs="Arial"/>
          <w:sz w:val="24"/>
          <w:szCs w:val="24"/>
        </w:rPr>
        <w:lastRenderedPageBreak/>
        <w:t>7.</w:t>
      </w:r>
      <w:r w:rsidRPr="00845C94">
        <w:rPr>
          <w:rFonts w:ascii="Arial" w:hAnsi="Arial" w:cs="Arial"/>
          <w:sz w:val="24"/>
          <w:szCs w:val="24"/>
        </w:rPr>
        <w:tab/>
        <w:t>Indique el número total de personas que trabajan en la Fiscalía General del Estado.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E26106">
        <w:rPr>
          <w:rFonts w:ascii="Arial" w:hAnsi="Arial" w:cs="Arial"/>
          <w:sz w:val="24"/>
          <w:szCs w:val="24"/>
        </w:rPr>
        <w:t>ones XI, y</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F801A9">
        <w:rPr>
          <w:rFonts w:ascii="Arial" w:hAnsi="Arial" w:cs="Arial"/>
          <w:b/>
          <w:sz w:val="24"/>
          <w:szCs w:val="24"/>
        </w:rPr>
        <w:t>total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05</w:t>
      </w:r>
      <w:r w:rsidR="008764AA">
        <w:rPr>
          <w:rFonts w:ascii="Arial" w:hAnsi="Arial" w:cs="Arial"/>
          <w:b/>
          <w:sz w:val="24"/>
          <w:szCs w:val="24"/>
        </w:rPr>
        <w:t>3</w:t>
      </w:r>
      <w:r w:rsidR="00E26106">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F801A9">
        <w:rPr>
          <w:rFonts w:ascii="Arial" w:hAnsi="Arial" w:cs="Arial"/>
          <w:b/>
          <w:sz w:val="24"/>
          <w:szCs w:val="24"/>
        </w:rPr>
        <w:t>total</w:t>
      </w:r>
      <w:r w:rsidRPr="00115CE3">
        <w:rPr>
          <w:rFonts w:ascii="Arial" w:hAnsi="Arial" w:cs="Arial"/>
          <w:sz w:val="24"/>
          <w:szCs w:val="24"/>
        </w:rPr>
        <w:t xml:space="preserve"> número </w:t>
      </w:r>
      <w:r w:rsidR="00E26106">
        <w:rPr>
          <w:rFonts w:ascii="Arial" w:hAnsi="Arial" w:cs="Arial"/>
          <w:b/>
          <w:sz w:val="24"/>
          <w:szCs w:val="24"/>
        </w:rPr>
        <w:t>AR/</w:t>
      </w:r>
      <w:r w:rsidR="00CE3272">
        <w:rPr>
          <w:rFonts w:ascii="Arial" w:hAnsi="Arial" w:cs="Arial"/>
          <w:b/>
          <w:sz w:val="24"/>
          <w:szCs w:val="24"/>
        </w:rPr>
        <w:t>05</w:t>
      </w:r>
      <w:r w:rsidR="008764AA">
        <w:rPr>
          <w:rFonts w:ascii="Arial" w:hAnsi="Arial" w:cs="Arial"/>
          <w:b/>
          <w:sz w:val="24"/>
          <w:szCs w:val="24"/>
        </w:rPr>
        <w:t>3</w:t>
      </w:r>
      <w:r w:rsidR="00D4742A" w:rsidRPr="00115CE3">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F801A9">
        <w:rPr>
          <w:rFonts w:ascii="Arial" w:hAnsi="Arial" w:cs="Arial"/>
          <w:b/>
          <w:sz w:val="24"/>
          <w:szCs w:val="24"/>
        </w:rPr>
        <w:t>total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05</w:t>
      </w:r>
      <w:r w:rsidR="008764AA">
        <w:rPr>
          <w:rFonts w:ascii="Arial" w:hAnsi="Arial" w:cs="Arial"/>
          <w:b/>
          <w:sz w:val="24"/>
          <w:szCs w:val="24"/>
        </w:rPr>
        <w:t>3</w:t>
      </w:r>
      <w:r w:rsidR="00D4742A" w:rsidRPr="00115CE3">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E3272" w:rsidRDefault="00CE3272"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Pr="00115CE3"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Pr="00115CE3" w:rsidRDefault="005621F2" w:rsidP="005F0249">
      <w:pPr>
        <w:pStyle w:val="Prrafodelista"/>
        <w:ind w:left="1080"/>
        <w:jc w:val="both"/>
        <w:rPr>
          <w:rFonts w:ascii="Arial" w:hAnsi="Arial" w:cs="Arial"/>
          <w:b/>
        </w:rPr>
      </w:pPr>
    </w:p>
    <w:p w:rsidR="008764AA" w:rsidRPr="008764AA" w:rsidRDefault="007336C3" w:rsidP="008764AA">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lastRenderedPageBreak/>
        <w:t>Motivación.</w:t>
      </w:r>
      <w:r w:rsidR="008565C9" w:rsidRPr="00115CE3">
        <w:rPr>
          <w:rFonts w:ascii="Arial" w:hAnsi="Arial" w:cs="Arial"/>
          <w:sz w:val="24"/>
          <w:szCs w:val="24"/>
        </w:rPr>
        <w:t xml:space="preserve"> </w:t>
      </w:r>
      <w:r w:rsidR="008764AA" w:rsidRPr="008764AA">
        <w:rPr>
          <w:rFonts w:ascii="Arial" w:hAnsi="Arial" w:cs="Arial"/>
          <w:sz w:val="24"/>
          <w:szCs w:val="24"/>
        </w:rPr>
        <w:t>Si bien es verdad toda aquella persona a la cual se le eroga un recurso público, es considerada un servidor público pues presta un trabajo subordinado físico o intelectual, con las condiciones establecidas como mínimas por la ley, y se presume la existencia de la relación de servicio público entre el particular que presta un trabajo personal y la Entidad Pública que lo recibe.</w:t>
      </w:r>
    </w:p>
    <w:p w:rsidR="008764AA" w:rsidRPr="008764AA" w:rsidRDefault="008764AA" w:rsidP="008764AA">
      <w:pPr>
        <w:autoSpaceDE w:val="0"/>
        <w:autoSpaceDN w:val="0"/>
        <w:adjustRightInd w:val="0"/>
        <w:spacing w:line="240" w:lineRule="auto"/>
        <w:jc w:val="both"/>
        <w:rPr>
          <w:rFonts w:ascii="Arial" w:hAnsi="Arial" w:cs="Arial"/>
          <w:sz w:val="24"/>
          <w:szCs w:val="24"/>
        </w:rPr>
      </w:pPr>
      <w:r w:rsidRPr="008764AA">
        <w:rPr>
          <w:rFonts w:ascii="Arial" w:hAnsi="Arial" w:cs="Arial"/>
          <w:sz w:val="24"/>
          <w:szCs w:val="24"/>
        </w:rPr>
        <w:t>Pues, esta información es considerada pública con base a la calidad que ostenta como prestador de un trabajo físico o intelectual a las Entidades Públicas, y con ello establecer las directrices del desempeño de un servidor público, y permite discutir, criticar, evaluar y tener los argumentos para poder exigir al servidor público la rendición de cuentas sobre sus actos y gestión, y poder denunciar cualquier arbitrariedad al respecto, así como también poder reconocer lo que se está haciendo bien.</w:t>
      </w:r>
    </w:p>
    <w:p w:rsidR="008764AA" w:rsidRPr="008764AA" w:rsidRDefault="008764AA" w:rsidP="008764AA">
      <w:pPr>
        <w:autoSpaceDE w:val="0"/>
        <w:autoSpaceDN w:val="0"/>
        <w:adjustRightInd w:val="0"/>
        <w:spacing w:line="240" w:lineRule="auto"/>
        <w:jc w:val="both"/>
        <w:rPr>
          <w:rFonts w:ascii="Arial" w:hAnsi="Arial" w:cs="Arial"/>
          <w:sz w:val="24"/>
          <w:szCs w:val="24"/>
        </w:rPr>
      </w:pPr>
      <w:r w:rsidRPr="008764AA">
        <w:rPr>
          <w:rFonts w:ascii="Arial" w:hAnsi="Arial" w:cs="Arial"/>
          <w:sz w:val="24"/>
          <w:szCs w:val="24"/>
        </w:rPr>
        <w:t>En este sentido, a mayor vigilancia y propuesta ciudadana, los gobiernos están sujetos a tener que cumplir sus funciones con menos posibilidades de corrupción, o violación de derechos humanos.</w:t>
      </w:r>
    </w:p>
    <w:p w:rsidR="008764AA" w:rsidRPr="008764AA" w:rsidRDefault="008764AA" w:rsidP="008764AA">
      <w:pPr>
        <w:autoSpaceDE w:val="0"/>
        <w:autoSpaceDN w:val="0"/>
        <w:adjustRightInd w:val="0"/>
        <w:spacing w:line="240" w:lineRule="auto"/>
        <w:jc w:val="both"/>
        <w:rPr>
          <w:rFonts w:ascii="Arial" w:hAnsi="Arial" w:cs="Arial"/>
          <w:sz w:val="24"/>
          <w:szCs w:val="24"/>
        </w:rPr>
      </w:pPr>
      <w:r w:rsidRPr="008764AA">
        <w:rPr>
          <w:rFonts w:ascii="Arial" w:hAnsi="Arial" w:cs="Arial"/>
          <w:sz w:val="24"/>
          <w:szCs w:val="24"/>
        </w:rPr>
        <w:t>Siendo así, uno de los principales objetivos de la transparencia el poder generar confianza por parte del ciudadano hacia el sistema gubernamental, ya que al participar, escuchar, analizar y exigir a la autoridad, se genera y nutre un círculo virtuoso, es decir, si el gobierno informa a la ciudadanía sobre todas las actividades del quehacer gubernamental y como se ejercen los recursos públicos, dando como resultado una mayor confianza entre la ciudadanía, favoreciendo así el pago de impuestos, ya que los ciudadanos saben el destino y buen uso de esos recursos públicos.</w:t>
      </w:r>
    </w:p>
    <w:p w:rsidR="0080577A" w:rsidRDefault="008764AA" w:rsidP="008764AA">
      <w:pPr>
        <w:autoSpaceDE w:val="0"/>
        <w:autoSpaceDN w:val="0"/>
        <w:adjustRightInd w:val="0"/>
        <w:spacing w:line="240" w:lineRule="auto"/>
        <w:jc w:val="both"/>
        <w:rPr>
          <w:rFonts w:ascii="Arial" w:hAnsi="Arial" w:cs="Arial"/>
          <w:sz w:val="24"/>
          <w:szCs w:val="24"/>
        </w:rPr>
      </w:pPr>
      <w:r w:rsidRPr="008764AA">
        <w:rPr>
          <w:rFonts w:ascii="Arial" w:hAnsi="Arial" w:cs="Arial"/>
          <w:sz w:val="24"/>
          <w:szCs w:val="24"/>
        </w:rPr>
        <w:t>Sin embargo, la entrega de información de interés deja al descubierto de la delincuencia organizada la capacidad de reacción de un área táctico operativa de la Fiscalía General del Estado, al revelar el número de personas adscritas a la Unidad de Protección a Migrantes, Grupos Vulnerables y la diversidad sexual, Periodistas y Defensores de Derechos Humanos, y a su vez de todo el personal que integra la Fiscalía General del Estado</w:t>
      </w:r>
      <w:r w:rsidR="007359E9">
        <w:rPr>
          <w:rFonts w:ascii="Arial" w:hAnsi="Arial" w:cs="Arial"/>
          <w:sz w:val="24"/>
          <w:szCs w:val="24"/>
        </w:rPr>
        <w:t>.</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Con relación a lo anterior, el Comité contra la Desaparición Forzada de Naciones Unidas durante su visita a México a finales de 2021, recibió denuncias de desapariciones forzadas de personas LGBTI y concluyó que “dichas desapariciones habrían sido cometidas por fuerzas de seguridad, o por la delincuencia organizada con distintos niveles de connivencia de las autoridades, y en muchos casos con fines de “limpieza social” o de explotación sexual.</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 xml:space="preserve">Por lo que dar a conocer la información pública solicitada del periodo del 13 de agosto del 2024 al 13 de agosto del año 2025, el número de personas adscritas a la Unidad de Protección a Migrantes, Grupos Vulnerables y la diversidad sexual, Periodistas y Defensores de Derechos Humanos de la Fiscalía Especializada en Materia de Derechos Humanos y el número total de personas que trabajan en la Fiscalía General del Estado de San Luis Potosí. Representa un riesgo real, ya que se daría a conocer una parte porcentual de la capacidad de reacción de la </w:t>
      </w:r>
      <w:r w:rsidRPr="007359E9">
        <w:rPr>
          <w:rFonts w:ascii="Arial" w:hAnsi="Arial" w:cs="Arial"/>
          <w:sz w:val="24"/>
          <w:szCs w:val="24"/>
        </w:rPr>
        <w:lastRenderedPageBreak/>
        <w:t xml:space="preserve">Institución y la capacidad total de la capacidad de reacción de toda la Fiscalía General del Estado y del área que conoce de delitos en agravio de Migrantes, Grupos Vulnerables y la diversidad sexual, Periodistas y Defensores de Derechos Humanos, ante la delincuencia organizada, lo que causaría un perjuicio significativo al interés público pues atenta de manera directa contra la seguridad del estado, debido a que miembros de asociaciones delictivas podrían aprovechar esa información para realizar algún ataque o amenaza, ya que con esta información se obtienen datos que además permitiría sustraerse de la acción de la justicia y, por tanto, quedar impunes por la comisión de delitos por los que se les persigue, siendo esta una de las causales de actualización de la hipótesis contemplada en el numeral Décimo Octavo de los Lineamientos Generales para la clasificación y desclasificación de la información así como la elaboración de versión Pública. </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Dicho entonces que “control” es un término que se usa como sinónimos de supervisar los actos de gobierno, pero no siempre implican la obligación de los gobernantes para informar de manera periódica sobre sus decisiones y acciones. Por ello, el control y la fiscalización son mecanismos de un sistema global de rendición de cuentas, pero éste abarca además otros instrumentos como la transparencia y los informes periódicos que los gobernantes deben rendir a los ciudadanos.</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Finalmente, el concepto de “transparencia” también se usa en ocasiones como sinónimo de rendición de cuentas. La transparencia es una característica que abre la información de las organizaciones políticas y burocráticas al escrutinio público mediante sistemas de clasificación y difusión que reducen los costos de acceso a la información del gobierno. Sin embargo, la transparencia no implica un acto de rendir cuentas a un destinatario específico, sino la práctica de colocar la información en la “vitrina pública” para que los interesados puedan revisarla, analizarla y, en su caso, usarla como mecanismo para sancionar en caso de que haya anomalías en su interior. Al igual que en el caso de la fiscalización, la transparencia es sólo un instrumento de un sistema global de rendición de cuentas.</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Dicho lo anterior, para el caso en particular la difusión del periodo del 13 de agosto del 2024 al 13 de agosto del año 2025, el número de personas adscritas a la Unidad de Protección a Migrantes, Grupos Vulnerables y la diversidad sexual, Periodistas y Defensores de Derechos Humanos de la Fiscalía Especializada en Materia de Derechos Humanos y el número total de personas que trabajan en la Fiscalía General del Estado de San Luis Potosí.</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Afectarían los programas de inteligencia y contra inteligencia con los que cuenta la Fiscalía del Estado, dejando en un grave estado de vulnerabilidad a la corporación para cumplir con sus obligaciones constitucionales.</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 xml:space="preserve">No debe pasar desapercibido, que la información de interés asignaría un valor de peligrosidad en cada uno de los distintos mercados criminales, pues podría crear mecanismos en que estos se puedan especializar, agrupar o reclutar más individuos, para el desplegar acciones </w:t>
      </w:r>
      <w:r w:rsidRPr="007359E9">
        <w:rPr>
          <w:rFonts w:ascii="Arial" w:hAnsi="Arial" w:cs="Arial"/>
          <w:sz w:val="24"/>
          <w:szCs w:val="24"/>
        </w:rPr>
        <w:lastRenderedPageBreak/>
        <w:t>antisociales, que conllevan a una reestructura administrativa y operativa, ante la comisión de delitos.</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No pasando desapercibido, que la entrega de la información que se derive de esta traería como consecuencias de la individualización de casos y los potenciales riesgos que esto implica son sumamente relevantes, ya que de materializarse pueden propiciar la revictimización, la comisión de nuevos delitos, afectar los flujos de información y entorpecer la investigación (y otros proyectos similares, que son un insumo importante para la investigación criminal), afectar los procesos de procuración de justicia, incrementar la desconfianza de la población en las autoridades de procuración de justicia y generar incentivos negativos para la denuncia de futuros delitos.</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Esto cobra razón, pues entre las atribuciones conferidas a dicha Fiscalía se encuentra, el ejercicio de investigar, perseguir y ejercer sus atribuciones en los delitos contemplados en el Código Penal vigente y aplicable a esta Fiscalía General del Estado, incluso en grado de tentativa.</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Naturaleza que hace perfectamente identificables a los servidores públicos, lo cual, les puede inhibir por el grado de exposición y conforme a las secuelas que cada una tengan, por lo que se les puede afectar de una manera incalculable, por ejemplo, en el sentido de que desistan de sus investigaciones, sea por presión social o por amenazas, lo que no solo conllevaría a la impunidad, sino a que se incrementen los delitos en el corto, mediano y largo plazo.</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De manera específica, su publicación afectaría en el corto plazo, en al menos tres esferas:</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w:t>
      </w:r>
      <w:r w:rsidRPr="007359E9">
        <w:rPr>
          <w:rFonts w:ascii="Arial" w:hAnsi="Arial" w:cs="Arial"/>
          <w:sz w:val="24"/>
          <w:szCs w:val="24"/>
        </w:rPr>
        <w:tab/>
        <w:t>Individual: vulnera la integridad física y mental de las personas involucradas (víctimas, presunto responsable).</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w:t>
      </w:r>
      <w:r w:rsidRPr="007359E9">
        <w:rPr>
          <w:rFonts w:ascii="Arial" w:hAnsi="Arial" w:cs="Arial"/>
          <w:sz w:val="24"/>
          <w:szCs w:val="24"/>
        </w:rPr>
        <w:tab/>
        <w:t>Investigación: puede afectar los procesos de investigación criminal.</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w:t>
      </w:r>
      <w:r w:rsidRPr="007359E9">
        <w:rPr>
          <w:rFonts w:ascii="Arial" w:hAnsi="Arial" w:cs="Arial"/>
          <w:sz w:val="24"/>
          <w:szCs w:val="24"/>
        </w:rPr>
        <w:tab/>
        <w:t>Institucional: pone en riesgo la procuración de justicia.</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 xml:space="preserve">Este riesgo puede ser un incentivo importante para no denunciar o para desistir en un proceso de denuncia ya iniciado. Recordemos que en México durante los años 2023 la cifra negra (delitos no denunciados o denunciados que no derivaron en carpeta de investigación) es de 92.9%, y entre las razones para no denunciar se encuentra la desconfianza en la autoridad en el 12.7% de las ocasiones, como lo señala la Encuesta Nacional de Victimización y Percepción sobre Seguridad Pública (ENVIPE) 2024, realizada por el INEGI en su Comunicado de Prensa No. 562/24 de 19 de </w:t>
      </w:r>
      <w:r>
        <w:rPr>
          <w:rFonts w:ascii="Arial" w:hAnsi="Arial" w:cs="Arial"/>
          <w:sz w:val="24"/>
          <w:szCs w:val="24"/>
        </w:rPr>
        <w:t>s</w:t>
      </w:r>
      <w:r w:rsidRPr="007359E9">
        <w:rPr>
          <w:rFonts w:ascii="Arial" w:hAnsi="Arial" w:cs="Arial"/>
          <w:sz w:val="24"/>
          <w:szCs w:val="24"/>
        </w:rPr>
        <w:t>eptiembre de 2024.</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 xml:space="preserve">Lo anterior cobra lógica, pues, como lo manifiesta el Lineamiento Trigésimo Segundo la normativa que exime el acceso a la información, lo contemplan los artículos 93, 93 bis, 99, </w:t>
      </w:r>
      <w:r w:rsidRPr="007359E9">
        <w:rPr>
          <w:rFonts w:ascii="Arial" w:hAnsi="Arial" w:cs="Arial"/>
          <w:sz w:val="24"/>
          <w:szCs w:val="24"/>
        </w:rPr>
        <w:lastRenderedPageBreak/>
        <w:t>fracciones I y III de la Ley del Sistema Estatal de Seguridad Pública, así como en observancia a la Controversia Constitucional número 325/2019.</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Bajo el preámbulo de ser información generada por esta autoridad en ejercicio de sus funciones y con recursos públicos, es, desde luego, información gubernamental a la que todos los ciudadanos deberían tener acceso. No obstante, al ser información que de forma paralela engloba a investigaciones de tipo criminal, se actualiza la excepción que dicta que parte de esta información puede ser reservada por las autoridades para que no sea conocida por el público hasta pasado un lapso de tiempo y bajo ciertas modalidades, ya que exponer determinados datos de manera anticipada puede llevar al fracaso las investigaciones que persiguen delitos.</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Cabe resaltar que es muy comprensible que las autoridades encargadas de investigar hechos ilícitos guarden sigilo y secrecía sobre sus actuaciones, pues no debe perderse de vista que, en muchos casos, el éxito de las investigaciones de este tipo depende de que sean oportunas y discretamente conducidas, a fin de que no se destruyan los indicios del delito y se evadan responsabilidades. Sin embargo, algunas investigaciones penales demandan un conocimiento público cuando se relacionan con hechos relevantes para la vida nacional, como puede ser la persecución de delitos de corrupción o de delincuencia organizada, y exigen que las autoridades rindan cuentas de manera constante sobre los avances que esas investigaciones presentan.</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 xml:space="preserve">De lo anteriormente citado, robustece que la revelación de información del personal que tiene a su cargo el desarrollo o ejercicio de la función pública en materia de seguridad pública y procuración de justicia, pondría en conocimiento de la sociedad y más grave aún de los grupos criminales una parte porcentual de la capacidad de reacción de esta Institución, dejando en estado de indefensión a la sociedad y todos los ejes participes para el cumplimiento de la ley en toda su expresión. Daño que resultaría de imposible reparación, y en la que el Estado tiene la calidad de velador de un bien jurídico tutelado. </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 xml:space="preserve">Concierne señalar que la Fiscalía General del Estado, conoce de los asuntos conexos o relacionados con el ámbito de su competencia, cuidando su integridad y no fragmentación, aun aquellos que versen sobre delincuencia organizada; establece planes y programas para detectar, informar y fomentar la cultura de la denuncia de cualquier hechos delictivo; diseña e </w:t>
      </w:r>
      <w:proofErr w:type="spellStart"/>
      <w:r w:rsidRPr="007359E9">
        <w:rPr>
          <w:rFonts w:ascii="Arial" w:hAnsi="Arial" w:cs="Arial"/>
          <w:sz w:val="24"/>
          <w:szCs w:val="24"/>
        </w:rPr>
        <w:t>implementa</w:t>
      </w:r>
      <w:proofErr w:type="spellEnd"/>
      <w:r w:rsidRPr="007359E9">
        <w:rPr>
          <w:rFonts w:ascii="Arial" w:hAnsi="Arial" w:cs="Arial"/>
          <w:sz w:val="24"/>
          <w:szCs w:val="24"/>
        </w:rPr>
        <w:t xml:space="preserve"> mecanismos de colaboración con autoridades que ejercen facultades de fiscalización, con el fin de fortalecer el desarrollo de sus investigaciones, y tramita.</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 xml:space="preserve">Por su alta complejidad, importancia y trascendencia, relevancia o especialización, esta información podría permitir a los miembros de la delincuencia organizada identificar no solo a los servidores públicos, sino sus actividades concretas, hecho delictivo e incluso la efectividad de la amenaza real y eminente en el entorno social, desde la perspectiva de la Procuración de Justicia, como una expresión de la impericia de la delincuencia organizada y sus alcances </w:t>
      </w:r>
      <w:r w:rsidRPr="007359E9">
        <w:rPr>
          <w:rFonts w:ascii="Arial" w:hAnsi="Arial" w:cs="Arial"/>
          <w:sz w:val="24"/>
          <w:szCs w:val="24"/>
        </w:rPr>
        <w:lastRenderedPageBreak/>
        <w:t>hacia la capacidad de respuesta ante las acciones realizadas para abatir actos delictivos, lo que podría poner en riesgo las acciones concretas de la persecución delictiva, tal como lo provee la Suprema Corte de Justicia de la Nación, en su resolución emitida el 12 de mayo de 2022, dentro de la controversia constitucional número 325/2019:</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“b) con dicha información se revelarían a detalle las características funcionales del personal y con ello, su organización para el cumplimiento de sus funciones;”</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En cuanto al inciso C) de la misma resolución en comento: “c) los Ministerios Públicos de la Federación están sujetos a cambios de adscripción”. De igual forma los agentes del Ministerio Público, además de los Policías, Peritos, inclusive el personal de administrativo y de apoyo, están sujetos a cambios de adscripción, acorde a las necesidades del servicio.</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En concreto advierto que los rubros que se reservan, de manera razonable genera vulnerabilidad a la Seguridad Pública y la Paz social de la entidad. Así como a las acciones de procuración de justicia en materia de investigación y persecución de un delito de modo que entorpece diligencias tendientes al cumplimiento de mandamientos judiciales dentro de su competencia, lo que resulta en detrimento de la seguridad pública y la conducción jurídica de investigaciones y el ejercicio de la acción penal, funciones preponderantes de la fiscalía General del Estado.</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La Suprema Corte de Justicia contempla, en su resolución emitida el 12 de mayo de 2022, dentro de la Controversia Constitucional número 325/2019, que “la entrega de información a un particular referente al nombre y cargo de todo el personal que realiza tareas sustantivas de investigación y persecución de delitos, podría comprometer el ejercicio de sus facultades constitucionales y, con ello, la seguridad pública del país, en virtud de que: a) la información podría ser aprovechada por los grupos criminales para conocer la capacidad de reacción de la FGR…” Partiendo de esta premisa, se estima que a través de la información correspondiente a “número de personas adscritas” a la Unidad de Protección a Migrantes, Grupos Vulnerables y la diversidad sexual, Periodistas y Defensores de Derechos Humanos y de la generalidad de la propia Fiscalía General del Estado, revela el número total de personal vinculado en las labores de procuración de justicia de un parea específica y de un porcentaje del total del personal asignado a las áreas táctico operativas,  por lo cual resultaría en la revelación concreta de la capacidad de respuesta y capacidad operativa de la Fiscalía, así como establecería una brecha en la que el servidor público pueda ser corrompido para llevar sus actuaciones a directrices en donde no se garantice el Estado de Derecho, lo cual sería aprovechada por la delincuencia organizada, para impedir las acciones de procuración de justicia poniendo en riesgo, la seguridad pública del estado, el orden público, la seguridad de la institución, la seguridad y la vida de los propios servidores públicos, y en casos extremos la seguridad y vida de la ciudadanía, derivado de la posibilidad de que se generen enfrentamientos abiertamente violentos causando daños colaterales, además de la afectación directa en los procesos de investigación y persecución de los actos delictivos.</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lastRenderedPageBreak/>
        <w:t xml:space="preserve">Enfrentamientos que pudieran generarse dado que las acciones de procuración de justicia estarían afectando directamente en la comisión de actos ilícitos por parte de los grupos delincuenciales. Sirva de ejemplo lo manifestado por la Red Sin Violencia LGBTI en su publicación Situación de homicidios de personas lesbianas, </w:t>
      </w:r>
      <w:proofErr w:type="spellStart"/>
      <w:r w:rsidRPr="007359E9">
        <w:rPr>
          <w:rFonts w:ascii="Arial" w:hAnsi="Arial" w:cs="Arial"/>
          <w:sz w:val="24"/>
          <w:szCs w:val="24"/>
        </w:rPr>
        <w:t>gays</w:t>
      </w:r>
      <w:proofErr w:type="spellEnd"/>
      <w:r w:rsidRPr="007359E9">
        <w:rPr>
          <w:rFonts w:ascii="Arial" w:hAnsi="Arial" w:cs="Arial"/>
          <w:sz w:val="24"/>
          <w:szCs w:val="24"/>
        </w:rPr>
        <w:t xml:space="preserve">, bisexuales y trans en países de América Latina y el Caribe en 2022: “En algunos casos, la orientación sexual o identidad de género de las víctimas (junto a otras características) tiene un papel importante en su selección e instrumentalización por parte de grupos criminales. Esto ocurre especialmente en casos de mujeres lesbianas y bisexuales o de mujeres trans que son utilizadas por grupos de delincuencia organizada para cumplir con tareas de apoyo, lo que las expone a represalias si se niegan a hacerlo o a ser atacadas por grupos contrarios”  </w:t>
      </w:r>
    </w:p>
    <w:p w:rsidR="007359E9" w:rsidRPr="007359E9"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El objeto de la clasificación es preservar la capacidad y con ello se pudiera inferir la fuerza de la corporación, sus funciones operativas en el desarrollo de las competencias de la Fiscalía General del Estado.</w:t>
      </w:r>
    </w:p>
    <w:p w:rsidR="007359E9" w:rsidRPr="009E1D25" w:rsidRDefault="007359E9" w:rsidP="007359E9">
      <w:pPr>
        <w:autoSpaceDE w:val="0"/>
        <w:autoSpaceDN w:val="0"/>
        <w:adjustRightInd w:val="0"/>
        <w:spacing w:line="240" w:lineRule="auto"/>
        <w:jc w:val="both"/>
        <w:rPr>
          <w:rFonts w:ascii="Arial" w:hAnsi="Arial" w:cs="Arial"/>
          <w:sz w:val="24"/>
          <w:szCs w:val="24"/>
        </w:rPr>
      </w:pPr>
      <w:r w:rsidRPr="007359E9">
        <w:rPr>
          <w:rFonts w:ascii="Arial" w:hAnsi="Arial" w:cs="Arial"/>
          <w:sz w:val="24"/>
          <w:szCs w:val="24"/>
        </w:rPr>
        <w:t>Consecuentemente, se busca proteger los preceptos normativos que establecen que, para el ejercicio del derecho humano a la seguridad pública, la prevención, investigación y persecución de los delitos que son materia de su competencia.</w:t>
      </w: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XI y 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9E1D25">
        <w:rPr>
          <w:rFonts w:ascii="Arial" w:hAnsi="Arial" w:cs="Arial"/>
          <w:sz w:val="24"/>
          <w:szCs w:val="24"/>
        </w:rPr>
        <w:t>primero</w:t>
      </w:r>
      <w:r w:rsidR="005F0249">
        <w:rPr>
          <w:rFonts w:ascii="Arial" w:hAnsi="Arial" w:cs="Arial"/>
          <w:sz w:val="24"/>
          <w:szCs w:val="24"/>
        </w:rPr>
        <w:t>,</w:t>
      </w:r>
      <w:r w:rsidR="009E1D25">
        <w:rPr>
          <w:rFonts w:ascii="Arial" w:hAnsi="Arial" w:cs="Arial"/>
          <w:sz w:val="24"/>
          <w:szCs w:val="24"/>
        </w:rPr>
        <w:t xml:space="preserve"> y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lastRenderedPageBreak/>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81523E" w:rsidRDefault="0081523E"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el </w:t>
      </w:r>
      <w:r w:rsidR="0080577A">
        <w:rPr>
          <w:rFonts w:ascii="Arial" w:hAnsi="Arial" w:cs="Arial"/>
          <w:sz w:val="24"/>
          <w:szCs w:val="24"/>
        </w:rPr>
        <w:t xml:space="preserve">director General de Administración Cesar Isidro Cruz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w:t>
      </w:r>
      <w:r w:rsidR="00263864">
        <w:rPr>
          <w:rFonts w:ascii="Arial" w:hAnsi="Arial" w:cs="Arial"/>
          <w:sz w:val="24"/>
          <w:szCs w:val="24"/>
        </w:rPr>
        <w:lastRenderedPageBreak/>
        <w:t>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P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b/>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80577A" w:rsidRDefault="00427CA6" w:rsidP="0080577A">
      <w:pPr>
        <w:pStyle w:val="Default"/>
        <w:jc w:val="both"/>
        <w:rPr>
          <w:sz w:val="23"/>
          <w:szCs w:val="23"/>
        </w:rPr>
      </w:pPr>
      <w:r>
        <w:rPr>
          <w:sz w:val="23"/>
          <w:szCs w:val="23"/>
        </w:rPr>
        <w:lastRenderedPageBreak/>
        <w:t>Nos encontramos ante una reserva total.</w:t>
      </w:r>
    </w:p>
    <w:p w:rsidR="003474AB" w:rsidRPr="008169B6" w:rsidRDefault="003474AB" w:rsidP="003474AB">
      <w:pPr>
        <w:jc w:val="both"/>
        <w:rPr>
          <w:rFonts w:ascii="Arial" w:eastAsia="Times New Roman" w:hAnsi="Arial" w:cs="Arial"/>
          <w:sz w:val="24"/>
          <w:szCs w:val="24"/>
          <w:lang w:eastAsia="es-ES"/>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427CA6">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27CA6">
        <w:rPr>
          <w:rFonts w:ascii="Arial" w:eastAsia="Times New Roman" w:hAnsi="Arial" w:cs="Arial"/>
          <w:b/>
          <w:sz w:val="24"/>
          <w:szCs w:val="24"/>
        </w:rPr>
        <w:t>septiembre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Pr="00A15922" w:rsidRDefault="00FF1B19" w:rsidP="005F0249">
      <w:pPr>
        <w:spacing w:line="240" w:lineRule="auto"/>
        <w:jc w:val="both"/>
        <w:rPr>
          <w:rFonts w:ascii="Arial" w:hAnsi="Arial" w:cs="Arial"/>
          <w:b/>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F801A9">
        <w:rPr>
          <w:rFonts w:ascii="Arial" w:hAnsi="Arial" w:cs="Arial"/>
          <w:b/>
          <w:sz w:val="24"/>
          <w:szCs w:val="24"/>
        </w:rPr>
        <w:t>total</w:t>
      </w:r>
      <w:r w:rsidR="00A15922">
        <w:rPr>
          <w:rFonts w:ascii="Arial" w:hAnsi="Arial" w:cs="Arial"/>
          <w:b/>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80577A">
        <w:rPr>
          <w:rFonts w:ascii="Arial" w:hAnsi="Arial" w:cs="Arial"/>
          <w:b/>
          <w:sz w:val="24"/>
          <w:szCs w:val="24"/>
        </w:rPr>
        <w:t>5</w:t>
      </w:r>
      <w:r w:rsidR="00427CA6">
        <w:rPr>
          <w:rFonts w:ascii="Arial" w:hAnsi="Arial" w:cs="Arial"/>
          <w:b/>
          <w:sz w:val="24"/>
          <w:szCs w:val="24"/>
        </w:rPr>
        <w:t>3</w:t>
      </w:r>
      <w:r w:rsidR="00D4742A" w:rsidRPr="00115CE3">
        <w:rPr>
          <w:rFonts w:ascii="Arial" w:hAnsi="Arial" w:cs="Arial"/>
          <w:b/>
          <w:sz w:val="24"/>
          <w:szCs w:val="24"/>
        </w:rPr>
        <w:t>/2025</w:t>
      </w:r>
      <w:r w:rsidR="00D4742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Pr="00115CE3"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al</w:t>
      </w:r>
      <w:r w:rsidR="00E26106">
        <w:rPr>
          <w:rFonts w:ascii="Arial" w:hAnsi="Arial" w:cs="Arial"/>
          <w:sz w:val="24"/>
          <w:szCs w:val="24"/>
        </w:rPr>
        <w:t xml:space="preserve">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a</w:t>
      </w:r>
      <w:r w:rsidR="00375ED0">
        <w:rPr>
          <w:rFonts w:ascii="Arial" w:hAnsi="Arial" w:cs="Arial"/>
          <w:sz w:val="24"/>
          <w:szCs w:val="24"/>
        </w:rPr>
        <w:t xml:space="preserve">l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5F0249">
      <w:pPr>
        <w:spacing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F801A9">
        <w:rPr>
          <w:rFonts w:ascii="Arial" w:hAnsi="Arial" w:cs="Arial"/>
          <w:b/>
          <w:sz w:val="24"/>
          <w:szCs w:val="24"/>
        </w:rPr>
        <w:t xml:space="preserve">total </w:t>
      </w:r>
      <w:r w:rsidRPr="00115CE3">
        <w:rPr>
          <w:rFonts w:ascii="Arial" w:hAnsi="Arial" w:cs="Arial"/>
          <w:sz w:val="24"/>
          <w:szCs w:val="24"/>
        </w:rPr>
        <w:t xml:space="preserve">número </w:t>
      </w:r>
      <w:r w:rsidR="00375ED0">
        <w:rPr>
          <w:rFonts w:ascii="Arial" w:hAnsi="Arial" w:cs="Arial"/>
          <w:b/>
          <w:sz w:val="24"/>
          <w:szCs w:val="24"/>
        </w:rPr>
        <w:t>AR/</w:t>
      </w:r>
      <w:r w:rsidR="0080577A">
        <w:rPr>
          <w:rFonts w:ascii="Arial" w:hAnsi="Arial" w:cs="Arial"/>
          <w:b/>
          <w:sz w:val="24"/>
          <w:szCs w:val="24"/>
        </w:rPr>
        <w:t>5</w:t>
      </w:r>
      <w:r w:rsidR="00427CA6">
        <w:rPr>
          <w:rFonts w:ascii="Arial" w:hAnsi="Arial" w:cs="Arial"/>
          <w:b/>
          <w:sz w:val="24"/>
          <w:szCs w:val="24"/>
        </w:rPr>
        <w:t>3</w:t>
      </w:r>
      <w:r w:rsidR="00D4742A" w:rsidRPr="00115CE3">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375ED0">
        <w:rPr>
          <w:rFonts w:ascii="Arial" w:hAnsi="Arial" w:cs="Arial"/>
          <w:sz w:val="24"/>
          <w:szCs w:val="24"/>
        </w:rPr>
        <w:t xml:space="preserve">el </w:t>
      </w:r>
      <w:r w:rsidR="00672FE8">
        <w:rPr>
          <w:rFonts w:ascii="Arial" w:hAnsi="Arial" w:cs="Arial"/>
          <w:sz w:val="24"/>
          <w:szCs w:val="24"/>
        </w:rPr>
        <w:t>director General de Administración Cesar Isidro Cruz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t xml:space="preserve">SEGUNDO. </w:t>
      </w:r>
      <w:r w:rsidR="00845C94">
        <w:rPr>
          <w:rFonts w:ascii="Arial" w:hAnsi="Arial" w:cs="Arial"/>
          <w:sz w:val="24"/>
          <w:szCs w:val="24"/>
        </w:rPr>
        <w:t>El director General de Administración Cesar Isidro Cruz</w:t>
      </w:r>
      <w:r w:rsidR="00845C94"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III de la presente resolución.</w:t>
      </w: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t xml:space="preserve">TERCERO. </w:t>
      </w:r>
      <w:bookmarkEnd w:id="1"/>
      <w:r w:rsidR="00845C94" w:rsidRPr="00115CE3">
        <w:rPr>
          <w:rFonts w:ascii="Arial" w:hAnsi="Arial" w:cs="Arial"/>
          <w:sz w:val="24"/>
          <w:szCs w:val="24"/>
        </w:rPr>
        <w:t xml:space="preserve">Se instruye </w:t>
      </w:r>
      <w:r w:rsidR="00845C94">
        <w:rPr>
          <w:rFonts w:ascii="Arial" w:hAnsi="Arial" w:cs="Arial"/>
          <w:sz w:val="24"/>
          <w:szCs w:val="24"/>
        </w:rPr>
        <w:t>al director General de Administración Cesar Isidro Cruz</w:t>
      </w:r>
      <w:r w:rsidR="00845C94" w:rsidRPr="00115CE3">
        <w:rPr>
          <w:rFonts w:ascii="Arial" w:hAnsi="Arial" w:cs="Arial"/>
          <w:sz w:val="24"/>
          <w:szCs w:val="24"/>
        </w:rPr>
        <w:t xml:space="preserve">, para que dé cumplimiento a los efectos de la presente resolución establecidos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V.</w:t>
      </w:r>
    </w:p>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lastRenderedPageBreak/>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921930">
        <w:rPr>
          <w:rFonts w:ascii="Arial" w:hAnsi="Arial" w:cs="Arial"/>
          <w:b/>
          <w:sz w:val="24"/>
          <w:szCs w:val="24"/>
        </w:rPr>
        <w:t>61</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4A6229" w:rsidRDefault="004A6229" w:rsidP="00EF1D58">
      <w:pPr>
        <w:spacing w:after="0"/>
        <w:jc w:val="both"/>
        <w:rPr>
          <w:rFonts w:ascii="Arial" w:hAnsi="Arial" w:cs="Arial"/>
          <w:sz w:val="24"/>
          <w:szCs w:val="24"/>
          <w:highlight w:val="yellow"/>
        </w:rPr>
      </w:pPr>
    </w:p>
    <w:p w:rsidR="00845C94" w:rsidRDefault="00845C94" w:rsidP="00EF1D58">
      <w:pPr>
        <w:spacing w:after="0"/>
        <w:jc w:val="both"/>
        <w:rPr>
          <w:rFonts w:ascii="Arial" w:hAnsi="Arial" w:cs="Arial"/>
          <w:sz w:val="24"/>
          <w:szCs w:val="24"/>
          <w:highlight w:val="yellow"/>
        </w:rPr>
      </w:pPr>
    </w:p>
    <w:p w:rsidR="00845C94" w:rsidRPr="00115CE3" w:rsidRDefault="00845C94"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845C94" w:rsidRDefault="00845C94" w:rsidP="00EF1D58">
      <w:pPr>
        <w:tabs>
          <w:tab w:val="left" w:pos="8998"/>
          <w:tab w:val="left" w:pos="9932"/>
        </w:tabs>
        <w:spacing w:before="20" w:after="0"/>
        <w:rPr>
          <w:rFonts w:ascii="Arial" w:eastAsia="Arial" w:hAnsi="Arial" w:cs="Arial"/>
          <w:b/>
          <w:sz w:val="24"/>
          <w:szCs w:val="24"/>
        </w:rPr>
      </w:pPr>
    </w:p>
    <w:p w:rsidR="00845C94" w:rsidRDefault="00845C94" w:rsidP="00EF1D58">
      <w:pPr>
        <w:tabs>
          <w:tab w:val="left" w:pos="8998"/>
          <w:tab w:val="left" w:pos="9932"/>
        </w:tabs>
        <w:spacing w:before="20" w:after="0"/>
        <w:rPr>
          <w:rFonts w:ascii="Arial" w:eastAsia="Arial" w:hAnsi="Arial" w:cs="Arial"/>
          <w:b/>
          <w:sz w:val="24"/>
          <w:szCs w:val="24"/>
        </w:rPr>
      </w:pPr>
    </w:p>
    <w:p w:rsidR="00845C94" w:rsidRDefault="00845C94"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845C94" w:rsidRDefault="00845C94" w:rsidP="00EF1D58">
      <w:pPr>
        <w:spacing w:after="0"/>
        <w:rPr>
          <w:rFonts w:ascii="Arial" w:hAnsi="Arial" w:cs="Arial"/>
          <w:b/>
          <w:sz w:val="24"/>
          <w:szCs w:val="24"/>
        </w:rPr>
      </w:pPr>
    </w:p>
    <w:p w:rsidR="00845C94" w:rsidRDefault="00845C94" w:rsidP="00EF1D58">
      <w:pPr>
        <w:spacing w:after="0"/>
        <w:rPr>
          <w:rFonts w:ascii="Arial" w:hAnsi="Arial" w:cs="Arial"/>
          <w:b/>
          <w:sz w:val="24"/>
          <w:szCs w:val="24"/>
        </w:rPr>
      </w:pPr>
    </w:p>
    <w:p w:rsidR="00845C94" w:rsidRDefault="00845C94"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A1553" w:rsidRDefault="00DA1553">
      <w:r>
        <w:separator/>
      </w:r>
    </w:p>
  </w:endnote>
  <w:endnote w:type="continuationSeparator" w:id="0">
    <w:p w:rsidR="00DA1553" w:rsidRDefault="00DA15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78B7" w:rsidRDefault="003978B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78B7" w:rsidRDefault="003978B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A1553" w:rsidRDefault="00DA1553">
      <w:r>
        <w:separator/>
      </w:r>
    </w:p>
  </w:footnote>
  <w:footnote w:type="continuationSeparator" w:id="0">
    <w:p w:rsidR="00DA1553" w:rsidRDefault="00DA15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78B7" w:rsidRDefault="003978B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0920047"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3978B7">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0920048"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764AA">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672FE8">
                            <w:rPr>
                              <w:rFonts w:ascii="Arial" w:hAnsi="Arial" w:cs="Arial"/>
                              <w:b/>
                              <w:color w:val="FFFFFF" w:themeColor="background1"/>
                              <w:sz w:val="18"/>
                              <w:szCs w:val="18"/>
                              <w:lang w:val="es-ES"/>
                            </w:rPr>
                            <w:t>5</w:t>
                          </w:r>
                          <w:r w:rsidR="008764AA">
                            <w:rPr>
                              <w:rFonts w:ascii="Arial" w:hAnsi="Arial" w:cs="Arial"/>
                              <w:b/>
                              <w:color w:val="FFFFFF" w:themeColor="background1"/>
                              <w:sz w:val="18"/>
                              <w:szCs w:val="18"/>
                              <w:lang w:val="es-ES"/>
                            </w:rPr>
                            <w:t>3</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764AA">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672FE8">
                      <w:rPr>
                        <w:rFonts w:ascii="Arial" w:hAnsi="Arial" w:cs="Arial"/>
                        <w:b/>
                        <w:color w:val="FFFFFF" w:themeColor="background1"/>
                        <w:sz w:val="18"/>
                        <w:szCs w:val="18"/>
                        <w:lang w:val="es-ES"/>
                      </w:rPr>
                      <w:t>5</w:t>
                    </w:r>
                    <w:r w:rsidR="008764AA">
                      <w:rPr>
                        <w:rFonts w:ascii="Arial" w:hAnsi="Arial" w:cs="Arial"/>
                        <w:b/>
                        <w:color w:val="FFFFFF" w:themeColor="background1"/>
                        <w:sz w:val="18"/>
                        <w:szCs w:val="18"/>
                        <w:lang w:val="es-ES"/>
                      </w:rPr>
                      <w:t>3</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78B7" w:rsidRDefault="003978B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0920046"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978B7"/>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45C94"/>
    <w:rsid w:val="00850661"/>
    <w:rsid w:val="00854CCF"/>
    <w:rsid w:val="008565C9"/>
    <w:rsid w:val="0086255E"/>
    <w:rsid w:val="0086360B"/>
    <w:rsid w:val="008669B5"/>
    <w:rsid w:val="008669E7"/>
    <w:rsid w:val="00870789"/>
    <w:rsid w:val="00871464"/>
    <w:rsid w:val="0087353B"/>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E3272"/>
    <w:rsid w:val="00CF11DE"/>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34BA"/>
    <w:rsid w:val="00D550D0"/>
    <w:rsid w:val="00D60FCE"/>
    <w:rsid w:val="00D73BF1"/>
    <w:rsid w:val="00D77002"/>
    <w:rsid w:val="00D7765F"/>
    <w:rsid w:val="00D812EA"/>
    <w:rsid w:val="00D843EF"/>
    <w:rsid w:val="00D855D5"/>
    <w:rsid w:val="00D90F51"/>
    <w:rsid w:val="00D93F6F"/>
    <w:rsid w:val="00D951F0"/>
    <w:rsid w:val="00D96174"/>
    <w:rsid w:val="00DA1553"/>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01A9"/>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7721D7-BF8C-44D8-A483-F5921E84C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12</Pages>
  <Words>4982</Words>
  <Characters>27404</Characters>
  <Application>Microsoft Office Word</Application>
  <DocSecurity>0</DocSecurity>
  <Lines>228</Lines>
  <Paragraphs>64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11</cp:revision>
  <cp:lastPrinted>2025-07-07T16:07:00Z</cp:lastPrinted>
  <dcterms:created xsi:type="dcterms:W3CDTF">2025-08-05T17:53:00Z</dcterms:created>
  <dcterms:modified xsi:type="dcterms:W3CDTF">2025-09-18T16:58:00Z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