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TRIBUNAL</w:t>
            </w:r>
            <w:r>
              <w:rPr>
                <w:rFonts w:ascii="Arial" w:eastAsia="Times New Roman" w:hAnsi="Arial" w:cs="Arial"/>
                <w:b/>
                <w:bCs/>
                <w:color w:val="000000"/>
                <w:sz w:val="24"/>
                <w:szCs w:val="24"/>
                <w:lang w:eastAsia="es-ES"/>
              </w:rPr>
              <w:t xml:space="preserve"> ESTATAL DE JUSTICIA ADMINISTRATIVA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 xml:space="preserve">EXP. </w:t>
            </w:r>
            <w:r w:rsidR="0041217A">
              <w:rPr>
                <w:rFonts w:ascii="Arial" w:eastAsia="Times New Roman" w:hAnsi="Arial" w:cs="Arial"/>
                <w:bCs/>
                <w:color w:val="000000"/>
                <w:sz w:val="24"/>
                <w:szCs w:val="24"/>
                <w:lang w:eastAsia="es-ES"/>
              </w:rPr>
              <w:t>1</w:t>
            </w:r>
            <w:r w:rsidR="00D1695B">
              <w:rPr>
                <w:rFonts w:ascii="Arial" w:eastAsia="Times New Roman" w:hAnsi="Arial" w:cs="Arial"/>
                <w:bCs/>
                <w:color w:val="000000"/>
                <w:sz w:val="24"/>
                <w:szCs w:val="24"/>
                <w:lang w:eastAsia="es-ES"/>
              </w:rPr>
              <w:t>81</w:t>
            </w:r>
            <w:r w:rsidR="00D04803">
              <w:rPr>
                <w:rFonts w:ascii="Arial" w:eastAsia="Times New Roman" w:hAnsi="Arial" w:cs="Arial"/>
                <w:color w:val="000000"/>
                <w:sz w:val="24"/>
                <w:szCs w:val="24"/>
                <w:lang w:eastAsia="es-ES"/>
              </w:rPr>
              <w:t>/20</w:t>
            </w:r>
            <w:r w:rsidR="005569C9">
              <w:rPr>
                <w:rFonts w:ascii="Arial" w:eastAsia="Times New Roman" w:hAnsi="Arial" w:cs="Arial"/>
                <w:color w:val="000000"/>
                <w:sz w:val="24"/>
                <w:szCs w:val="24"/>
                <w:lang w:eastAsia="es-ES"/>
              </w:rPr>
              <w:t>2</w:t>
            </w:r>
            <w:r w:rsidR="004004B2">
              <w:rPr>
                <w:rFonts w:ascii="Arial" w:eastAsia="Times New Roman" w:hAnsi="Arial" w:cs="Arial"/>
                <w:color w:val="000000"/>
                <w:sz w:val="24"/>
                <w:szCs w:val="24"/>
                <w:lang w:eastAsia="es-ES"/>
              </w:rPr>
              <w:t>5</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SENTENCIA DEFINITIVA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6C205D">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ACTOR:</w:t>
            </w:r>
            <w:r w:rsidR="006608C3">
              <w:rPr>
                <w:rFonts w:ascii="Arial" w:eastAsia="Times New Roman" w:hAnsi="Arial" w:cs="Arial"/>
                <w:b/>
                <w:bCs/>
                <w:color w:val="000000"/>
                <w:sz w:val="24"/>
                <w:szCs w:val="24"/>
                <w:lang w:eastAsia="es-ES"/>
              </w:rPr>
              <w:t xml:space="preserve"> </w:t>
            </w:r>
            <w:r w:rsidR="00FC58CE">
              <w:rPr>
                <w:rFonts w:ascii="Arial" w:eastAsia="Times New Roman" w:hAnsi="Arial" w:cs="Arial"/>
                <w:color w:val="FF0000"/>
                <w:sz w:val="24"/>
                <w:szCs w:val="24"/>
                <w:lang w:eastAsia="es-ES"/>
              </w:rPr>
              <w:t>**********</w:t>
            </w:r>
            <w:r w:rsidR="006C205D"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 xml:space="preserve">AUTORIDAD </w:t>
            </w:r>
            <w:r w:rsidRPr="00BD01CE">
              <w:rPr>
                <w:rFonts w:ascii="Arial" w:eastAsia="Times New Roman" w:hAnsi="Arial" w:cs="Arial"/>
                <w:b/>
                <w:bCs/>
                <w:color w:val="000000"/>
                <w:sz w:val="24"/>
                <w:szCs w:val="24"/>
                <w:lang w:eastAsia="es-ES"/>
              </w:rPr>
              <w:t>DEMANDADA:</w:t>
            </w:r>
            <w:r w:rsidRPr="00BD01CE">
              <w:rPr>
                <w:rFonts w:ascii="Arial" w:eastAsia="Times New Roman" w:hAnsi="Arial" w:cs="Arial"/>
                <w:color w:val="000000"/>
                <w:sz w:val="24"/>
                <w:szCs w:val="24"/>
                <w:lang w:eastAsia="es-ES"/>
              </w:rPr>
              <w:t xml:space="preserve"> </w:t>
            </w:r>
            <w:r w:rsidR="00876F62">
              <w:rPr>
                <w:rFonts w:ascii="Arial" w:eastAsia="Times New Roman" w:hAnsi="Arial" w:cs="Arial"/>
                <w:color w:val="000000"/>
                <w:sz w:val="24"/>
                <w:szCs w:val="24"/>
                <w:lang w:eastAsia="es-ES"/>
              </w:rPr>
              <w:t xml:space="preserve">ORGANISMO </w:t>
            </w:r>
            <w:r w:rsidRPr="00BD01CE">
              <w:rPr>
                <w:rFonts w:ascii="Arial" w:eastAsia="Times New Roman" w:hAnsi="Arial" w:cs="Arial"/>
                <w:color w:val="000000"/>
                <w:sz w:val="24"/>
                <w:szCs w:val="24"/>
                <w:lang w:eastAsia="es-ES"/>
              </w:rPr>
              <w:t>INTERMUNICIPAL METROPOLITANO DE AGUA POTABLE, ALCANTARILLADO, SANEAMIENTO Y SERVICIOS CONEXOS DE LOS MUNICIPIOS DE CERRO DE SAN PEDRO, SAN LUIS POTOS</w:t>
            </w:r>
            <w:r w:rsidR="00E73C01">
              <w:rPr>
                <w:rFonts w:ascii="Arial" w:eastAsia="Times New Roman" w:hAnsi="Arial" w:cs="Arial"/>
                <w:color w:val="000000"/>
                <w:sz w:val="24"/>
                <w:szCs w:val="24"/>
                <w:lang w:eastAsia="es-ES"/>
              </w:rPr>
              <w:t>Í</w:t>
            </w:r>
            <w:r w:rsidRPr="00BD01CE">
              <w:rPr>
                <w:rFonts w:ascii="Arial" w:eastAsia="Times New Roman" w:hAnsi="Arial" w:cs="Arial"/>
                <w:color w:val="000000"/>
                <w:sz w:val="24"/>
                <w:szCs w:val="24"/>
                <w:lang w:eastAsia="es-ES"/>
              </w:rPr>
              <w:t xml:space="preserve"> Y SOLEDAD DE GRACIANO SANCHEZ</w:t>
            </w:r>
            <w:r w:rsidR="00876F62">
              <w:rPr>
                <w:rFonts w:ascii="Arial" w:eastAsia="Times New Roman" w:hAnsi="Arial" w:cs="Arial"/>
                <w:color w:val="000000"/>
                <w:sz w:val="24"/>
                <w:szCs w:val="24"/>
                <w:lang w:eastAsia="es-ES"/>
              </w:rPr>
              <w:t>; Y EL DIRECTOR DE COMERCIALIZACIÓN DE DICHO ORGANISMO</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MAGISTRAD</w:t>
            </w:r>
            <w:r w:rsidR="005569C9">
              <w:rPr>
                <w:rFonts w:ascii="Arial" w:eastAsia="Times New Roman" w:hAnsi="Arial" w:cs="Arial"/>
                <w:b/>
                <w:bCs/>
                <w:color w:val="000000"/>
                <w:sz w:val="24"/>
                <w:szCs w:val="24"/>
                <w:lang w:eastAsia="es-ES"/>
              </w:rPr>
              <w: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sidR="003062C9">
              <w:rPr>
                <w:rFonts w:ascii="Arial" w:eastAsia="Times New Roman" w:hAnsi="Arial" w:cs="Arial"/>
                <w:color w:val="000000"/>
                <w:sz w:val="24"/>
                <w:szCs w:val="24"/>
                <w:lang w:eastAsia="es-ES"/>
              </w:rPr>
              <w:t>MA</w:t>
            </w:r>
            <w:r w:rsidR="005569C9">
              <w:rPr>
                <w:rFonts w:ascii="Arial" w:eastAsia="Times New Roman" w:hAnsi="Arial" w:cs="Arial"/>
                <w:color w:val="000000"/>
                <w:sz w:val="24"/>
                <w:szCs w:val="24"/>
                <w:lang w:eastAsia="es-ES"/>
              </w:rPr>
              <w:t>RIA OLVIDO RODRÍGUEZ VÁZQUEZ</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3062C9" w:rsidRPr="00BD01CE" w:rsidTr="00CA0A22">
        <w:tc>
          <w:tcPr>
            <w:tcW w:w="8364" w:type="dxa"/>
            <w:tcBorders>
              <w:top w:val="nil"/>
              <w:left w:val="nil"/>
              <w:bottom w:val="nil"/>
              <w:right w:val="nil"/>
            </w:tcBorders>
          </w:tcPr>
          <w:p w:rsidR="003062C9" w:rsidRPr="00BD01CE" w:rsidRDefault="003062C9" w:rsidP="003062C9">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SECRETARIO DE ESTUDIO Y CUENTA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OSCAR TORRES HERRERA</w:t>
            </w:r>
          </w:p>
          <w:p w:rsidR="003062C9" w:rsidRPr="00BD01CE" w:rsidRDefault="003062C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bl>
    <w:p w:rsidR="00CA0A22" w:rsidRPr="00C24A01" w:rsidRDefault="00CA0A22" w:rsidP="009014D3">
      <w:pPr>
        <w:autoSpaceDE w:val="0"/>
        <w:autoSpaceDN w:val="0"/>
        <w:adjustRightInd w:val="0"/>
        <w:spacing w:after="0" w:line="360" w:lineRule="auto"/>
        <w:rPr>
          <w:rFonts w:ascii="Arial" w:eastAsia="Times New Roman" w:hAnsi="Arial" w:cs="Arial"/>
          <w:color w:val="000000"/>
          <w:lang w:eastAsia="es-ES"/>
        </w:rPr>
      </w:pPr>
    </w:p>
    <w:p w:rsidR="00BE3A82"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sz w:val="28"/>
          <w:szCs w:val="28"/>
        </w:rPr>
      </w:pPr>
      <w:r w:rsidRPr="00C9069C">
        <w:rPr>
          <w:rFonts w:ascii="Arial" w:hAnsi="Arial" w:cs="Arial"/>
          <w:sz w:val="28"/>
          <w:szCs w:val="28"/>
        </w:rPr>
        <w:t>San Luís Potosí, S. L. P., a</w:t>
      </w:r>
      <w:r w:rsidR="00777CDA">
        <w:rPr>
          <w:rFonts w:ascii="Arial" w:hAnsi="Arial" w:cs="Arial"/>
          <w:sz w:val="28"/>
          <w:szCs w:val="28"/>
        </w:rPr>
        <w:t xml:space="preserve"> </w:t>
      </w:r>
      <w:r w:rsidR="00AA1E55">
        <w:rPr>
          <w:rFonts w:ascii="Arial" w:hAnsi="Arial" w:cs="Arial"/>
          <w:sz w:val="28"/>
          <w:szCs w:val="28"/>
        </w:rPr>
        <w:t xml:space="preserve">diecinueve de septiembre de </w:t>
      </w:r>
      <w:r w:rsidR="00777CDA">
        <w:rPr>
          <w:rFonts w:ascii="Arial" w:hAnsi="Arial" w:cs="Arial"/>
          <w:sz w:val="28"/>
          <w:szCs w:val="28"/>
        </w:rPr>
        <w:t>dos mil veinticinco</w:t>
      </w:r>
      <w:r w:rsidR="005569C9">
        <w:rPr>
          <w:rFonts w:ascii="Arial" w:hAnsi="Arial" w:cs="Arial"/>
          <w:sz w:val="28"/>
          <w:szCs w:val="28"/>
        </w:rPr>
        <w:t>.</w:t>
      </w:r>
    </w:p>
    <w:p w:rsidR="00BE3A82" w:rsidRPr="00C9069C"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b/>
          <w:sz w:val="28"/>
          <w:szCs w:val="28"/>
        </w:rPr>
      </w:pPr>
      <w:r w:rsidRPr="00BD01CE">
        <w:rPr>
          <w:rFonts w:ascii="Arial" w:hAnsi="Arial" w:cs="Arial"/>
          <w:b/>
          <w:sz w:val="28"/>
          <w:szCs w:val="28"/>
        </w:rPr>
        <w:t>VISTO</w:t>
      </w:r>
      <w:r w:rsidRPr="00C9069C">
        <w:rPr>
          <w:rFonts w:ascii="Arial" w:hAnsi="Arial" w:cs="Arial"/>
          <w:sz w:val="28"/>
          <w:szCs w:val="28"/>
        </w:rPr>
        <w:t xml:space="preserve"> para resolver en definitiva el Juicio Contencioso Administrativo número </w:t>
      </w:r>
      <w:r w:rsidR="00777CDA">
        <w:rPr>
          <w:rFonts w:ascii="Arial" w:hAnsi="Arial" w:cs="Arial"/>
          <w:b/>
          <w:sz w:val="28"/>
          <w:szCs w:val="28"/>
        </w:rPr>
        <w:t>1</w:t>
      </w:r>
      <w:r w:rsidR="00AA1E55">
        <w:rPr>
          <w:rFonts w:ascii="Arial" w:hAnsi="Arial" w:cs="Arial"/>
          <w:b/>
          <w:sz w:val="28"/>
          <w:szCs w:val="28"/>
        </w:rPr>
        <w:t>81</w:t>
      </w:r>
      <w:r w:rsidRPr="00BD01CE">
        <w:rPr>
          <w:rFonts w:ascii="Arial" w:hAnsi="Arial" w:cs="Arial"/>
          <w:b/>
          <w:sz w:val="28"/>
          <w:szCs w:val="28"/>
        </w:rPr>
        <w:t>/20</w:t>
      </w:r>
      <w:r w:rsidR="005569C9">
        <w:rPr>
          <w:rFonts w:ascii="Arial" w:hAnsi="Arial" w:cs="Arial"/>
          <w:b/>
          <w:sz w:val="28"/>
          <w:szCs w:val="28"/>
        </w:rPr>
        <w:t>2</w:t>
      </w:r>
      <w:r w:rsidR="00777CDA">
        <w:rPr>
          <w:rFonts w:ascii="Arial" w:hAnsi="Arial" w:cs="Arial"/>
          <w:b/>
          <w:sz w:val="28"/>
          <w:szCs w:val="28"/>
        </w:rPr>
        <w:t>5</w:t>
      </w:r>
      <w:r w:rsidR="00583C8F">
        <w:rPr>
          <w:rFonts w:ascii="Arial" w:hAnsi="Arial" w:cs="Arial"/>
          <w:b/>
          <w:sz w:val="28"/>
          <w:szCs w:val="28"/>
        </w:rPr>
        <w:t>/2</w:t>
      </w:r>
      <w:r w:rsidRPr="00C9069C">
        <w:rPr>
          <w:rFonts w:ascii="Arial" w:hAnsi="Arial" w:cs="Arial"/>
          <w:sz w:val="28"/>
          <w:szCs w:val="28"/>
        </w:rPr>
        <w:t xml:space="preserve"> promovido por </w:t>
      </w:r>
      <w:r w:rsidR="00F61FED">
        <w:rPr>
          <w:rFonts w:ascii="Arial" w:hAnsi="Arial" w:cs="Arial"/>
          <w:sz w:val="28"/>
          <w:szCs w:val="28"/>
        </w:rPr>
        <w:t>l</w:t>
      </w:r>
      <w:r w:rsidR="00AA1E55">
        <w:rPr>
          <w:rFonts w:ascii="Arial" w:hAnsi="Arial" w:cs="Arial"/>
          <w:sz w:val="28"/>
          <w:szCs w:val="28"/>
        </w:rPr>
        <w:t>a</w:t>
      </w:r>
      <w:r w:rsidR="00F61FED">
        <w:rPr>
          <w:rFonts w:ascii="Arial" w:hAnsi="Arial" w:cs="Arial"/>
          <w:sz w:val="28"/>
          <w:szCs w:val="28"/>
        </w:rPr>
        <w:t xml:space="preserve"> C. </w:t>
      </w:r>
      <w:r w:rsidR="00FC58CE">
        <w:rPr>
          <w:rFonts w:ascii="Arial" w:hAnsi="Arial" w:cs="Arial"/>
          <w:b/>
          <w:color w:val="FF0000"/>
          <w:sz w:val="28"/>
          <w:szCs w:val="28"/>
        </w:rPr>
        <w:t>**********</w:t>
      </w:r>
      <w:r w:rsidRPr="00C9069C">
        <w:rPr>
          <w:rFonts w:ascii="Arial" w:hAnsi="Arial" w:cs="Arial"/>
          <w:sz w:val="28"/>
          <w:szCs w:val="28"/>
        </w:rPr>
        <w:t xml:space="preserve">contra actos emitidos por el </w:t>
      </w:r>
      <w:r w:rsidR="000E5A75">
        <w:rPr>
          <w:rFonts w:ascii="Arial" w:hAnsi="Arial" w:cs="Arial"/>
          <w:b/>
          <w:sz w:val="28"/>
          <w:szCs w:val="28"/>
        </w:rPr>
        <w:t>O</w:t>
      </w:r>
      <w:r w:rsidRPr="00BD01CE">
        <w:rPr>
          <w:rFonts w:ascii="Arial" w:hAnsi="Arial" w:cs="Arial"/>
          <w:b/>
          <w:sz w:val="28"/>
          <w:szCs w:val="28"/>
        </w:rPr>
        <w:t>RGANISMO INTERMUNICIPAL METROPOLITANO DE AGUA POTABLE, ALCANTARILLADO, SANEAMIENTO Y SERVICIOS CONEXOS DE LOS MUNICIPIOS DE CERRO DE SAN PEDRO, SAN LUIS POTOS</w:t>
      </w:r>
      <w:r w:rsidR="00E73C01">
        <w:rPr>
          <w:rFonts w:ascii="Arial" w:hAnsi="Arial" w:cs="Arial"/>
          <w:b/>
          <w:sz w:val="28"/>
          <w:szCs w:val="28"/>
        </w:rPr>
        <w:t>Í</w:t>
      </w:r>
      <w:r w:rsidRPr="00BD01CE">
        <w:rPr>
          <w:rFonts w:ascii="Arial" w:hAnsi="Arial" w:cs="Arial"/>
          <w:b/>
          <w:sz w:val="28"/>
          <w:szCs w:val="28"/>
        </w:rPr>
        <w:t xml:space="preserve"> Y SOLEDAD DE GRACIANO SANCHEZ</w:t>
      </w:r>
      <w:r w:rsidR="00F81E49">
        <w:rPr>
          <w:rFonts w:ascii="Arial" w:hAnsi="Arial" w:cs="Arial"/>
          <w:b/>
          <w:sz w:val="28"/>
          <w:szCs w:val="28"/>
        </w:rPr>
        <w:t>; Y EL DIRECTOR DE COMERCIALIZACIÓN DE DICHO ORGANISMO</w:t>
      </w:r>
      <w:r w:rsidRPr="00BD01CE">
        <w:rPr>
          <w:rFonts w:ascii="Arial" w:hAnsi="Arial" w:cs="Arial"/>
          <w:b/>
          <w:sz w:val="28"/>
          <w:szCs w:val="28"/>
        </w:rPr>
        <w:t>.</w:t>
      </w:r>
    </w:p>
    <w:p w:rsidR="00CA0A22" w:rsidRDefault="00CA0A22" w:rsidP="009014D3">
      <w:pPr>
        <w:spacing w:after="0" w:line="360" w:lineRule="auto"/>
        <w:jc w:val="center"/>
        <w:rPr>
          <w:rFonts w:ascii="Arial" w:hAnsi="Arial" w:cs="Arial"/>
          <w:b/>
          <w:sz w:val="28"/>
          <w:szCs w:val="28"/>
        </w:rPr>
      </w:pPr>
    </w:p>
    <w:p w:rsidR="00CA0A22" w:rsidRDefault="00CA0A22" w:rsidP="009014D3">
      <w:pPr>
        <w:spacing w:after="0" w:line="360" w:lineRule="auto"/>
        <w:jc w:val="center"/>
        <w:rPr>
          <w:rFonts w:ascii="Arial" w:hAnsi="Arial" w:cs="Arial"/>
          <w:b/>
          <w:sz w:val="28"/>
          <w:szCs w:val="28"/>
        </w:rPr>
      </w:pPr>
      <w:r w:rsidRPr="00BD01CE">
        <w:rPr>
          <w:rFonts w:ascii="Arial" w:hAnsi="Arial" w:cs="Arial"/>
          <w:b/>
          <w:sz w:val="28"/>
          <w:szCs w:val="28"/>
        </w:rPr>
        <w:t>RESULTANDO</w:t>
      </w:r>
    </w:p>
    <w:p w:rsidR="00CA0A22" w:rsidRDefault="00CA0A22" w:rsidP="009014D3">
      <w:pPr>
        <w:spacing w:after="0" w:line="360" w:lineRule="auto"/>
        <w:jc w:val="center"/>
        <w:rPr>
          <w:rFonts w:ascii="Arial" w:hAnsi="Arial" w:cs="Arial"/>
          <w:b/>
          <w:sz w:val="28"/>
          <w:szCs w:val="28"/>
        </w:rPr>
      </w:pPr>
    </w:p>
    <w:p w:rsidR="007D1397" w:rsidRPr="007D1397" w:rsidRDefault="007D1397" w:rsidP="007D1397">
      <w:pPr>
        <w:spacing w:before="120" w:after="120" w:line="360" w:lineRule="auto"/>
        <w:ind w:firstLine="708"/>
        <w:jc w:val="both"/>
        <w:rPr>
          <w:rFonts w:ascii="Arial" w:eastAsia="Times New Roman" w:hAnsi="Arial" w:cs="Arial"/>
          <w:sz w:val="28"/>
          <w:szCs w:val="28"/>
          <w:lang w:val="es-ES_tradnl" w:eastAsia="es-ES"/>
        </w:rPr>
      </w:pPr>
      <w:r w:rsidRPr="007D1397">
        <w:rPr>
          <w:rFonts w:ascii="Arial" w:eastAsia="Times New Roman" w:hAnsi="Arial" w:cs="Arial"/>
          <w:b/>
          <w:sz w:val="28"/>
          <w:szCs w:val="28"/>
          <w:lang w:val="es-ES_tradnl" w:eastAsia="es-ES"/>
        </w:rPr>
        <w:t>1.-</w:t>
      </w:r>
      <w:r w:rsidRPr="007D1397">
        <w:rPr>
          <w:rFonts w:ascii="Arial" w:eastAsia="Times New Roman" w:hAnsi="Arial" w:cs="Arial"/>
          <w:sz w:val="28"/>
          <w:szCs w:val="28"/>
          <w:lang w:val="es-ES_tradnl" w:eastAsia="es-ES"/>
        </w:rPr>
        <w:t xml:space="preserve"> Con escrito presentado ante este Tribunal el</w:t>
      </w:r>
      <w:r>
        <w:rPr>
          <w:rFonts w:ascii="Arial" w:eastAsia="Times New Roman" w:hAnsi="Arial" w:cs="Arial"/>
          <w:sz w:val="28"/>
          <w:szCs w:val="28"/>
          <w:lang w:val="es-ES_tradnl" w:eastAsia="es-ES"/>
        </w:rPr>
        <w:t xml:space="preserve"> diecisiete de febrero de dos mil veinticinco</w:t>
      </w:r>
      <w:r w:rsidRPr="007D1397">
        <w:rPr>
          <w:rFonts w:ascii="Arial" w:eastAsia="Times New Roman" w:hAnsi="Arial" w:cs="Arial"/>
          <w:sz w:val="28"/>
          <w:szCs w:val="28"/>
          <w:lang w:val="es-ES_tradnl" w:eastAsia="es-ES"/>
        </w:rPr>
        <w:t>, por l</w:t>
      </w:r>
      <w:r>
        <w:rPr>
          <w:rFonts w:ascii="Arial" w:eastAsia="Times New Roman" w:hAnsi="Arial" w:cs="Arial"/>
          <w:sz w:val="28"/>
          <w:szCs w:val="28"/>
          <w:lang w:val="es-ES_tradnl" w:eastAsia="es-ES"/>
        </w:rPr>
        <w:t>a</w:t>
      </w:r>
      <w:r w:rsidRPr="007D1397">
        <w:rPr>
          <w:rFonts w:ascii="Arial" w:eastAsia="Times New Roman" w:hAnsi="Arial" w:cs="Arial"/>
          <w:sz w:val="28"/>
          <w:szCs w:val="28"/>
          <w:lang w:val="es-ES_tradnl" w:eastAsia="es-ES"/>
        </w:rPr>
        <w:t xml:space="preserve"> C.</w:t>
      </w:r>
      <w:r w:rsidRPr="007D1397">
        <w:rPr>
          <w:rFonts w:ascii="Arial" w:eastAsia="Times New Roman" w:hAnsi="Arial" w:cs="Arial"/>
          <w:color w:val="C00000"/>
          <w:sz w:val="28"/>
          <w:szCs w:val="28"/>
          <w:lang w:val="es-ES_tradnl" w:eastAsia="es-ES"/>
        </w:rPr>
        <w:t xml:space="preserve"> </w:t>
      </w:r>
      <w:r w:rsidR="00FC58CE">
        <w:rPr>
          <w:rFonts w:ascii="Arial" w:eastAsia="Times New Roman" w:hAnsi="Arial" w:cs="Arial"/>
          <w:color w:val="FF0000"/>
          <w:sz w:val="28"/>
          <w:szCs w:val="28"/>
          <w:lang w:val="es-ES_tradnl" w:eastAsia="es-ES"/>
        </w:rPr>
        <w:t>**********</w:t>
      </w:r>
      <w:r w:rsidRPr="007D1397">
        <w:rPr>
          <w:rFonts w:ascii="Arial" w:eastAsia="Times New Roman" w:hAnsi="Arial" w:cs="Arial"/>
          <w:sz w:val="28"/>
          <w:szCs w:val="28"/>
          <w:lang w:val="es-ES_tradnl" w:eastAsia="es-ES"/>
        </w:rPr>
        <w:t xml:space="preserve">, por su propio derecho promovió demanda de Juicio Contencioso Administrativo en contra del </w:t>
      </w:r>
      <w:r w:rsidR="00CA2C00">
        <w:rPr>
          <w:rFonts w:ascii="Arial" w:eastAsia="Times New Roman" w:hAnsi="Arial" w:cs="Arial"/>
          <w:sz w:val="28"/>
          <w:szCs w:val="28"/>
          <w:lang w:val="es-ES_tradnl" w:eastAsia="es-ES"/>
        </w:rPr>
        <w:t xml:space="preserve">Organismo Intermunicipal Metropolitano de Agua </w:t>
      </w:r>
      <w:r w:rsidR="00CA2C00">
        <w:rPr>
          <w:rFonts w:ascii="Arial" w:eastAsia="Times New Roman" w:hAnsi="Arial" w:cs="Arial"/>
          <w:sz w:val="28"/>
          <w:szCs w:val="28"/>
          <w:lang w:val="es-ES_tradnl" w:eastAsia="es-ES"/>
        </w:rPr>
        <w:lastRenderedPageBreak/>
        <w:t>Potable, Alcantarillado, Saneamiento y Servicios Conexos de los Municipios de Cerro de San Pedro, San Luis Potosí y Soledad de Graciano Sánchez; y el Director de Comercialización de dicho Organismo</w:t>
      </w:r>
      <w:r w:rsidRPr="007D1397">
        <w:rPr>
          <w:rFonts w:ascii="Arial" w:eastAsia="Times New Roman" w:hAnsi="Arial" w:cs="Arial"/>
          <w:sz w:val="28"/>
          <w:szCs w:val="28"/>
          <w:lang w:val="es-ES_tradnl" w:eastAsia="es-ES"/>
        </w:rPr>
        <w:t>, y por los actos que se precisa a continuación:</w:t>
      </w:r>
    </w:p>
    <w:p w:rsidR="007D1397" w:rsidRPr="007D1397" w:rsidRDefault="007D1397" w:rsidP="007D1397">
      <w:pPr>
        <w:spacing w:after="0"/>
        <w:ind w:left="851"/>
        <w:jc w:val="both"/>
        <w:rPr>
          <w:rFonts w:ascii="Arial" w:eastAsia="Times New Roman" w:hAnsi="Arial" w:cs="Arial"/>
          <w:i/>
          <w:sz w:val="24"/>
          <w:szCs w:val="24"/>
          <w:lang w:eastAsia="es-ES"/>
        </w:rPr>
      </w:pPr>
      <w:r w:rsidRPr="007D1397">
        <w:rPr>
          <w:rFonts w:ascii="Arial" w:eastAsia="Times New Roman" w:hAnsi="Arial" w:cs="Arial"/>
          <w:i/>
          <w:sz w:val="24"/>
          <w:szCs w:val="24"/>
          <w:lang w:eastAsia="es-ES"/>
        </w:rPr>
        <w:t>“</w:t>
      </w:r>
      <w:r w:rsidR="00A55265">
        <w:rPr>
          <w:rFonts w:ascii="Arial" w:eastAsia="Times New Roman" w:hAnsi="Arial" w:cs="Arial"/>
          <w:i/>
          <w:sz w:val="24"/>
          <w:szCs w:val="24"/>
          <w:lang w:eastAsia="es-ES"/>
        </w:rPr>
        <w:t>Reclamo la emisión y aplicación en mi perjuicio del Acta de infracción de fecha 03 de enero de 2025, ilegalmente aplicada en mi propiedad, emitida por la supuesta Inspector de</w:t>
      </w:r>
      <w:r w:rsidR="007E00B7">
        <w:rPr>
          <w:rFonts w:ascii="Arial" w:eastAsia="Times New Roman" w:hAnsi="Arial" w:cs="Arial"/>
          <w:i/>
          <w:sz w:val="24"/>
          <w:szCs w:val="24"/>
          <w:lang w:eastAsia="es-ES"/>
        </w:rPr>
        <w:t>l</w:t>
      </w:r>
      <w:r w:rsidR="00A55265">
        <w:rPr>
          <w:rFonts w:ascii="Arial" w:eastAsia="Times New Roman" w:hAnsi="Arial" w:cs="Arial"/>
          <w:i/>
          <w:sz w:val="24"/>
          <w:szCs w:val="24"/>
          <w:lang w:eastAsia="es-ES"/>
        </w:rPr>
        <w:t xml:space="preserve"> Organismo Intermunicipal Metropolitano de Agua Potable, Alcantarillado, Saneamiento y Ser</w:t>
      </w:r>
      <w:r w:rsidR="007E00B7">
        <w:rPr>
          <w:rFonts w:ascii="Arial" w:eastAsia="Times New Roman" w:hAnsi="Arial" w:cs="Arial"/>
          <w:i/>
          <w:sz w:val="24"/>
          <w:szCs w:val="24"/>
          <w:lang w:eastAsia="es-ES"/>
        </w:rPr>
        <w:t>v</w:t>
      </w:r>
      <w:r w:rsidR="00A55265">
        <w:rPr>
          <w:rFonts w:ascii="Arial" w:eastAsia="Times New Roman" w:hAnsi="Arial" w:cs="Arial"/>
          <w:i/>
          <w:sz w:val="24"/>
          <w:szCs w:val="24"/>
          <w:lang w:eastAsia="es-ES"/>
        </w:rPr>
        <w:t>icios Conexos de los Municipios de Cerro de San Pedro, San Luis Potosí y Soledad de Graciano Sánchez (INTERAPAS)</w:t>
      </w:r>
      <w:r w:rsidR="006001EB">
        <w:rPr>
          <w:rFonts w:ascii="Arial" w:eastAsia="Times New Roman" w:hAnsi="Arial" w:cs="Arial"/>
          <w:i/>
          <w:sz w:val="24"/>
          <w:szCs w:val="24"/>
          <w:lang w:eastAsia="es-ES"/>
        </w:rPr>
        <w:t xml:space="preserve">, de nombre </w:t>
      </w:r>
      <w:r w:rsidR="00FC58CE">
        <w:rPr>
          <w:rFonts w:ascii="Arial" w:eastAsia="Times New Roman" w:hAnsi="Arial" w:cs="Arial"/>
          <w:i/>
          <w:color w:val="FF0000"/>
          <w:sz w:val="24"/>
          <w:szCs w:val="24"/>
          <w:lang w:eastAsia="es-ES"/>
        </w:rPr>
        <w:t>**********</w:t>
      </w:r>
      <w:r w:rsidR="006001EB">
        <w:rPr>
          <w:rFonts w:ascii="Arial" w:eastAsia="Times New Roman" w:hAnsi="Arial" w:cs="Arial"/>
          <w:i/>
          <w:sz w:val="24"/>
          <w:szCs w:val="24"/>
          <w:lang w:eastAsia="es-ES"/>
        </w:rPr>
        <w:t>, m</w:t>
      </w:r>
      <w:r w:rsidR="007E00B7">
        <w:rPr>
          <w:rFonts w:ascii="Arial" w:eastAsia="Times New Roman" w:hAnsi="Arial" w:cs="Arial"/>
          <w:i/>
          <w:sz w:val="24"/>
          <w:szCs w:val="24"/>
          <w:lang w:eastAsia="es-ES"/>
        </w:rPr>
        <w:t>i</w:t>
      </w:r>
      <w:r w:rsidR="006001EB">
        <w:rPr>
          <w:rFonts w:ascii="Arial" w:eastAsia="Times New Roman" w:hAnsi="Arial" w:cs="Arial"/>
          <w:i/>
          <w:sz w:val="24"/>
          <w:szCs w:val="24"/>
          <w:lang w:eastAsia="es-ES"/>
        </w:rPr>
        <w:t>sma que se acompaña al presente como anexo uno, así como todos los efectos y consecuenci</w:t>
      </w:r>
      <w:r w:rsidR="007E00B7">
        <w:rPr>
          <w:rFonts w:ascii="Arial" w:eastAsia="Times New Roman" w:hAnsi="Arial" w:cs="Arial"/>
          <w:i/>
          <w:sz w:val="24"/>
          <w:szCs w:val="24"/>
          <w:lang w:eastAsia="es-ES"/>
        </w:rPr>
        <w:t>a</w:t>
      </w:r>
      <w:r w:rsidR="006001EB">
        <w:rPr>
          <w:rFonts w:ascii="Arial" w:eastAsia="Times New Roman" w:hAnsi="Arial" w:cs="Arial"/>
          <w:i/>
          <w:sz w:val="24"/>
          <w:szCs w:val="24"/>
          <w:lang w:eastAsia="es-ES"/>
        </w:rPr>
        <w:t>s de la resolución citada, en especial la imposición arbitraría de la sanción por el concepto de 60 UMAS”</w:t>
      </w:r>
    </w:p>
    <w:p w:rsidR="007D1397" w:rsidRPr="007D1397" w:rsidRDefault="007D1397" w:rsidP="007D1397">
      <w:pPr>
        <w:spacing w:after="0"/>
        <w:ind w:left="851"/>
        <w:jc w:val="both"/>
        <w:rPr>
          <w:rFonts w:ascii="Arial" w:eastAsia="Times New Roman" w:hAnsi="Arial" w:cs="Arial"/>
          <w:i/>
          <w:sz w:val="24"/>
          <w:szCs w:val="24"/>
          <w:lang w:eastAsia="es-ES"/>
        </w:rPr>
      </w:pPr>
    </w:p>
    <w:p w:rsidR="007D1397" w:rsidRPr="007D1397" w:rsidRDefault="007D1397" w:rsidP="007D1397">
      <w:pPr>
        <w:spacing w:before="240" w:after="240" w:line="360" w:lineRule="auto"/>
        <w:ind w:firstLine="708"/>
        <w:jc w:val="both"/>
        <w:rPr>
          <w:rFonts w:ascii="Arial" w:eastAsia="Times New Roman" w:hAnsi="Arial" w:cs="Arial"/>
          <w:sz w:val="28"/>
          <w:szCs w:val="28"/>
          <w:lang w:val="es-ES" w:eastAsia="es-ES"/>
        </w:rPr>
      </w:pPr>
      <w:r w:rsidRPr="007D1397">
        <w:rPr>
          <w:rFonts w:ascii="Arial" w:eastAsia="Times New Roman" w:hAnsi="Arial" w:cs="Arial"/>
          <w:sz w:val="28"/>
          <w:szCs w:val="28"/>
          <w:lang w:val="es-ES" w:eastAsia="es-ES"/>
        </w:rPr>
        <w:t>En auto del</w:t>
      </w:r>
      <w:r w:rsidR="00654B78">
        <w:rPr>
          <w:rFonts w:ascii="Arial" w:eastAsia="Times New Roman" w:hAnsi="Arial" w:cs="Arial"/>
          <w:sz w:val="28"/>
          <w:szCs w:val="28"/>
          <w:lang w:val="es-ES" w:eastAsia="es-ES"/>
        </w:rPr>
        <w:t xml:space="preserve"> veinte de febrero de dos mil veinticinco</w:t>
      </w:r>
      <w:r w:rsidRPr="007D1397">
        <w:rPr>
          <w:rFonts w:ascii="Arial" w:eastAsia="Times New Roman" w:hAnsi="Arial" w:cs="Arial"/>
          <w:sz w:val="28"/>
          <w:szCs w:val="28"/>
          <w:lang w:val="es-ES" w:eastAsia="es-ES"/>
        </w:rPr>
        <w:t>, se admitió la demanda. Las Autoridades Demandadas fueron debidamente notificadas y emplazadas.</w:t>
      </w:r>
    </w:p>
    <w:p w:rsidR="007D1397" w:rsidRPr="007D1397" w:rsidRDefault="007D1397" w:rsidP="007D1397">
      <w:pPr>
        <w:spacing w:before="240" w:after="240" w:line="360" w:lineRule="auto"/>
        <w:ind w:firstLine="708"/>
        <w:jc w:val="both"/>
        <w:rPr>
          <w:rFonts w:ascii="Arial" w:eastAsia="Times New Roman" w:hAnsi="Arial" w:cs="Arial"/>
          <w:sz w:val="28"/>
          <w:szCs w:val="28"/>
          <w:lang w:val="es-ES" w:eastAsia="es-ES"/>
        </w:rPr>
      </w:pPr>
      <w:r w:rsidRPr="007D1397">
        <w:rPr>
          <w:rFonts w:ascii="Arial" w:eastAsia="Times New Roman" w:hAnsi="Arial" w:cs="Arial"/>
          <w:b/>
          <w:sz w:val="28"/>
          <w:szCs w:val="28"/>
          <w:lang w:val="es-ES" w:eastAsia="es-ES"/>
        </w:rPr>
        <w:t xml:space="preserve">2.- </w:t>
      </w:r>
      <w:r w:rsidRPr="007D1397">
        <w:rPr>
          <w:rFonts w:ascii="Arial" w:eastAsia="Times New Roman" w:hAnsi="Arial" w:cs="Arial"/>
          <w:sz w:val="28"/>
          <w:szCs w:val="28"/>
          <w:lang w:val="es-ES" w:eastAsia="es-ES"/>
        </w:rPr>
        <w:t xml:space="preserve"> Substanciado que fue en cada una de sus etapas, a las once horas del </w:t>
      </w:r>
      <w:r w:rsidR="00331FFE">
        <w:rPr>
          <w:rFonts w:ascii="Arial" w:eastAsia="Times New Roman" w:hAnsi="Arial" w:cs="Arial"/>
          <w:sz w:val="28"/>
          <w:szCs w:val="28"/>
          <w:lang w:val="es-ES" w:eastAsia="es-ES"/>
        </w:rPr>
        <w:t>seis de junio de dos mil veinticinco</w:t>
      </w:r>
      <w:r w:rsidRPr="007D1397">
        <w:rPr>
          <w:rFonts w:ascii="Arial" w:eastAsia="Times New Roman" w:hAnsi="Arial" w:cs="Arial"/>
          <w:sz w:val="28"/>
          <w:szCs w:val="28"/>
          <w:lang w:val="es-ES" w:eastAsia="es-ES"/>
        </w:rPr>
        <w:t>, se dio inicio a la audiencia final,</w:t>
      </w:r>
      <w:r w:rsidR="00331FFE">
        <w:rPr>
          <w:rFonts w:ascii="Arial" w:eastAsia="Times New Roman" w:hAnsi="Arial" w:cs="Arial"/>
          <w:sz w:val="28"/>
          <w:szCs w:val="28"/>
          <w:lang w:val="es-ES" w:eastAsia="es-ES"/>
        </w:rPr>
        <w:t xml:space="preserve"> sin la asistencia de las partes</w:t>
      </w:r>
      <w:r w:rsidRPr="007D1397">
        <w:rPr>
          <w:rFonts w:ascii="Arial" w:eastAsia="Times New Roman" w:hAnsi="Arial" w:cs="Arial"/>
          <w:sz w:val="28"/>
          <w:szCs w:val="28"/>
          <w:lang w:val="es-ES" w:eastAsia="es-ES"/>
        </w:rPr>
        <w:t xml:space="preserve">; en el desahogo de la audiencia se dio cuenta con las constancias de autos, posteriormente en la etapa de pruebas, se tuvieron por desahogadas las documentales dada su naturaleza, y se hizo constar que no había pruebas pendientes de desahogo; después en la etapa de alegatos </w:t>
      </w:r>
      <w:r w:rsidR="00AC0969">
        <w:rPr>
          <w:rFonts w:ascii="Arial" w:eastAsia="Times New Roman" w:hAnsi="Arial" w:cs="Arial"/>
          <w:sz w:val="28"/>
          <w:szCs w:val="28"/>
          <w:lang w:val="es-ES" w:eastAsia="es-ES"/>
        </w:rPr>
        <w:t>no se presentaron por ninguna de las partes</w:t>
      </w:r>
      <w:r w:rsidRPr="007D1397">
        <w:rPr>
          <w:rFonts w:ascii="Arial" w:eastAsia="Times New Roman" w:hAnsi="Arial" w:cs="Arial"/>
          <w:sz w:val="28"/>
          <w:szCs w:val="28"/>
          <w:lang w:val="es-ES" w:eastAsia="es-ES"/>
        </w:rPr>
        <w:t>, y finalmente se citó para resolver.</w:t>
      </w:r>
    </w:p>
    <w:p w:rsidR="007D1397" w:rsidRDefault="007D1397" w:rsidP="009014D3">
      <w:pPr>
        <w:spacing w:after="0" w:line="360" w:lineRule="auto"/>
        <w:jc w:val="center"/>
        <w:rPr>
          <w:rFonts w:ascii="Arial" w:hAnsi="Arial" w:cs="Arial"/>
          <w:b/>
          <w:sz w:val="28"/>
          <w:szCs w:val="28"/>
        </w:rPr>
      </w:pPr>
    </w:p>
    <w:p w:rsidR="00CA0A22" w:rsidRPr="007309DE" w:rsidRDefault="00CA0A22" w:rsidP="00D04803">
      <w:pPr>
        <w:spacing w:after="0" w:line="360" w:lineRule="auto"/>
        <w:jc w:val="center"/>
        <w:rPr>
          <w:rFonts w:ascii="Arial" w:hAnsi="Arial" w:cs="Arial"/>
          <w:b/>
          <w:sz w:val="28"/>
          <w:szCs w:val="28"/>
        </w:rPr>
      </w:pPr>
      <w:r w:rsidRPr="0015047B">
        <w:rPr>
          <w:rFonts w:ascii="Arial" w:hAnsi="Arial" w:cs="Arial"/>
          <w:b/>
          <w:sz w:val="28"/>
          <w:szCs w:val="28"/>
        </w:rPr>
        <w:t>CONSIDERANDO</w:t>
      </w:r>
    </w:p>
    <w:p w:rsidR="00CA0A22" w:rsidRDefault="00CA0A22" w:rsidP="00D04803">
      <w:pPr>
        <w:spacing w:after="0" w:line="360" w:lineRule="auto"/>
        <w:ind w:firstLine="708"/>
        <w:jc w:val="both"/>
        <w:rPr>
          <w:rFonts w:ascii="Arial" w:hAnsi="Arial" w:cs="Arial"/>
          <w:b/>
          <w:sz w:val="28"/>
          <w:szCs w:val="28"/>
        </w:rPr>
      </w:pPr>
    </w:p>
    <w:p w:rsidR="00CA0A22" w:rsidRPr="00564BC5" w:rsidRDefault="00CA0A22" w:rsidP="00D04803">
      <w:pPr>
        <w:spacing w:after="0" w:line="360" w:lineRule="auto"/>
        <w:ind w:firstLine="709"/>
        <w:jc w:val="both"/>
        <w:rPr>
          <w:rFonts w:ascii="Arial" w:hAnsi="Arial" w:cs="Arial"/>
          <w:sz w:val="28"/>
          <w:szCs w:val="28"/>
        </w:rPr>
      </w:pPr>
      <w:r w:rsidRPr="001A53F3">
        <w:rPr>
          <w:rFonts w:ascii="Arial" w:hAnsi="Arial" w:cs="Arial"/>
          <w:b/>
          <w:bCs/>
          <w:sz w:val="28"/>
          <w:szCs w:val="28"/>
        </w:rPr>
        <w:t xml:space="preserve">PRIMERO.- </w:t>
      </w:r>
      <w:r w:rsidRPr="00564BC5">
        <w:rPr>
          <w:rFonts w:ascii="Arial" w:hAnsi="Arial" w:cs="Arial"/>
          <w:sz w:val="28"/>
          <w:szCs w:val="28"/>
        </w:rPr>
        <w:t>Esta Segunda Sala Unitaria del Tribunal Estatal de Justicia Administrativa es competente para conocer, substanciar y resolver el presente Juicio Contencioso Administrativo, de conformidad con los artículos 123 de la Constitución Política del Estado de San Luis Potosí, artículos 1, 7 fracciones I y III, 9 fracción III</w:t>
      </w:r>
      <w:r w:rsidR="00424C5A">
        <w:rPr>
          <w:rFonts w:ascii="Arial" w:hAnsi="Arial" w:cs="Arial"/>
          <w:sz w:val="28"/>
          <w:szCs w:val="28"/>
        </w:rPr>
        <w:t xml:space="preserve">, 24, 33, 34, y 35 fracción VIII </w:t>
      </w:r>
      <w:r w:rsidRPr="00564BC5">
        <w:rPr>
          <w:rFonts w:ascii="Arial" w:hAnsi="Arial" w:cs="Arial"/>
          <w:sz w:val="28"/>
          <w:szCs w:val="28"/>
        </w:rPr>
        <w:t xml:space="preserve">de la </w:t>
      </w:r>
      <w:r w:rsidRPr="00564BC5">
        <w:rPr>
          <w:rFonts w:ascii="Arial" w:hAnsi="Arial" w:cs="Arial"/>
          <w:sz w:val="28"/>
          <w:szCs w:val="28"/>
        </w:rPr>
        <w:lastRenderedPageBreak/>
        <w:t>Ley Orgánica del Tribunal Estatal de Justicia Administrativa, artículos 1, 2,  217,  248 y 249 del Código Procesal Administrativo para el Estado de San Luis Potosí, por tratarse de una controversia de carácter fiscal suscitada entre un particular y un Organismo Público Intermunicipal, actuando éste como autoridad, ambos de esta entidad federativa donde se ejerce jurisdicción.</w:t>
      </w:r>
    </w:p>
    <w:p w:rsidR="00CA0A22" w:rsidRDefault="00CA0A22" w:rsidP="00D04803">
      <w:pPr>
        <w:spacing w:after="0" w:line="360" w:lineRule="auto"/>
        <w:ind w:firstLine="709"/>
        <w:jc w:val="both"/>
        <w:rPr>
          <w:rFonts w:ascii="Arial" w:hAnsi="Arial" w:cs="Arial"/>
          <w:sz w:val="28"/>
          <w:szCs w:val="28"/>
        </w:rPr>
      </w:pPr>
    </w:p>
    <w:p w:rsidR="00F66B14" w:rsidRDefault="00CA0A22" w:rsidP="00B62609">
      <w:pPr>
        <w:autoSpaceDE w:val="0"/>
        <w:autoSpaceDN w:val="0"/>
        <w:adjustRightInd w:val="0"/>
        <w:spacing w:after="0" w:line="360" w:lineRule="auto"/>
        <w:ind w:firstLine="708"/>
        <w:jc w:val="both"/>
        <w:rPr>
          <w:rFonts w:ascii="Arial" w:eastAsia="Times New Roman" w:hAnsi="Arial" w:cs="Arial"/>
          <w:sz w:val="28"/>
          <w:szCs w:val="28"/>
          <w:lang w:eastAsia="es-ES"/>
        </w:rPr>
      </w:pPr>
      <w:r w:rsidRPr="00EA563E">
        <w:rPr>
          <w:rFonts w:ascii="Arial" w:eastAsia="Times New Roman" w:hAnsi="Arial" w:cs="Arial"/>
          <w:b/>
          <w:bCs/>
          <w:color w:val="000000"/>
          <w:sz w:val="28"/>
          <w:szCs w:val="28"/>
          <w:lang w:eastAsia="es-ES"/>
        </w:rPr>
        <w:t xml:space="preserve">SEGUNDO.- </w:t>
      </w:r>
      <w:r w:rsidR="00F66B14" w:rsidRPr="00EA563E">
        <w:rPr>
          <w:rFonts w:ascii="Arial" w:eastAsia="Times New Roman" w:hAnsi="Arial" w:cs="Arial"/>
          <w:sz w:val="28"/>
          <w:szCs w:val="28"/>
          <w:lang w:eastAsia="es-ES"/>
        </w:rPr>
        <w:t>La personalidad de la Actora no requiere</w:t>
      </w:r>
      <w:r w:rsidR="00F66B14" w:rsidRPr="00453249">
        <w:rPr>
          <w:rFonts w:ascii="Arial" w:eastAsia="Times New Roman" w:hAnsi="Arial" w:cs="Arial"/>
          <w:sz w:val="28"/>
          <w:szCs w:val="28"/>
          <w:lang w:eastAsia="es-ES"/>
        </w:rPr>
        <w:t xml:space="preserve"> pronunciamiento especial alguno, ya qu</w:t>
      </w:r>
      <w:r w:rsidR="00F66B14">
        <w:rPr>
          <w:rFonts w:ascii="Arial" w:eastAsia="Times New Roman" w:hAnsi="Arial" w:cs="Arial"/>
          <w:sz w:val="28"/>
          <w:szCs w:val="28"/>
          <w:lang w:eastAsia="es-ES"/>
        </w:rPr>
        <w:t>e compareció por derecho propio, así mismo acredit</w:t>
      </w:r>
      <w:r w:rsidR="002D465D">
        <w:rPr>
          <w:rFonts w:ascii="Arial" w:eastAsia="Times New Roman" w:hAnsi="Arial" w:cs="Arial"/>
          <w:sz w:val="28"/>
          <w:szCs w:val="28"/>
          <w:lang w:eastAsia="es-ES"/>
        </w:rPr>
        <w:t>ó</w:t>
      </w:r>
      <w:r w:rsidR="00F66B14">
        <w:rPr>
          <w:rFonts w:ascii="Arial" w:eastAsia="Times New Roman" w:hAnsi="Arial" w:cs="Arial"/>
          <w:sz w:val="28"/>
          <w:szCs w:val="28"/>
          <w:lang w:eastAsia="es-ES"/>
        </w:rPr>
        <w:t xml:space="preserve"> su interés jurídico conforme a lo dispuesto por el artículo 231 del Código Procesal Administrativo, al </w:t>
      </w:r>
      <w:r w:rsidR="0015047B">
        <w:rPr>
          <w:rFonts w:ascii="Arial" w:eastAsia="Times New Roman" w:hAnsi="Arial" w:cs="Arial"/>
          <w:sz w:val="28"/>
          <w:szCs w:val="28"/>
          <w:lang w:eastAsia="es-ES"/>
        </w:rPr>
        <w:t xml:space="preserve">ostentarse como propietaria del domicilio ubicado en la calle </w:t>
      </w:r>
      <w:r w:rsidR="00FC58CE">
        <w:rPr>
          <w:rFonts w:ascii="Arial" w:eastAsia="Times New Roman" w:hAnsi="Arial" w:cs="Arial"/>
          <w:color w:val="FF0000"/>
          <w:sz w:val="28"/>
          <w:szCs w:val="28"/>
          <w:lang w:eastAsia="es-ES"/>
        </w:rPr>
        <w:t>**********</w:t>
      </w:r>
      <w:r w:rsidR="0015047B">
        <w:rPr>
          <w:rFonts w:ascii="Arial" w:eastAsia="Times New Roman" w:hAnsi="Arial" w:cs="Arial"/>
          <w:sz w:val="28"/>
          <w:szCs w:val="28"/>
          <w:lang w:eastAsia="es-ES"/>
        </w:rPr>
        <w:t xml:space="preserve">, acompañando </w:t>
      </w:r>
      <w:r w:rsidR="00CC0F6C">
        <w:rPr>
          <w:rFonts w:ascii="Arial" w:eastAsia="Times New Roman" w:hAnsi="Arial" w:cs="Arial"/>
          <w:sz w:val="28"/>
          <w:szCs w:val="28"/>
          <w:lang w:eastAsia="es-ES"/>
        </w:rPr>
        <w:t xml:space="preserve">el recibo de entero </w:t>
      </w:r>
      <w:r w:rsidR="00FC58CE">
        <w:rPr>
          <w:rFonts w:ascii="Arial" w:eastAsia="Times New Roman" w:hAnsi="Arial" w:cs="Arial"/>
          <w:color w:val="FF0000"/>
          <w:sz w:val="28"/>
          <w:szCs w:val="28"/>
          <w:lang w:eastAsia="es-ES"/>
        </w:rPr>
        <w:t>**********</w:t>
      </w:r>
      <w:r w:rsidR="00CC0F6C">
        <w:rPr>
          <w:rFonts w:ascii="Arial" w:eastAsia="Times New Roman" w:hAnsi="Arial" w:cs="Arial"/>
          <w:sz w:val="28"/>
          <w:szCs w:val="28"/>
          <w:lang w:eastAsia="es-ES"/>
        </w:rPr>
        <w:t xml:space="preserve"> de fecha veintisiete de enero de dos mil veinticinco, expedido por la Tesorería Municipal de San Luis Potosí, respecto</w:t>
      </w:r>
      <w:r w:rsidR="0049179B">
        <w:rPr>
          <w:rFonts w:ascii="Arial" w:eastAsia="Times New Roman" w:hAnsi="Arial" w:cs="Arial"/>
          <w:sz w:val="28"/>
          <w:szCs w:val="28"/>
          <w:lang w:eastAsia="es-ES"/>
        </w:rPr>
        <w:t xml:space="preserve"> al</w:t>
      </w:r>
      <w:r w:rsidR="00CC0F6C">
        <w:rPr>
          <w:rFonts w:ascii="Arial" w:eastAsia="Times New Roman" w:hAnsi="Arial" w:cs="Arial"/>
          <w:sz w:val="28"/>
          <w:szCs w:val="28"/>
          <w:lang w:eastAsia="es-ES"/>
        </w:rPr>
        <w:t xml:space="preserve"> pago del Impuesto Predial</w:t>
      </w:r>
      <w:r w:rsidR="00B62609">
        <w:rPr>
          <w:rFonts w:ascii="Arial" w:eastAsia="Times New Roman" w:hAnsi="Arial" w:cs="Arial"/>
          <w:sz w:val="28"/>
          <w:szCs w:val="28"/>
          <w:lang w:eastAsia="es-ES"/>
        </w:rPr>
        <w:t>, mismo que se encuentra a su nombre; documental que obra a foja 14 del expediente en el que se actúa</w:t>
      </w:r>
      <w:r w:rsidR="00F66B14">
        <w:rPr>
          <w:rFonts w:ascii="Arial" w:eastAsia="Times New Roman" w:hAnsi="Arial" w:cs="Arial"/>
          <w:sz w:val="28"/>
          <w:szCs w:val="28"/>
          <w:lang w:eastAsia="es-ES"/>
        </w:rPr>
        <w:t>.</w:t>
      </w:r>
    </w:p>
    <w:p w:rsidR="00D33FDB" w:rsidRPr="00564BC5" w:rsidRDefault="00D33FDB" w:rsidP="00D04803">
      <w:pPr>
        <w:spacing w:after="0" w:line="360" w:lineRule="auto"/>
        <w:jc w:val="both"/>
        <w:rPr>
          <w:rFonts w:ascii="Arial" w:hAnsi="Arial" w:cs="Arial"/>
          <w:sz w:val="28"/>
          <w:szCs w:val="28"/>
        </w:rPr>
      </w:pPr>
    </w:p>
    <w:p w:rsidR="00004D68" w:rsidRPr="00DE770F" w:rsidRDefault="00004D68" w:rsidP="00004D68">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sidRPr="00B81236">
        <w:rPr>
          <w:rFonts w:ascii="Arial" w:eastAsia="Times New Roman" w:hAnsi="Arial" w:cs="Arial"/>
          <w:color w:val="000000"/>
          <w:sz w:val="28"/>
          <w:szCs w:val="28"/>
          <w:lang w:eastAsia="es-ES"/>
        </w:rPr>
        <w:t>La autoridad demandada,</w:t>
      </w:r>
      <w:r w:rsidRPr="00B81236">
        <w:rPr>
          <w:rFonts w:ascii="Arial" w:eastAsia="Times New Roman" w:hAnsi="Arial" w:cs="Arial"/>
          <w:b/>
          <w:color w:val="000000"/>
          <w:sz w:val="28"/>
          <w:szCs w:val="28"/>
          <w:lang w:eastAsia="es-ES"/>
        </w:rPr>
        <w:t xml:space="preserve"> </w:t>
      </w:r>
      <w:r w:rsidRPr="00B81236">
        <w:rPr>
          <w:rFonts w:ascii="Arial" w:eastAsia="Times New Roman" w:hAnsi="Arial" w:cs="Arial"/>
          <w:color w:val="000000"/>
          <w:sz w:val="28"/>
          <w:szCs w:val="28"/>
          <w:lang w:eastAsia="es-ES"/>
        </w:rPr>
        <w:t>justificó debidamente su</w:t>
      </w:r>
      <w:r w:rsidRPr="00DE770F">
        <w:rPr>
          <w:rFonts w:ascii="Arial" w:eastAsia="Times New Roman" w:hAnsi="Arial" w:cs="Arial"/>
          <w:color w:val="000000"/>
          <w:sz w:val="28"/>
          <w:szCs w:val="28"/>
          <w:lang w:eastAsia="es-ES"/>
        </w:rPr>
        <w:t xml:space="preserve"> personalidad y legitimación en términos del artículo </w:t>
      </w:r>
      <w:r w:rsidRPr="00DE770F">
        <w:rPr>
          <w:rFonts w:ascii="Arial" w:hAnsi="Arial" w:cs="Arial"/>
          <w:sz w:val="28"/>
          <w:szCs w:val="28"/>
          <w:lang w:val="es-ES"/>
        </w:rPr>
        <w:t>220 del Código Procesal Administrativo para el Estado de San Luis Potosí</w:t>
      </w:r>
      <w:r w:rsidRPr="00DE770F">
        <w:rPr>
          <w:rFonts w:ascii="Arial" w:eastAsia="Times New Roman" w:hAnsi="Arial" w:cs="Arial"/>
          <w:color w:val="000000"/>
          <w:sz w:val="28"/>
          <w:szCs w:val="28"/>
          <w:lang w:eastAsia="es-ES"/>
        </w:rPr>
        <w:t xml:space="preserve">, en virtud de que el Organismo Intermunicipal INTERAPAS, compareció por conducto de la </w:t>
      </w:r>
      <w:r w:rsidRPr="00DE770F">
        <w:rPr>
          <w:rFonts w:ascii="Arial" w:hAnsi="Arial" w:cs="Arial"/>
          <w:color w:val="000000"/>
          <w:sz w:val="28"/>
          <w:szCs w:val="28"/>
          <w:lang w:eastAsia="es-MX"/>
        </w:rPr>
        <w:t xml:space="preserve">licenciada </w:t>
      </w:r>
      <w:r w:rsidR="00FC58CE">
        <w:rPr>
          <w:rFonts w:ascii="Arial" w:hAnsi="Arial" w:cs="Arial"/>
          <w:b/>
          <w:color w:val="FF0000"/>
          <w:sz w:val="28"/>
          <w:szCs w:val="28"/>
          <w:lang w:val="es-ES" w:eastAsia="es-MX"/>
        </w:rPr>
        <w:t>**********</w:t>
      </w:r>
      <w:r w:rsidRPr="00DE770F">
        <w:rPr>
          <w:rFonts w:ascii="Arial" w:hAnsi="Arial" w:cs="Arial"/>
          <w:sz w:val="28"/>
          <w:szCs w:val="28"/>
          <w:lang w:val="es-ES" w:eastAsia="es-MX"/>
        </w:rPr>
        <w:t>quien comparece en su carácter de Director Jurídico del Organismo Intermunicipal Metropolitano de Agua Potable, Alcantarillado, Saneamiento y Servicios Conexos de los Municipios de Cerro de San Pedro, San Luis Potosí y Soledad de Graciano Sánchez, (INTERAPAS)</w:t>
      </w:r>
      <w:r w:rsidRPr="00DE770F">
        <w:rPr>
          <w:rFonts w:ascii="Arial" w:eastAsia="Times New Roman" w:hAnsi="Arial" w:cs="Arial"/>
          <w:sz w:val="28"/>
          <w:szCs w:val="28"/>
          <w:lang w:eastAsia="es-ES"/>
        </w:rPr>
        <w:t>,</w:t>
      </w:r>
      <w:r w:rsidRPr="00DE770F">
        <w:rPr>
          <w:rFonts w:ascii="Arial" w:eastAsia="Times New Roman" w:hAnsi="Arial" w:cs="Arial"/>
          <w:color w:val="000000"/>
          <w:sz w:val="28"/>
          <w:szCs w:val="28"/>
          <w:lang w:eastAsia="es-ES"/>
        </w:rPr>
        <w:t xml:space="preserve"> acompañando copia certificada del nombramiento expedido a su favor, </w:t>
      </w:r>
      <w:r>
        <w:rPr>
          <w:rFonts w:ascii="Arial" w:eastAsia="Times New Roman" w:hAnsi="Arial" w:cs="Arial"/>
          <w:color w:val="000000"/>
          <w:sz w:val="28"/>
          <w:szCs w:val="28"/>
          <w:lang w:eastAsia="es-ES"/>
        </w:rPr>
        <w:t xml:space="preserve">el cual obra agregado a fojas </w:t>
      </w:r>
      <w:r w:rsidR="00585190">
        <w:rPr>
          <w:rFonts w:ascii="Arial" w:eastAsia="Times New Roman" w:hAnsi="Arial" w:cs="Arial"/>
          <w:color w:val="000000"/>
          <w:sz w:val="28"/>
          <w:szCs w:val="28"/>
          <w:lang w:eastAsia="es-ES"/>
        </w:rPr>
        <w:t>36</w:t>
      </w:r>
      <w:r w:rsidRPr="00DE770F">
        <w:rPr>
          <w:rFonts w:ascii="Arial" w:eastAsia="Times New Roman" w:hAnsi="Arial" w:cs="Arial"/>
          <w:color w:val="000000"/>
          <w:sz w:val="28"/>
          <w:szCs w:val="28"/>
          <w:lang w:eastAsia="es-ES"/>
        </w:rPr>
        <w:t xml:space="preserve"> de autos.</w:t>
      </w:r>
    </w:p>
    <w:p w:rsidR="00004D68" w:rsidRPr="00DE770F" w:rsidRDefault="00004D68" w:rsidP="00004D68">
      <w:pPr>
        <w:autoSpaceDE w:val="0"/>
        <w:autoSpaceDN w:val="0"/>
        <w:adjustRightInd w:val="0"/>
        <w:spacing w:after="0" w:line="360" w:lineRule="auto"/>
        <w:ind w:firstLine="708"/>
        <w:jc w:val="both"/>
        <w:rPr>
          <w:rFonts w:ascii="Arial" w:hAnsi="Arial" w:cs="Arial"/>
          <w:sz w:val="28"/>
          <w:szCs w:val="28"/>
        </w:rPr>
      </w:pPr>
    </w:p>
    <w:p w:rsidR="00004D68" w:rsidRPr="00DE770F" w:rsidRDefault="00004D68" w:rsidP="00004D68">
      <w:pPr>
        <w:autoSpaceDE w:val="0"/>
        <w:autoSpaceDN w:val="0"/>
        <w:adjustRightInd w:val="0"/>
        <w:spacing w:after="0" w:line="360" w:lineRule="auto"/>
        <w:ind w:firstLine="708"/>
        <w:jc w:val="both"/>
        <w:rPr>
          <w:rFonts w:ascii="Arial" w:hAnsi="Arial" w:cs="Arial"/>
          <w:sz w:val="28"/>
          <w:szCs w:val="28"/>
        </w:rPr>
      </w:pPr>
      <w:r w:rsidRPr="00DE770F">
        <w:rPr>
          <w:rFonts w:ascii="Arial" w:hAnsi="Arial" w:cs="Arial"/>
          <w:sz w:val="28"/>
          <w:szCs w:val="28"/>
        </w:rPr>
        <w:lastRenderedPageBreak/>
        <w:t xml:space="preserve">Las documentales en referencia adquieren valor probatorio  pleno, con apoyo legal en el artículo 72 fracción I </w:t>
      </w:r>
      <w:r w:rsidRPr="00DE770F">
        <w:rPr>
          <w:rFonts w:ascii="Arial" w:hAnsi="Arial" w:cs="Arial"/>
          <w:sz w:val="28"/>
          <w:szCs w:val="28"/>
          <w:lang w:val="es-ES"/>
        </w:rPr>
        <w:t>del Código Procesal Administrativo para el Estado de San Luis Potosí</w:t>
      </w:r>
      <w:r w:rsidRPr="00DE770F">
        <w:rPr>
          <w:rFonts w:ascii="Arial" w:hAnsi="Arial" w:cs="Arial"/>
          <w:sz w:val="28"/>
          <w:szCs w:val="28"/>
        </w:rPr>
        <w:t>.</w:t>
      </w:r>
    </w:p>
    <w:p w:rsidR="00CE3DD0" w:rsidRDefault="00CE3DD0" w:rsidP="00D04803">
      <w:pPr>
        <w:spacing w:after="0" w:line="360" w:lineRule="auto"/>
        <w:ind w:firstLine="709"/>
        <w:jc w:val="both"/>
        <w:rPr>
          <w:rFonts w:ascii="Arial" w:eastAsia="Times New Roman" w:hAnsi="Arial" w:cs="Arial"/>
          <w:color w:val="000000"/>
          <w:sz w:val="28"/>
          <w:szCs w:val="28"/>
          <w:lang w:eastAsia="es-ES"/>
        </w:rPr>
      </w:pPr>
    </w:p>
    <w:p w:rsidR="00585190" w:rsidRPr="00585190" w:rsidRDefault="00585190" w:rsidP="00585190">
      <w:pPr>
        <w:spacing w:before="240" w:after="240" w:line="360" w:lineRule="auto"/>
        <w:ind w:firstLine="708"/>
        <w:jc w:val="both"/>
        <w:rPr>
          <w:rFonts w:ascii="Arial" w:eastAsia="Times New Roman" w:hAnsi="Arial" w:cs="Arial"/>
          <w:sz w:val="28"/>
          <w:szCs w:val="28"/>
          <w:lang w:val="es-ES" w:eastAsia="es-ES"/>
        </w:rPr>
      </w:pPr>
      <w:r w:rsidRPr="00585190">
        <w:rPr>
          <w:rFonts w:ascii="Arial" w:eastAsia="Times New Roman" w:hAnsi="Arial" w:cs="Arial"/>
          <w:b/>
          <w:sz w:val="28"/>
          <w:szCs w:val="28"/>
          <w:lang w:val="es-ES" w:eastAsia="es-ES"/>
        </w:rPr>
        <w:t>TERCERO.-</w:t>
      </w:r>
      <w:r w:rsidRPr="00585190">
        <w:rPr>
          <w:rFonts w:ascii="Arial" w:eastAsia="Times New Roman" w:hAnsi="Arial" w:cs="Arial"/>
          <w:sz w:val="28"/>
          <w:szCs w:val="28"/>
          <w:lang w:val="es-ES" w:eastAsia="es-ES"/>
        </w:rPr>
        <w:t xml:space="preserve"> La </w:t>
      </w:r>
      <w:proofErr w:type="spellStart"/>
      <w:r w:rsidRPr="00585190">
        <w:rPr>
          <w:rFonts w:ascii="Arial" w:eastAsia="Times New Roman" w:hAnsi="Arial" w:cs="Arial"/>
          <w:sz w:val="28"/>
          <w:szCs w:val="28"/>
          <w:lang w:val="es-ES" w:eastAsia="es-ES"/>
        </w:rPr>
        <w:t>litis</w:t>
      </w:r>
      <w:proofErr w:type="spellEnd"/>
      <w:r w:rsidRPr="00585190">
        <w:rPr>
          <w:rFonts w:ascii="Arial" w:eastAsia="Times New Roman" w:hAnsi="Arial" w:cs="Arial"/>
          <w:sz w:val="28"/>
          <w:szCs w:val="28"/>
          <w:lang w:val="es-ES" w:eastAsia="es-ES"/>
        </w:rPr>
        <w:t xml:space="preserve"> planteada en este Juicio Contencioso Administrativo es la legalidad o ilegalidad del acto impugnado que la Parte Actora hizo consistir en:</w:t>
      </w:r>
    </w:p>
    <w:p w:rsidR="00585190" w:rsidRPr="007D1397" w:rsidRDefault="00585190" w:rsidP="00585190">
      <w:pPr>
        <w:spacing w:after="0"/>
        <w:ind w:left="851"/>
        <w:jc w:val="both"/>
        <w:rPr>
          <w:rFonts w:ascii="Arial" w:eastAsia="Times New Roman" w:hAnsi="Arial" w:cs="Arial"/>
          <w:i/>
          <w:sz w:val="24"/>
          <w:szCs w:val="24"/>
          <w:lang w:eastAsia="es-ES"/>
        </w:rPr>
      </w:pPr>
      <w:r w:rsidRPr="007D1397">
        <w:rPr>
          <w:rFonts w:ascii="Arial" w:eastAsia="Times New Roman" w:hAnsi="Arial" w:cs="Arial"/>
          <w:i/>
          <w:sz w:val="24"/>
          <w:szCs w:val="24"/>
          <w:lang w:eastAsia="es-ES"/>
        </w:rPr>
        <w:t>“</w:t>
      </w:r>
      <w:r>
        <w:rPr>
          <w:rFonts w:ascii="Arial" w:eastAsia="Times New Roman" w:hAnsi="Arial" w:cs="Arial"/>
          <w:i/>
          <w:sz w:val="24"/>
          <w:szCs w:val="24"/>
          <w:lang w:eastAsia="es-ES"/>
        </w:rPr>
        <w:t xml:space="preserve">Reclamo la emisión y aplicación en mi perjuicio del Acta de infracción de fecha 03 de enero de 2025, ilegalmente aplicada en mi propiedad, emitida por la supuesta Inspector del Organismo Intermunicipal Metropolitano de Agua Potable, Alcantarillado, Saneamiento y Servicios Conexos de los Municipios de Cerro de San Pedro, San Luis Potosí y Soledad de Graciano Sánchez (INTERAPAS), de nombre </w:t>
      </w:r>
      <w:r w:rsidR="00FC58CE">
        <w:rPr>
          <w:rFonts w:ascii="Arial" w:eastAsia="Times New Roman" w:hAnsi="Arial" w:cs="Arial"/>
          <w:i/>
          <w:color w:val="FF0000"/>
          <w:sz w:val="24"/>
          <w:szCs w:val="24"/>
          <w:lang w:eastAsia="es-ES"/>
        </w:rPr>
        <w:t>**********</w:t>
      </w:r>
      <w:r>
        <w:rPr>
          <w:rFonts w:ascii="Arial" w:eastAsia="Times New Roman" w:hAnsi="Arial" w:cs="Arial"/>
          <w:i/>
          <w:sz w:val="24"/>
          <w:szCs w:val="24"/>
          <w:lang w:eastAsia="es-ES"/>
        </w:rPr>
        <w:t>, misma que se acompaña al presente como anexo uno, así como todos los efectos y consecuencias de la resolución citada, en especial la imposición arbitraría de la sanción por el concepto de 60 UMAS”</w:t>
      </w:r>
    </w:p>
    <w:p w:rsidR="003763D8" w:rsidRDefault="003763D8" w:rsidP="00D04803">
      <w:pPr>
        <w:spacing w:after="0" w:line="360" w:lineRule="auto"/>
        <w:ind w:firstLine="708"/>
        <w:jc w:val="both"/>
        <w:rPr>
          <w:rFonts w:ascii="Arial" w:hAnsi="Arial" w:cs="Arial"/>
          <w:b/>
          <w:sz w:val="28"/>
          <w:szCs w:val="28"/>
        </w:rPr>
      </w:pPr>
    </w:p>
    <w:p w:rsidR="00A94B57" w:rsidRPr="00A94B57" w:rsidRDefault="00A94B57" w:rsidP="00A94B57">
      <w:pPr>
        <w:spacing w:after="0" w:line="360" w:lineRule="auto"/>
        <w:ind w:firstLine="708"/>
        <w:jc w:val="both"/>
        <w:rPr>
          <w:rFonts w:ascii="Arial" w:hAnsi="Arial" w:cs="Arial"/>
          <w:sz w:val="28"/>
          <w:szCs w:val="28"/>
        </w:rPr>
      </w:pPr>
      <w:r w:rsidRPr="00A94B57">
        <w:rPr>
          <w:rFonts w:ascii="Arial" w:hAnsi="Arial" w:cs="Arial"/>
          <w:b/>
          <w:sz w:val="28"/>
          <w:szCs w:val="28"/>
        </w:rPr>
        <w:t xml:space="preserve">CUARTO.- </w:t>
      </w:r>
      <w:r w:rsidRPr="00A94B57">
        <w:rPr>
          <w:rFonts w:ascii="Arial" w:hAnsi="Arial" w:cs="Arial"/>
          <w:sz w:val="28"/>
          <w:szCs w:val="28"/>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228 y 229 </w:t>
      </w:r>
      <w:r w:rsidRPr="00A94B57">
        <w:rPr>
          <w:rFonts w:ascii="Arial" w:hAnsi="Arial" w:cs="Arial"/>
          <w:sz w:val="28"/>
          <w:szCs w:val="28"/>
          <w:lang w:val="es-ES"/>
        </w:rPr>
        <w:t>del Código Procesal Administrativo para el Estado de San Luis Potosí</w:t>
      </w:r>
      <w:r w:rsidRPr="00A94B57">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A94B57" w:rsidRPr="00A94B57" w:rsidRDefault="00A94B57" w:rsidP="00A94B57">
      <w:pPr>
        <w:spacing w:before="240" w:line="360" w:lineRule="auto"/>
        <w:ind w:firstLine="708"/>
        <w:jc w:val="both"/>
        <w:rPr>
          <w:rFonts w:ascii="Arial" w:hAnsi="Arial" w:cs="Arial"/>
          <w:sz w:val="28"/>
          <w:szCs w:val="28"/>
        </w:rPr>
      </w:pPr>
      <w:r w:rsidRPr="00A94B57">
        <w:rPr>
          <w:rFonts w:ascii="Arial" w:hAnsi="Arial" w:cs="Arial"/>
          <w:sz w:val="28"/>
          <w:szCs w:val="28"/>
        </w:rPr>
        <w:t xml:space="preserve">En ese sentido, se debe de hacer mención, que de acuerdo a lo que ordena el artículo 228 último párrafo </w:t>
      </w:r>
      <w:r w:rsidRPr="00A94B57">
        <w:rPr>
          <w:rFonts w:ascii="Arial" w:hAnsi="Arial" w:cs="Arial"/>
          <w:sz w:val="28"/>
          <w:szCs w:val="28"/>
          <w:lang w:val="es-ES"/>
        </w:rPr>
        <w:t>del citado Código Procesal Administrativo para el Estado de San Luis Potosí</w:t>
      </w:r>
      <w:r w:rsidRPr="00A94B57">
        <w:rPr>
          <w:rFonts w:ascii="Arial" w:hAnsi="Arial" w:cs="Arial"/>
          <w:sz w:val="28"/>
          <w:szCs w:val="28"/>
        </w:rPr>
        <w:t>, esta Sala practicó estudio oficioso de las causales de improcedencia y no advirtió que en la especie se actualice causal de improcedencia alguna, por lo que en seguida se procede al estudio de los conceptos de impugnación.</w:t>
      </w: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b/>
          <w:sz w:val="28"/>
          <w:szCs w:val="28"/>
        </w:rPr>
        <w:lastRenderedPageBreak/>
        <w:t xml:space="preserve">QUINTO.- </w:t>
      </w:r>
      <w:r w:rsidRPr="00564BC5">
        <w:rPr>
          <w:rFonts w:ascii="Arial" w:hAnsi="Arial" w:cs="Arial"/>
          <w:sz w:val="28"/>
          <w:szCs w:val="28"/>
        </w:rPr>
        <w:t xml:space="preserve">La parte actora hizo valer los conceptos de impugnación que se advierte </w:t>
      </w:r>
      <w:r w:rsidR="0014186E">
        <w:rPr>
          <w:rFonts w:ascii="Arial" w:hAnsi="Arial" w:cs="Arial"/>
          <w:sz w:val="28"/>
          <w:szCs w:val="28"/>
        </w:rPr>
        <w:t xml:space="preserve">a </w:t>
      </w:r>
      <w:r w:rsidRPr="00564BC5">
        <w:rPr>
          <w:rFonts w:ascii="Arial" w:hAnsi="Arial" w:cs="Arial"/>
          <w:sz w:val="28"/>
          <w:szCs w:val="28"/>
        </w:rPr>
        <w:t>foja</w:t>
      </w:r>
      <w:r w:rsidR="000805D6">
        <w:rPr>
          <w:rFonts w:ascii="Arial" w:hAnsi="Arial" w:cs="Arial"/>
          <w:sz w:val="28"/>
          <w:szCs w:val="28"/>
        </w:rPr>
        <w:t xml:space="preserve"> de la 03 a la </w:t>
      </w:r>
      <w:r w:rsidR="003E45C6">
        <w:rPr>
          <w:rFonts w:ascii="Arial" w:hAnsi="Arial" w:cs="Arial"/>
          <w:sz w:val="28"/>
          <w:szCs w:val="28"/>
        </w:rPr>
        <w:t>1</w:t>
      </w:r>
      <w:r w:rsidR="00A94B57">
        <w:rPr>
          <w:rFonts w:ascii="Arial" w:hAnsi="Arial" w:cs="Arial"/>
          <w:sz w:val="28"/>
          <w:szCs w:val="28"/>
        </w:rPr>
        <w:t>0 y de la</w:t>
      </w:r>
      <w:r w:rsidR="001C7993">
        <w:rPr>
          <w:rFonts w:ascii="Arial" w:hAnsi="Arial" w:cs="Arial"/>
          <w:sz w:val="28"/>
          <w:szCs w:val="28"/>
        </w:rPr>
        <w:t xml:space="preserve"> 55 a la 57</w:t>
      </w:r>
      <w:r w:rsidR="000805D6">
        <w:rPr>
          <w:rFonts w:ascii="Arial" w:hAnsi="Arial" w:cs="Arial"/>
          <w:sz w:val="28"/>
          <w:szCs w:val="28"/>
        </w:rPr>
        <w:t xml:space="preserve"> </w:t>
      </w:r>
      <w:r w:rsidRPr="00564BC5">
        <w:rPr>
          <w:rFonts w:ascii="Arial" w:hAnsi="Arial" w:cs="Arial"/>
          <w:sz w:val="28"/>
          <w:szCs w:val="28"/>
        </w:rPr>
        <w:t>de autos, argumentos que no se transcriben y, por economía procesal, se tienen por reproducidos como si se insertaren a la letra, para que surtan sus efectos legales a que haya lugar.</w:t>
      </w:r>
    </w:p>
    <w:p w:rsidR="003E45C6" w:rsidRDefault="003E45C6"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 xml:space="preserve">Al respecto, es aplicable la </w:t>
      </w:r>
      <w:r>
        <w:rPr>
          <w:rFonts w:ascii="Arial" w:hAnsi="Arial" w:cs="Arial"/>
          <w:sz w:val="28"/>
          <w:szCs w:val="28"/>
        </w:rPr>
        <w:t xml:space="preserve">siguiente </w:t>
      </w:r>
      <w:r w:rsidRPr="00564BC5">
        <w:rPr>
          <w:rFonts w:ascii="Arial" w:hAnsi="Arial" w:cs="Arial"/>
          <w:sz w:val="28"/>
          <w:szCs w:val="28"/>
        </w:rPr>
        <w:t>Tesis</w:t>
      </w:r>
      <w:r>
        <w:rPr>
          <w:rFonts w:ascii="Arial" w:hAnsi="Arial" w:cs="Arial"/>
          <w:sz w:val="28"/>
          <w:szCs w:val="28"/>
        </w:rPr>
        <w:t>:</w:t>
      </w:r>
      <w:r w:rsidRPr="00564BC5">
        <w:rPr>
          <w:rFonts w:ascii="Arial" w:hAnsi="Arial" w:cs="Arial"/>
          <w:sz w:val="28"/>
          <w:szCs w:val="28"/>
        </w:rPr>
        <w:t xml:space="preserve"> </w:t>
      </w:r>
    </w:p>
    <w:p w:rsidR="007B3278" w:rsidRDefault="007B3278" w:rsidP="00F222A6">
      <w:pPr>
        <w:spacing w:after="0" w:line="240" w:lineRule="auto"/>
        <w:ind w:left="709"/>
        <w:jc w:val="both"/>
        <w:rPr>
          <w:rFonts w:ascii="Arial" w:hAnsi="Arial" w:cs="Arial"/>
          <w:b/>
          <w:szCs w:val="20"/>
        </w:rPr>
      </w:pPr>
    </w:p>
    <w:p w:rsidR="00F222A6" w:rsidRPr="003356D9" w:rsidRDefault="00F222A6" w:rsidP="00F222A6">
      <w:pPr>
        <w:spacing w:after="0" w:line="240" w:lineRule="auto"/>
        <w:ind w:left="709"/>
        <w:jc w:val="both"/>
        <w:rPr>
          <w:rFonts w:ascii="Arial" w:hAnsi="Arial" w:cs="Arial"/>
          <w:sz w:val="24"/>
          <w:szCs w:val="24"/>
        </w:rPr>
      </w:pPr>
      <w:r w:rsidRPr="003356D9">
        <w:rPr>
          <w:rFonts w:ascii="Arial" w:hAnsi="Arial" w:cs="Arial"/>
          <w:b/>
          <w:sz w:val="24"/>
          <w:szCs w:val="24"/>
        </w:rPr>
        <w:t>“CONCEPTOS DE VIOLACIÓN O AGRAVIOS. PARA CUMPLIR CON LOS PRINCIPIOS DE CONGRUENCIA Y EXHAUSTIVIDAD EN LAS SENTENCIAS DE AMPARO ES INNECESARIA SU TRANSCRIPCIÓN.</w:t>
      </w:r>
      <w:r w:rsidRPr="003356D9">
        <w:rPr>
          <w:rFonts w:ascii="Arial" w:hAnsi="Arial" w:cs="Arial"/>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3356D9">
        <w:rPr>
          <w:rFonts w:ascii="Arial" w:hAnsi="Arial" w:cs="Arial"/>
          <w:sz w:val="24"/>
          <w:szCs w:val="24"/>
        </w:rPr>
        <w:t>litis</w:t>
      </w:r>
      <w:proofErr w:type="spellEnd"/>
      <w:r w:rsidRPr="003356D9">
        <w:rPr>
          <w:rFonts w:ascii="Arial" w:hAnsi="Arial" w:cs="Arial"/>
          <w:sz w:val="24"/>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roofErr w:type="gramStart"/>
      <w:r w:rsidRPr="003356D9">
        <w:rPr>
          <w:rFonts w:ascii="Arial" w:hAnsi="Arial" w:cs="Arial"/>
          <w:sz w:val="24"/>
          <w:szCs w:val="24"/>
        </w:rPr>
        <w:t>..</w:t>
      </w:r>
      <w:proofErr w:type="gramEnd"/>
      <w:r w:rsidRPr="003356D9">
        <w:rPr>
          <w:rFonts w:ascii="Arial" w:hAnsi="Arial" w:cs="Arial"/>
          <w:sz w:val="24"/>
          <w:szCs w:val="24"/>
        </w:rPr>
        <w:t>- 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r w:rsidRPr="003356D9">
        <w:rPr>
          <w:rStyle w:val="Refdenotaalpie"/>
          <w:rFonts w:ascii="Arial" w:hAnsi="Arial" w:cs="Arial"/>
          <w:sz w:val="24"/>
          <w:szCs w:val="24"/>
        </w:rPr>
        <w:footnoteReference w:id="1"/>
      </w:r>
    </w:p>
    <w:p w:rsidR="00F222A6" w:rsidRPr="003356D9" w:rsidRDefault="00F222A6" w:rsidP="00D04803">
      <w:pPr>
        <w:spacing w:after="0" w:line="360" w:lineRule="auto"/>
        <w:ind w:firstLine="708"/>
        <w:jc w:val="both"/>
        <w:rPr>
          <w:rFonts w:ascii="Arial" w:hAnsi="Arial" w:cs="Arial"/>
          <w:b/>
          <w:sz w:val="24"/>
          <w:szCs w:val="24"/>
        </w:rPr>
      </w:pPr>
    </w:p>
    <w:p w:rsidR="003356D9" w:rsidRDefault="003356D9" w:rsidP="00D04803">
      <w:pPr>
        <w:spacing w:after="0" w:line="360" w:lineRule="auto"/>
        <w:ind w:firstLine="708"/>
        <w:jc w:val="both"/>
        <w:rPr>
          <w:rFonts w:ascii="Arial" w:hAnsi="Arial" w:cs="Arial"/>
          <w:b/>
          <w:sz w:val="28"/>
          <w:szCs w:val="28"/>
        </w:rPr>
      </w:pPr>
    </w:p>
    <w:p w:rsidR="00551454" w:rsidRPr="00551454" w:rsidRDefault="003356D9" w:rsidP="00DA1117">
      <w:pPr>
        <w:autoSpaceDE w:val="0"/>
        <w:autoSpaceDN w:val="0"/>
        <w:adjustRightInd w:val="0"/>
        <w:spacing w:before="240" w:after="240" w:line="360" w:lineRule="auto"/>
        <w:ind w:firstLine="708"/>
        <w:jc w:val="both"/>
        <w:rPr>
          <w:rFonts w:ascii="Arial" w:hAnsi="Arial" w:cs="Arial"/>
          <w:sz w:val="28"/>
          <w:szCs w:val="28"/>
          <w:lang w:val="es-ES"/>
        </w:rPr>
      </w:pPr>
      <w:r w:rsidRPr="00D864F3">
        <w:rPr>
          <w:rFonts w:ascii="Arial" w:hAnsi="Arial" w:cs="Arial"/>
          <w:b/>
          <w:sz w:val="28"/>
          <w:szCs w:val="28"/>
        </w:rPr>
        <w:t xml:space="preserve">SEXTO.- </w:t>
      </w:r>
      <w:r w:rsidR="00551454" w:rsidRPr="00551454">
        <w:rPr>
          <w:rFonts w:ascii="Arial" w:eastAsia="Times New Roman" w:hAnsi="Arial" w:cs="Arial"/>
          <w:color w:val="000000"/>
          <w:sz w:val="28"/>
          <w:szCs w:val="28"/>
          <w:lang w:val="es-ES" w:eastAsia="es-ES"/>
        </w:rPr>
        <w:t>En primer término se debe de precisar que los actos impugnados se hacen consistir en</w:t>
      </w:r>
      <w:r w:rsidR="00DA1117">
        <w:rPr>
          <w:rFonts w:ascii="Arial" w:eastAsia="Times New Roman" w:hAnsi="Arial" w:cs="Arial"/>
          <w:color w:val="000000"/>
          <w:sz w:val="28"/>
          <w:szCs w:val="28"/>
          <w:lang w:val="es-ES" w:eastAsia="es-ES"/>
        </w:rPr>
        <w:t xml:space="preserve"> el Acta de Infracción de fecha tres de enero de dos mil veinticinco</w:t>
      </w:r>
      <w:r w:rsidR="00551454" w:rsidRPr="00551454">
        <w:rPr>
          <w:rFonts w:ascii="Arial" w:hAnsi="Arial" w:cs="Arial"/>
          <w:sz w:val="28"/>
          <w:szCs w:val="28"/>
          <w:lang w:val="es-ES"/>
        </w:rPr>
        <w:t xml:space="preserve">; y el oficio </w:t>
      </w:r>
      <w:r w:rsidR="00E4269A">
        <w:rPr>
          <w:rFonts w:ascii="Arial" w:hAnsi="Arial" w:cs="Arial"/>
          <w:sz w:val="28"/>
          <w:szCs w:val="28"/>
          <w:lang w:val="es-ES"/>
        </w:rPr>
        <w:t xml:space="preserve">de inspección </w:t>
      </w:r>
      <w:r w:rsidR="00E4269A">
        <w:rPr>
          <w:rFonts w:ascii="Arial" w:hAnsi="Arial" w:cs="Arial"/>
          <w:sz w:val="28"/>
          <w:szCs w:val="28"/>
          <w:lang w:val="es-ES"/>
        </w:rPr>
        <w:lastRenderedPageBreak/>
        <w:t xml:space="preserve">y verificación </w:t>
      </w:r>
      <w:r w:rsidR="00FC58CE">
        <w:rPr>
          <w:rFonts w:ascii="Arial" w:hAnsi="Arial" w:cs="Arial"/>
          <w:color w:val="FF0000"/>
          <w:sz w:val="28"/>
          <w:szCs w:val="28"/>
          <w:lang w:val="es-ES"/>
        </w:rPr>
        <w:t>**********</w:t>
      </w:r>
      <w:r w:rsidR="00E4269A">
        <w:rPr>
          <w:rFonts w:ascii="Arial" w:hAnsi="Arial" w:cs="Arial"/>
          <w:sz w:val="28"/>
          <w:szCs w:val="28"/>
          <w:lang w:val="es-ES"/>
        </w:rPr>
        <w:t>, de fecha diez de diciembre del dos mil veinticuatro</w:t>
      </w:r>
      <w:r w:rsidR="00551454" w:rsidRPr="00551454">
        <w:rPr>
          <w:rFonts w:ascii="Arial" w:hAnsi="Arial" w:cs="Arial"/>
          <w:sz w:val="28"/>
          <w:szCs w:val="28"/>
          <w:lang w:val="es-ES"/>
        </w:rPr>
        <w:t xml:space="preserve">, documentales que obran a foja </w:t>
      </w:r>
      <w:r w:rsidR="00E4269A">
        <w:rPr>
          <w:rFonts w:ascii="Arial" w:hAnsi="Arial" w:cs="Arial"/>
          <w:sz w:val="28"/>
          <w:szCs w:val="28"/>
          <w:lang w:val="es-ES"/>
        </w:rPr>
        <w:t>12, 13 y 44 del expediente en el que se actúa.</w:t>
      </w:r>
    </w:p>
    <w:p w:rsidR="00551454" w:rsidRDefault="00551454" w:rsidP="00551454">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551454">
        <w:rPr>
          <w:rFonts w:ascii="Arial" w:eastAsia="Times New Roman" w:hAnsi="Arial" w:cs="Arial"/>
          <w:color w:val="000000"/>
          <w:sz w:val="28"/>
          <w:szCs w:val="28"/>
          <w:lang w:val="es-ES" w:eastAsia="es-ES"/>
        </w:rPr>
        <w:t xml:space="preserve">Así las cosas, se desprende que de los conceptos de impugnación hechos valer en el escrito inicial de demanda y en el de su ampliación, la parte actora hace valer diversos conceptos de impugnación tendientes a combatir los oficios anteriormente referidos; </w:t>
      </w:r>
      <w:r w:rsidR="001D0794">
        <w:rPr>
          <w:rFonts w:ascii="Arial" w:eastAsia="Times New Roman" w:hAnsi="Arial" w:cs="Arial"/>
          <w:color w:val="000000"/>
          <w:sz w:val="28"/>
          <w:szCs w:val="28"/>
          <w:lang w:val="es-ES" w:eastAsia="es-ES"/>
        </w:rPr>
        <w:t xml:space="preserve">combatiendo </w:t>
      </w:r>
      <w:r w:rsidRPr="00551454">
        <w:rPr>
          <w:rFonts w:ascii="Arial" w:eastAsia="Times New Roman" w:hAnsi="Arial" w:cs="Arial"/>
          <w:color w:val="000000"/>
          <w:sz w:val="28"/>
          <w:szCs w:val="28"/>
          <w:lang w:val="es-ES" w:eastAsia="es-ES"/>
        </w:rPr>
        <w:t xml:space="preserve">cuestiones de fondo en cuanto a su emisión. </w:t>
      </w:r>
    </w:p>
    <w:p w:rsidR="00551454" w:rsidRPr="00551454" w:rsidRDefault="00551454" w:rsidP="00551454">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551454">
        <w:rPr>
          <w:rFonts w:ascii="Arial" w:eastAsia="Times New Roman" w:hAnsi="Arial" w:cs="Arial"/>
          <w:color w:val="000000"/>
          <w:sz w:val="28"/>
          <w:szCs w:val="28"/>
          <w:lang w:val="es-ES" w:eastAsia="es-ES"/>
        </w:rPr>
        <w:t xml:space="preserve">En ese sentido, esta Sala </w:t>
      </w:r>
      <w:r w:rsidR="001D0794">
        <w:rPr>
          <w:rFonts w:ascii="Arial" w:eastAsia="Times New Roman" w:hAnsi="Arial" w:cs="Arial"/>
          <w:color w:val="000000"/>
          <w:sz w:val="28"/>
          <w:szCs w:val="28"/>
          <w:lang w:val="es-ES" w:eastAsia="es-ES"/>
        </w:rPr>
        <w:t>Unitaria</w:t>
      </w:r>
      <w:r w:rsidRPr="00551454">
        <w:rPr>
          <w:rFonts w:ascii="Arial" w:eastAsia="Times New Roman" w:hAnsi="Arial" w:cs="Arial"/>
          <w:color w:val="000000"/>
          <w:sz w:val="28"/>
          <w:szCs w:val="28"/>
          <w:lang w:val="es-ES" w:eastAsia="es-ES"/>
        </w:rPr>
        <w:t>, para un mayor entendimiento de la presente resolución, se procede al estudio del concepto de impugnación identificado con</w:t>
      </w:r>
      <w:r w:rsidR="007A7250">
        <w:rPr>
          <w:rFonts w:ascii="Arial" w:eastAsia="Times New Roman" w:hAnsi="Arial" w:cs="Arial"/>
          <w:color w:val="000000"/>
          <w:sz w:val="28"/>
          <w:szCs w:val="28"/>
          <w:lang w:val="es-ES" w:eastAsia="es-ES"/>
        </w:rPr>
        <w:t xml:space="preserve"> el número uno del escrito inicial de demanda</w:t>
      </w:r>
      <w:r w:rsidRPr="00551454">
        <w:rPr>
          <w:rFonts w:ascii="Arial" w:eastAsia="Times New Roman" w:hAnsi="Arial" w:cs="Arial"/>
          <w:color w:val="000000"/>
          <w:sz w:val="28"/>
          <w:szCs w:val="28"/>
          <w:lang w:val="es-ES" w:eastAsia="es-ES"/>
        </w:rPr>
        <w:t>, el cual es hecho valer en contra de</w:t>
      </w:r>
      <w:r w:rsidR="007A7250">
        <w:rPr>
          <w:rFonts w:ascii="Arial" w:eastAsia="Times New Roman" w:hAnsi="Arial" w:cs="Arial"/>
          <w:color w:val="000000"/>
          <w:sz w:val="28"/>
          <w:szCs w:val="28"/>
          <w:lang w:val="es-ES" w:eastAsia="es-ES"/>
        </w:rPr>
        <w:t>l Acta de Infracción de fecha tres de enero de dos mil veinticinco</w:t>
      </w:r>
      <w:r w:rsidRPr="00551454">
        <w:rPr>
          <w:rFonts w:ascii="Arial" w:eastAsia="Times New Roman" w:hAnsi="Arial" w:cs="Arial"/>
          <w:color w:val="000000"/>
          <w:sz w:val="28"/>
          <w:szCs w:val="28"/>
          <w:lang w:val="es-ES" w:eastAsia="es-ES"/>
        </w:rPr>
        <w:t>, documental que obra a foja</w:t>
      </w:r>
      <w:r w:rsidR="00F379F0">
        <w:rPr>
          <w:rFonts w:ascii="Arial" w:eastAsia="Times New Roman" w:hAnsi="Arial" w:cs="Arial"/>
          <w:color w:val="000000"/>
          <w:sz w:val="28"/>
          <w:szCs w:val="28"/>
          <w:lang w:val="es-ES" w:eastAsia="es-ES"/>
        </w:rPr>
        <w:t xml:space="preserve"> 12 y 13 </w:t>
      </w:r>
      <w:r w:rsidRPr="00551454">
        <w:rPr>
          <w:rFonts w:ascii="Arial" w:eastAsia="Times New Roman" w:hAnsi="Arial" w:cs="Arial"/>
          <w:color w:val="000000"/>
          <w:sz w:val="28"/>
          <w:szCs w:val="28"/>
          <w:lang w:val="es-ES" w:eastAsia="es-ES"/>
        </w:rPr>
        <w:t xml:space="preserve">del expediente en el que se actúa, y que se valora de conformidad con lo dispuesto por el artículo </w:t>
      </w:r>
      <w:r w:rsidR="00241B64">
        <w:rPr>
          <w:rFonts w:ascii="Arial" w:eastAsia="Times New Roman" w:hAnsi="Arial" w:cs="Arial"/>
          <w:color w:val="000000"/>
          <w:sz w:val="28"/>
          <w:szCs w:val="28"/>
          <w:lang w:val="es-ES" w:eastAsia="es-ES"/>
        </w:rPr>
        <w:t>72</w:t>
      </w:r>
      <w:r w:rsidRPr="00551454">
        <w:rPr>
          <w:rFonts w:ascii="Arial" w:eastAsia="Times New Roman" w:hAnsi="Arial" w:cs="Arial"/>
          <w:color w:val="000000"/>
          <w:sz w:val="28"/>
          <w:szCs w:val="28"/>
          <w:lang w:val="es-ES" w:eastAsia="es-ES"/>
        </w:rPr>
        <w:t xml:space="preserve"> fracción I de</w:t>
      </w:r>
      <w:r w:rsidR="00241B64">
        <w:rPr>
          <w:rFonts w:ascii="Arial" w:eastAsia="Times New Roman" w:hAnsi="Arial" w:cs="Arial"/>
          <w:color w:val="000000"/>
          <w:sz w:val="28"/>
          <w:szCs w:val="28"/>
          <w:lang w:val="es-ES" w:eastAsia="es-ES"/>
        </w:rPr>
        <w:t>l Código Procesal Administrativo para el Estado de San Luis Potosí</w:t>
      </w:r>
      <w:r w:rsidRPr="00551454">
        <w:rPr>
          <w:rFonts w:ascii="Arial" w:eastAsia="Times New Roman" w:hAnsi="Arial" w:cs="Arial"/>
          <w:color w:val="000000"/>
          <w:sz w:val="28"/>
          <w:szCs w:val="28"/>
          <w:lang w:val="es-ES" w:eastAsia="es-ES"/>
        </w:rPr>
        <w:t xml:space="preserve">, ello atendiendo al principio de mayor beneficio y de conformidad con los siguientes criterios:  </w:t>
      </w:r>
    </w:p>
    <w:p w:rsidR="00ED6271" w:rsidRDefault="00ED6271"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p>
    <w:p w:rsidR="00ED6271" w:rsidRDefault="00ED6271"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Época: Octava Época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Registro: 222213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Instancia: Tribunales Colegiados de Circuito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Tipo de Tesis: Aislada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Fuente: Semanario Judicial de la Federación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Tomo VIII, Julio de 1991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Materia(s): Común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Tesis: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Página: 122 </w:t>
      </w:r>
    </w:p>
    <w:p w:rsidR="00551454" w:rsidRPr="00551454" w:rsidRDefault="00551454" w:rsidP="00551454">
      <w:pPr>
        <w:autoSpaceDE w:val="0"/>
        <w:autoSpaceDN w:val="0"/>
        <w:adjustRightInd w:val="0"/>
        <w:spacing w:before="240" w:after="240" w:line="240" w:lineRule="auto"/>
        <w:ind w:left="709" w:hanging="1"/>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AGRAVIOS. EXAMEN DE LOS.</w:t>
      </w:r>
    </w:p>
    <w:p w:rsidR="00551454" w:rsidRPr="00551454" w:rsidRDefault="00551454" w:rsidP="00551454">
      <w:pPr>
        <w:autoSpaceDE w:val="0"/>
        <w:autoSpaceDN w:val="0"/>
        <w:adjustRightInd w:val="0"/>
        <w:spacing w:before="240" w:after="240" w:line="240" w:lineRule="auto"/>
        <w:ind w:left="709" w:hanging="1"/>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Es obvio que ninguna lesión a los derechos de los quejosos pueda causarse por la sola circunstancia de que los agravios se hayan estudiado en su conjunto, esto es, englobándolos todos ellos, para su análisis, en diversos grupos: ha de admitirse que lo que interesa no es precisamente la forma como los agravios sean examinados, en su conjunto, separando todos los expuestos en distintos grupos o bien uno por uno y en el propio orden de su exposición o en orden diverso, etc.; lo que importa es el dato substancial de que se estudien todos, </w:t>
      </w:r>
      <w:r w:rsidRPr="00551454">
        <w:rPr>
          <w:rFonts w:ascii="Arial" w:eastAsia="Times New Roman" w:hAnsi="Arial" w:cs="Arial"/>
          <w:color w:val="000000"/>
          <w:sz w:val="24"/>
          <w:szCs w:val="24"/>
          <w:lang w:val="es-ES" w:eastAsia="es-ES"/>
        </w:rPr>
        <w:lastRenderedPageBreak/>
        <w:t xml:space="preserve">de que ninguno quede libre de examen, </w:t>
      </w:r>
      <w:proofErr w:type="spellStart"/>
      <w:r w:rsidRPr="00551454">
        <w:rPr>
          <w:rFonts w:ascii="Arial" w:eastAsia="Times New Roman" w:hAnsi="Arial" w:cs="Arial"/>
          <w:color w:val="000000"/>
          <w:sz w:val="24"/>
          <w:szCs w:val="24"/>
          <w:lang w:val="es-ES" w:eastAsia="es-ES"/>
        </w:rPr>
        <w:t>cualesquiera</w:t>
      </w:r>
      <w:proofErr w:type="spellEnd"/>
      <w:r w:rsidRPr="00551454">
        <w:rPr>
          <w:rFonts w:ascii="Arial" w:eastAsia="Times New Roman" w:hAnsi="Arial" w:cs="Arial"/>
          <w:color w:val="000000"/>
          <w:sz w:val="24"/>
          <w:szCs w:val="24"/>
          <w:lang w:val="es-ES" w:eastAsia="es-ES"/>
        </w:rPr>
        <w:t xml:space="preserve"> que sea la forma que al efecto se elija.</w:t>
      </w:r>
    </w:p>
    <w:p w:rsidR="00551454" w:rsidRPr="00551454" w:rsidRDefault="00551454" w:rsidP="00551454">
      <w:pPr>
        <w:autoSpaceDE w:val="0"/>
        <w:autoSpaceDN w:val="0"/>
        <w:adjustRightInd w:val="0"/>
        <w:spacing w:before="240" w:after="240" w:line="240" w:lineRule="auto"/>
        <w:ind w:left="709" w:hanging="1"/>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SEGUNDO TRIBUNAL COLEGIADO DEL SEGUNDO CIRCUITO.</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Época: Novena Época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Registro: 166717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Instancia: Tribunales Colegiados de Circuito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Tipo de Tesis: Jurisprudencia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Fuente: Semanario Judicial de la Federación y su Gaceta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Tomo XXX, Agosto de 2009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Materia(s): Administrativa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Tesis: XVI.1o.A.T. J/9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 xml:space="preserve">Página: 1275 </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CONCEPTOS DE ANULACIÓN EN EL JUICIO CONTENCIOSO ADMINISTRATIVO. ES PREFERENTE EL ESTUDIO DE AQUELLOS QUE CONDUZCAN A DECLARAR LA NULIDAD LISA Y LLANA DEL ACTO IMPUGNADO POR REPRESENTAR UN MAYOR BENEFICIO PARA EL ACTOR (LEGISLACIÓN DEL ESTADO DE GUANAJUATO).</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El artículo 17 constitucional consagra la garantía de acceso a la impartición de justicia, la cual se encuentra encaminada a asegurar que las autoridades -órganos judiciales o materialmente jurisdiccionales- lo hagan de manera pronta, completa, gratuita e imparcial, por lo que uno de los principios que consagra dicha garantía es el de exhaustividad, entendiéndose por tal la obligación de los tribunales de resolver todas las cuestiones sometidas a su conocimiento, sin que les sea lícito dejar de pronunciarse sobre alguna. Por su parte, los numerales 87 y 89, fracción I, de la Ley de Justicia Administrativa del Estado de Guanajuato, establecen la existencia de dos requisitos que deben observarse en el dictado de las resoluciones: el de congruencia y el de exhaustividad. Ahora, si bien es cierto que en la citada ley no existe una disposición expresa que establezca el orden en que deben analizarse los conceptos de anulación, también lo es que el Tribunal de lo Contencioso Administrativo del Estado se encuentra constreñido a ocuparse de todos los motivos de impugnación en que descansa la pretensión anulatoria del actor, y preferentemente de los orientados a declarar la nulidad lisa y llana del acto impugnado, ya que de resultar fundados se producirá un mayor beneficio jurídico para el actor, pues se eliminarán en su totalidad los efectos del acto administrativo, con lo que se respeta la garantía de acceso efectivo a la justicia y, en particular, el principio de completitud que ésta encierra.</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t>PRIMER TRIBUNAL COLEGIADO EN MATERIAS ADMINISTRATIVA Y DE TRABAJO DEL DÉCIMO SEXTO CIRCUITO.</w:t>
      </w:r>
    </w:p>
    <w:p w:rsidR="00551454" w:rsidRPr="00551454" w:rsidRDefault="00551454" w:rsidP="00551454">
      <w:pPr>
        <w:autoSpaceDE w:val="0"/>
        <w:autoSpaceDN w:val="0"/>
        <w:adjustRightInd w:val="0"/>
        <w:spacing w:after="0" w:line="240" w:lineRule="auto"/>
        <w:ind w:left="709"/>
        <w:jc w:val="both"/>
        <w:rPr>
          <w:rFonts w:ascii="Arial" w:eastAsia="Times New Roman" w:hAnsi="Arial" w:cs="Arial"/>
          <w:color w:val="000000"/>
          <w:sz w:val="24"/>
          <w:szCs w:val="24"/>
          <w:lang w:val="es-ES" w:eastAsia="es-ES"/>
        </w:rPr>
      </w:pPr>
    </w:p>
    <w:p w:rsidR="00551454" w:rsidRPr="00551454" w:rsidRDefault="00551454" w:rsidP="00551454">
      <w:pPr>
        <w:autoSpaceDE w:val="0"/>
        <w:autoSpaceDN w:val="0"/>
        <w:adjustRightInd w:val="0"/>
        <w:spacing w:before="240" w:after="240" w:line="360" w:lineRule="auto"/>
        <w:ind w:firstLine="708"/>
        <w:jc w:val="both"/>
        <w:rPr>
          <w:rFonts w:ascii="Arial" w:eastAsia="Times New Roman" w:hAnsi="Arial" w:cs="Arial"/>
          <w:color w:val="000000"/>
          <w:sz w:val="28"/>
          <w:szCs w:val="28"/>
          <w:lang w:val="es-ES" w:eastAsia="es-ES"/>
        </w:rPr>
      </w:pPr>
      <w:r w:rsidRPr="00551454">
        <w:rPr>
          <w:rFonts w:ascii="Arial" w:eastAsia="Times New Roman" w:hAnsi="Arial" w:cs="Arial"/>
          <w:color w:val="000000"/>
          <w:sz w:val="28"/>
          <w:szCs w:val="28"/>
          <w:lang w:val="es-ES" w:eastAsia="es-ES"/>
        </w:rPr>
        <w:t>Lo anterior, en virtud de que con ello se estaría satisfaciendo las pretensiones de la parte actora señaladas en su escrito inicial de demanda, la cual es transcrita a continuación:</w:t>
      </w:r>
    </w:p>
    <w:p w:rsidR="00551454" w:rsidRPr="00551454" w:rsidRDefault="00551454" w:rsidP="00551454">
      <w:pPr>
        <w:autoSpaceDE w:val="0"/>
        <w:autoSpaceDN w:val="0"/>
        <w:adjustRightInd w:val="0"/>
        <w:spacing w:before="240" w:after="240" w:line="240" w:lineRule="auto"/>
        <w:ind w:left="709"/>
        <w:jc w:val="both"/>
        <w:rPr>
          <w:rFonts w:ascii="Arial" w:eastAsia="Times New Roman" w:hAnsi="Arial" w:cs="Arial"/>
          <w:color w:val="000000"/>
          <w:sz w:val="24"/>
          <w:szCs w:val="24"/>
          <w:lang w:val="es-ES" w:eastAsia="es-ES"/>
        </w:rPr>
      </w:pPr>
      <w:r w:rsidRPr="00551454">
        <w:rPr>
          <w:rFonts w:ascii="Arial" w:eastAsia="Times New Roman" w:hAnsi="Arial" w:cs="Arial"/>
          <w:color w:val="000000"/>
          <w:sz w:val="24"/>
          <w:szCs w:val="24"/>
          <w:lang w:val="es-ES" w:eastAsia="es-ES"/>
        </w:rPr>
        <w:lastRenderedPageBreak/>
        <w:t>“VI. PRETENSION</w:t>
      </w:r>
      <w:r w:rsidR="00ED6271" w:rsidRPr="00CB6DA8">
        <w:rPr>
          <w:rFonts w:ascii="Arial" w:eastAsia="Times New Roman" w:hAnsi="Arial" w:cs="Arial"/>
          <w:color w:val="000000"/>
          <w:sz w:val="24"/>
          <w:szCs w:val="24"/>
          <w:lang w:val="es-ES" w:eastAsia="es-ES"/>
        </w:rPr>
        <w:t xml:space="preserve"> QUE SE DEDUCE EN JUICIO</w:t>
      </w:r>
      <w:r w:rsidRPr="00551454">
        <w:rPr>
          <w:rFonts w:ascii="Arial" w:eastAsia="Times New Roman" w:hAnsi="Arial" w:cs="Arial"/>
          <w:color w:val="000000"/>
          <w:sz w:val="24"/>
          <w:szCs w:val="24"/>
          <w:lang w:val="es-ES" w:eastAsia="es-ES"/>
        </w:rPr>
        <w:t>.</w:t>
      </w:r>
    </w:p>
    <w:p w:rsidR="00551454" w:rsidRPr="00551454" w:rsidRDefault="00ED6271" w:rsidP="00551454">
      <w:pPr>
        <w:autoSpaceDE w:val="0"/>
        <w:autoSpaceDN w:val="0"/>
        <w:adjustRightInd w:val="0"/>
        <w:spacing w:before="240" w:after="240" w:line="240" w:lineRule="auto"/>
        <w:ind w:left="709"/>
        <w:jc w:val="both"/>
        <w:rPr>
          <w:rFonts w:ascii="Arial" w:eastAsia="Times New Roman" w:hAnsi="Arial" w:cs="Arial"/>
          <w:color w:val="000000"/>
          <w:sz w:val="24"/>
          <w:szCs w:val="24"/>
          <w:lang w:val="es-ES" w:eastAsia="es-ES"/>
        </w:rPr>
      </w:pPr>
      <w:r>
        <w:rPr>
          <w:rFonts w:ascii="Arial" w:eastAsia="Times New Roman" w:hAnsi="Arial" w:cs="Arial"/>
          <w:color w:val="000000"/>
          <w:sz w:val="24"/>
          <w:szCs w:val="24"/>
          <w:lang w:val="es-ES" w:eastAsia="es-ES"/>
        </w:rPr>
        <w:t>Que este H. Tribunal</w:t>
      </w:r>
      <w:r w:rsidR="0031644E">
        <w:rPr>
          <w:rFonts w:ascii="Arial" w:eastAsia="Times New Roman" w:hAnsi="Arial" w:cs="Arial"/>
          <w:color w:val="000000"/>
          <w:sz w:val="24"/>
          <w:szCs w:val="24"/>
          <w:lang w:val="es-ES" w:eastAsia="es-ES"/>
        </w:rPr>
        <w:t xml:space="preserve"> de Justicia Administrativa, declare la ilegalidad del Acto de Autoridad y en consecuencia la Nulida</w:t>
      </w:r>
      <w:r w:rsidR="0078334A">
        <w:rPr>
          <w:rFonts w:ascii="Arial" w:eastAsia="Times New Roman" w:hAnsi="Arial" w:cs="Arial"/>
          <w:color w:val="000000"/>
          <w:sz w:val="24"/>
          <w:szCs w:val="24"/>
          <w:lang w:val="es-ES" w:eastAsia="es-ES"/>
        </w:rPr>
        <w:t>d</w:t>
      </w:r>
      <w:r w:rsidR="0031644E">
        <w:rPr>
          <w:rFonts w:ascii="Arial" w:eastAsia="Times New Roman" w:hAnsi="Arial" w:cs="Arial"/>
          <w:color w:val="000000"/>
          <w:sz w:val="24"/>
          <w:szCs w:val="24"/>
          <w:lang w:val="es-ES" w:eastAsia="es-ES"/>
        </w:rPr>
        <w:t xml:space="preserve"> lisa y llana  del mismo, y se restituyan los derechos que me han sido violentados, y se retire la ilegal infracción emitida en mi perjuicio, derivado del procedimiento que precedió, sus efectos y consecuencias, atento a los conceptos de violación expresados en el presente escrito, por ser contraria al orden jurídico mexicano, en especial, por carecer de competencia y no actualizarse el supuesto que las disposiciones legales indican parar ser acreedor a la infracción referida</w:t>
      </w:r>
      <w:r w:rsidR="00551454" w:rsidRPr="00551454">
        <w:rPr>
          <w:rFonts w:ascii="Arial" w:eastAsia="Times New Roman" w:hAnsi="Arial" w:cs="Arial"/>
          <w:color w:val="000000"/>
          <w:sz w:val="24"/>
          <w:szCs w:val="24"/>
          <w:lang w:val="es-ES" w:eastAsia="es-ES"/>
        </w:rPr>
        <w:t>”</w:t>
      </w:r>
    </w:p>
    <w:p w:rsidR="00261BA6" w:rsidRDefault="00261BA6" w:rsidP="003356D9">
      <w:pPr>
        <w:spacing w:line="360" w:lineRule="auto"/>
        <w:ind w:firstLine="708"/>
        <w:contextualSpacing/>
        <w:jc w:val="both"/>
        <w:rPr>
          <w:rFonts w:ascii="Arial" w:eastAsia="Times New Roman" w:hAnsi="Arial" w:cs="Arial"/>
          <w:color w:val="000000"/>
          <w:sz w:val="28"/>
          <w:szCs w:val="28"/>
          <w:lang w:val="es-ES" w:eastAsia="es-ES"/>
        </w:rPr>
      </w:pPr>
    </w:p>
    <w:p w:rsidR="00D864F3" w:rsidRDefault="00551454" w:rsidP="003356D9">
      <w:pPr>
        <w:spacing w:line="360" w:lineRule="auto"/>
        <w:ind w:firstLine="708"/>
        <w:contextualSpacing/>
        <w:jc w:val="both"/>
        <w:rPr>
          <w:rFonts w:ascii="Arial" w:hAnsi="Arial" w:cs="Arial"/>
          <w:sz w:val="28"/>
          <w:szCs w:val="28"/>
        </w:rPr>
      </w:pPr>
      <w:r w:rsidRPr="00551454">
        <w:rPr>
          <w:rFonts w:ascii="Arial" w:eastAsia="Times New Roman" w:hAnsi="Arial" w:cs="Arial"/>
          <w:color w:val="000000"/>
          <w:sz w:val="28"/>
          <w:szCs w:val="28"/>
          <w:lang w:val="es-ES" w:eastAsia="es-ES"/>
        </w:rPr>
        <w:t xml:space="preserve">En ese sentido, en dicho concepto de impugnación, la parte actora medularmente manifiesta que </w:t>
      </w:r>
      <w:r w:rsidR="0023577A">
        <w:rPr>
          <w:rFonts w:ascii="Arial" w:hAnsi="Arial" w:cs="Arial"/>
          <w:sz w:val="28"/>
          <w:szCs w:val="28"/>
        </w:rPr>
        <w:t>la resolución impugnada es ileg</w:t>
      </w:r>
      <w:r w:rsidR="00BF1A25">
        <w:rPr>
          <w:rFonts w:ascii="Arial" w:hAnsi="Arial" w:cs="Arial"/>
          <w:sz w:val="28"/>
          <w:szCs w:val="28"/>
        </w:rPr>
        <w:t>a</w:t>
      </w:r>
      <w:r w:rsidR="0023577A">
        <w:rPr>
          <w:rFonts w:ascii="Arial" w:hAnsi="Arial" w:cs="Arial"/>
          <w:sz w:val="28"/>
          <w:szCs w:val="28"/>
        </w:rPr>
        <w:t>l</w:t>
      </w:r>
      <w:r w:rsidR="00BF1A25">
        <w:rPr>
          <w:rFonts w:ascii="Arial" w:hAnsi="Arial" w:cs="Arial"/>
          <w:sz w:val="28"/>
          <w:szCs w:val="28"/>
        </w:rPr>
        <w:t xml:space="preserve"> pues no consta en ella que haya sido emitida por autoridad competente ya que no acredita, ni cita los fundamentos de derecho que así lo demuestren.</w:t>
      </w:r>
    </w:p>
    <w:p w:rsidR="00BF1A25" w:rsidRDefault="00BF1A25" w:rsidP="003356D9">
      <w:pPr>
        <w:spacing w:line="360" w:lineRule="auto"/>
        <w:ind w:firstLine="708"/>
        <w:contextualSpacing/>
        <w:jc w:val="both"/>
        <w:rPr>
          <w:rFonts w:ascii="Arial" w:hAnsi="Arial" w:cs="Arial"/>
          <w:sz w:val="28"/>
          <w:szCs w:val="28"/>
        </w:rPr>
      </w:pPr>
    </w:p>
    <w:p w:rsidR="00BF1A25" w:rsidRDefault="00BF1A25" w:rsidP="003356D9">
      <w:pPr>
        <w:spacing w:line="360" w:lineRule="auto"/>
        <w:ind w:firstLine="708"/>
        <w:contextualSpacing/>
        <w:jc w:val="both"/>
        <w:rPr>
          <w:rFonts w:ascii="Arial" w:hAnsi="Arial" w:cs="Arial"/>
          <w:sz w:val="28"/>
          <w:szCs w:val="28"/>
        </w:rPr>
      </w:pPr>
      <w:r>
        <w:rPr>
          <w:rFonts w:ascii="Arial" w:hAnsi="Arial" w:cs="Arial"/>
          <w:sz w:val="28"/>
          <w:szCs w:val="28"/>
        </w:rPr>
        <w:t xml:space="preserve">Que </w:t>
      </w:r>
      <w:r w:rsidR="00261BA6">
        <w:rPr>
          <w:rFonts w:ascii="Arial" w:hAnsi="Arial" w:cs="Arial"/>
          <w:sz w:val="28"/>
          <w:szCs w:val="28"/>
        </w:rPr>
        <w:t>l</w:t>
      </w:r>
      <w:r>
        <w:rPr>
          <w:rFonts w:ascii="Arial" w:hAnsi="Arial" w:cs="Arial"/>
          <w:sz w:val="28"/>
          <w:szCs w:val="28"/>
        </w:rPr>
        <w:t>a autoridad demandada carece de competencia pues para la emisión del acto impugnado no fundó ni motivo cuestiones relacionas con su personalidad, representación y competencia, ya que del contenido del Acta de Infracción que se impugna, contiene diversas imprecisiones de los datos esenciales de identificación como lo son cargo que ocupa, fecha de expedición de la credencial y/o documento en que se le autorizara a act</w:t>
      </w:r>
      <w:r w:rsidR="00261BA6">
        <w:rPr>
          <w:rFonts w:ascii="Arial" w:hAnsi="Arial" w:cs="Arial"/>
          <w:sz w:val="28"/>
          <w:szCs w:val="28"/>
        </w:rPr>
        <w:t>u</w:t>
      </w:r>
      <w:r>
        <w:rPr>
          <w:rFonts w:ascii="Arial" w:hAnsi="Arial" w:cs="Arial"/>
          <w:sz w:val="28"/>
          <w:szCs w:val="28"/>
        </w:rPr>
        <w:t>ar, la fecha de vencimiento del documento con el que pretendía iden</w:t>
      </w:r>
      <w:r w:rsidR="00261BA6">
        <w:rPr>
          <w:rFonts w:ascii="Arial" w:hAnsi="Arial" w:cs="Arial"/>
          <w:sz w:val="28"/>
          <w:szCs w:val="28"/>
        </w:rPr>
        <w:t>t</w:t>
      </w:r>
      <w:r>
        <w:rPr>
          <w:rFonts w:ascii="Arial" w:hAnsi="Arial" w:cs="Arial"/>
          <w:sz w:val="28"/>
          <w:szCs w:val="28"/>
        </w:rPr>
        <w:t>ificarse para acreditar que se encontraba facultada para interponer la infracción realizada.</w:t>
      </w:r>
    </w:p>
    <w:p w:rsidR="00BF1A25" w:rsidRDefault="00BF1A25" w:rsidP="003356D9">
      <w:pPr>
        <w:spacing w:line="360" w:lineRule="auto"/>
        <w:ind w:firstLine="708"/>
        <w:contextualSpacing/>
        <w:jc w:val="both"/>
        <w:rPr>
          <w:rFonts w:ascii="Arial" w:hAnsi="Arial" w:cs="Arial"/>
          <w:sz w:val="28"/>
          <w:szCs w:val="28"/>
        </w:rPr>
      </w:pPr>
    </w:p>
    <w:p w:rsidR="0092664E" w:rsidRDefault="0092664E" w:rsidP="003356D9">
      <w:pPr>
        <w:spacing w:line="360" w:lineRule="auto"/>
        <w:ind w:firstLine="708"/>
        <w:contextualSpacing/>
        <w:jc w:val="both"/>
        <w:rPr>
          <w:rFonts w:ascii="Arial" w:hAnsi="Arial" w:cs="Arial"/>
          <w:sz w:val="28"/>
          <w:szCs w:val="28"/>
        </w:rPr>
      </w:pPr>
      <w:r>
        <w:rPr>
          <w:rFonts w:ascii="Arial" w:hAnsi="Arial" w:cs="Arial"/>
          <w:sz w:val="28"/>
          <w:szCs w:val="28"/>
        </w:rPr>
        <w:t>Que en el caso que no ocupa, resalta la violación a los requisitos formales traducidos en vicios del procedimiento que afectaron los derechos de de</w:t>
      </w:r>
      <w:r w:rsidR="00261BA6">
        <w:rPr>
          <w:rFonts w:ascii="Arial" w:hAnsi="Arial" w:cs="Arial"/>
          <w:sz w:val="28"/>
          <w:szCs w:val="28"/>
        </w:rPr>
        <w:t>fe</w:t>
      </w:r>
      <w:r>
        <w:rPr>
          <w:rFonts w:ascii="Arial" w:hAnsi="Arial" w:cs="Arial"/>
          <w:sz w:val="28"/>
          <w:szCs w:val="28"/>
        </w:rPr>
        <w:t>n</w:t>
      </w:r>
      <w:r w:rsidR="00261BA6">
        <w:rPr>
          <w:rFonts w:ascii="Arial" w:hAnsi="Arial" w:cs="Arial"/>
          <w:sz w:val="28"/>
          <w:szCs w:val="28"/>
        </w:rPr>
        <w:t>s</w:t>
      </w:r>
      <w:r>
        <w:rPr>
          <w:rFonts w:ascii="Arial" w:hAnsi="Arial" w:cs="Arial"/>
          <w:sz w:val="28"/>
          <w:szCs w:val="28"/>
        </w:rPr>
        <w:t>a, lo que provocaron que el acta de infr</w:t>
      </w:r>
      <w:r w:rsidR="00261BA6">
        <w:rPr>
          <w:rFonts w:ascii="Arial" w:hAnsi="Arial" w:cs="Arial"/>
          <w:sz w:val="28"/>
          <w:szCs w:val="28"/>
        </w:rPr>
        <w:t>a</w:t>
      </w:r>
      <w:r>
        <w:rPr>
          <w:rFonts w:ascii="Arial" w:hAnsi="Arial" w:cs="Arial"/>
          <w:sz w:val="28"/>
          <w:szCs w:val="28"/>
        </w:rPr>
        <w:t>cción, fuera elaborada en contra de las disposic</w:t>
      </w:r>
      <w:r w:rsidR="00261BA6">
        <w:rPr>
          <w:rFonts w:ascii="Arial" w:hAnsi="Arial" w:cs="Arial"/>
          <w:sz w:val="28"/>
          <w:szCs w:val="28"/>
        </w:rPr>
        <w:t xml:space="preserve">iones </w:t>
      </w:r>
      <w:r>
        <w:rPr>
          <w:rFonts w:ascii="Arial" w:hAnsi="Arial" w:cs="Arial"/>
          <w:sz w:val="28"/>
          <w:szCs w:val="28"/>
        </w:rPr>
        <w:t>aplicables, dejándose de aplicar las debidas, lo que trae como consecuencia la actualización de las hipótesis a las que se refieren las fracciones I, II, III y IV del artículo 250 del Código Procesal Administrativo y que permiten la declarato</w:t>
      </w:r>
      <w:r w:rsidR="00261BA6">
        <w:rPr>
          <w:rFonts w:ascii="Arial" w:hAnsi="Arial" w:cs="Arial"/>
          <w:sz w:val="28"/>
          <w:szCs w:val="28"/>
        </w:rPr>
        <w:t>r</w:t>
      </w:r>
      <w:r>
        <w:rPr>
          <w:rFonts w:ascii="Arial" w:hAnsi="Arial" w:cs="Arial"/>
          <w:sz w:val="28"/>
          <w:szCs w:val="28"/>
        </w:rPr>
        <w:t>ia de su ilegalidad e invalidez.</w:t>
      </w:r>
    </w:p>
    <w:p w:rsidR="003356D9" w:rsidRDefault="00ED72C7" w:rsidP="003356D9">
      <w:pPr>
        <w:autoSpaceDE w:val="0"/>
        <w:autoSpaceDN w:val="0"/>
        <w:adjustRightInd w:val="0"/>
        <w:spacing w:before="240" w:after="240" w:line="360" w:lineRule="auto"/>
        <w:ind w:firstLine="708"/>
        <w:contextualSpacing/>
        <w:jc w:val="both"/>
        <w:rPr>
          <w:rFonts w:ascii="Arial" w:hAnsi="Arial" w:cs="Arial"/>
          <w:sz w:val="28"/>
          <w:szCs w:val="28"/>
        </w:rPr>
      </w:pPr>
      <w:r>
        <w:rPr>
          <w:rFonts w:ascii="Arial" w:hAnsi="Arial" w:cs="Arial"/>
          <w:sz w:val="28"/>
          <w:szCs w:val="28"/>
        </w:rPr>
        <w:lastRenderedPageBreak/>
        <w:t>Como se ha expresado con anterioridad, dicho concepto de impugnación resulta ser fundado y suficiente para declarar la ilegalidad e invalidez del acto impugnado, ello es así en razón de las siguientes consideraciones.</w:t>
      </w:r>
      <w:r w:rsidR="003356D9" w:rsidRPr="009A41EE">
        <w:rPr>
          <w:rFonts w:ascii="Arial" w:hAnsi="Arial" w:cs="Arial"/>
          <w:sz w:val="28"/>
          <w:szCs w:val="28"/>
        </w:rPr>
        <w:t xml:space="preserve">  </w:t>
      </w:r>
    </w:p>
    <w:p w:rsidR="002B5EC5" w:rsidRPr="009A41EE" w:rsidRDefault="002B5EC5" w:rsidP="003356D9">
      <w:pPr>
        <w:autoSpaceDE w:val="0"/>
        <w:autoSpaceDN w:val="0"/>
        <w:adjustRightInd w:val="0"/>
        <w:spacing w:before="240" w:after="240" w:line="360" w:lineRule="auto"/>
        <w:ind w:firstLine="708"/>
        <w:contextualSpacing/>
        <w:jc w:val="both"/>
        <w:rPr>
          <w:rFonts w:ascii="Arial" w:hAnsi="Arial" w:cs="Arial"/>
          <w:sz w:val="28"/>
          <w:szCs w:val="28"/>
        </w:rPr>
      </w:pPr>
    </w:p>
    <w:p w:rsidR="003356D9" w:rsidRPr="00163A7A" w:rsidRDefault="00ED72C7" w:rsidP="003356D9">
      <w:pPr>
        <w:autoSpaceDE w:val="0"/>
        <w:autoSpaceDN w:val="0"/>
        <w:adjustRightInd w:val="0"/>
        <w:spacing w:after="0" w:line="360" w:lineRule="auto"/>
        <w:ind w:firstLine="708"/>
        <w:jc w:val="both"/>
        <w:rPr>
          <w:rFonts w:ascii="Arial" w:hAnsi="Arial" w:cs="Arial"/>
          <w:sz w:val="28"/>
          <w:szCs w:val="28"/>
        </w:rPr>
      </w:pPr>
      <w:r>
        <w:rPr>
          <w:rFonts w:ascii="Arial" w:eastAsia="Times New Roman" w:hAnsi="Arial" w:cs="Arial"/>
          <w:bCs/>
          <w:color w:val="000000"/>
          <w:sz w:val="28"/>
          <w:szCs w:val="28"/>
          <w:lang w:eastAsia="es-ES"/>
        </w:rPr>
        <w:t>En primer término, se debe de establecer</w:t>
      </w:r>
      <w:r w:rsidR="003356D9" w:rsidRPr="00163A7A">
        <w:rPr>
          <w:rFonts w:ascii="Arial" w:eastAsia="Times New Roman" w:hAnsi="Arial" w:cs="Arial"/>
          <w:bCs/>
          <w:color w:val="000000"/>
          <w:sz w:val="28"/>
          <w:szCs w:val="28"/>
          <w:lang w:eastAsia="es-ES"/>
        </w:rPr>
        <w:t xml:space="preserve"> que ha sido criterio reiterado de nuestros Tribunales Federales que conforme a lo dispuesto por el artículo 16 Constitucional, todo acto de autoridad </w:t>
      </w:r>
      <w:r w:rsidR="003356D9" w:rsidRPr="00163A7A">
        <w:rPr>
          <w:rFonts w:ascii="Arial" w:hAnsi="Arial" w:cs="Arial"/>
          <w:sz w:val="28"/>
          <w:szCs w:val="28"/>
        </w:rPr>
        <w:t xml:space="preserve">debe estar adecuada y suficientemente fundado y motivado, entendiéndose por lo primero que ha de expresarse </w:t>
      </w:r>
      <w:r w:rsidR="003356D9" w:rsidRPr="00163A7A">
        <w:rPr>
          <w:rFonts w:ascii="Arial" w:hAnsi="Arial" w:cs="Arial"/>
          <w:sz w:val="28"/>
          <w:szCs w:val="28"/>
          <w:u w:val="single"/>
        </w:rPr>
        <w:t>con precisión el precepto legal</w:t>
      </w:r>
      <w:r w:rsidR="003356D9" w:rsidRPr="00163A7A">
        <w:rPr>
          <w:rFonts w:ascii="Arial" w:hAnsi="Arial" w:cs="Arial"/>
          <w:sz w:val="28"/>
          <w:szCs w:val="28"/>
        </w:rPr>
        <w:t xml:space="preserve"> aplicable al caso y, por lo segundo, que deben señalarse, </w:t>
      </w:r>
      <w:r w:rsidR="003356D9" w:rsidRPr="00163A7A">
        <w:rPr>
          <w:rFonts w:ascii="Arial" w:hAnsi="Arial" w:cs="Arial"/>
          <w:sz w:val="28"/>
          <w:szCs w:val="28"/>
          <w:u w:val="single"/>
        </w:rPr>
        <w:t xml:space="preserve">con precisión, las circunstancias especiales, razones particulares o causas inmediatas </w:t>
      </w:r>
      <w:r w:rsidR="003356D9" w:rsidRPr="00163A7A">
        <w:rPr>
          <w:rFonts w:ascii="Arial" w:hAnsi="Arial" w:cs="Arial"/>
          <w:sz w:val="28"/>
          <w:szCs w:val="28"/>
        </w:rPr>
        <w:t xml:space="preserve">que se hayan tenido en consideración para la emisión del acto; siendo necesario, además, que exista adecuación entre los motivos aducidos y las normas aplicables, es decir, que en el caso concreto se configuren las hipótesis normativas. </w:t>
      </w:r>
      <w:r w:rsidR="003356D9" w:rsidRPr="00163A7A">
        <w:rPr>
          <w:rFonts w:ascii="Arial" w:hAnsi="Arial" w:cs="Arial"/>
          <w:sz w:val="28"/>
          <w:szCs w:val="28"/>
          <w:vertAlign w:val="superscript"/>
        </w:rPr>
        <w:footnoteReference w:id="2"/>
      </w:r>
    </w:p>
    <w:p w:rsidR="003356D9" w:rsidRPr="00163A7A" w:rsidRDefault="003356D9" w:rsidP="003356D9">
      <w:pPr>
        <w:autoSpaceDE w:val="0"/>
        <w:autoSpaceDN w:val="0"/>
        <w:adjustRightInd w:val="0"/>
        <w:spacing w:after="0" w:line="360" w:lineRule="auto"/>
        <w:jc w:val="both"/>
        <w:rPr>
          <w:rFonts w:ascii="Arial" w:eastAsia="Times New Roman" w:hAnsi="Arial" w:cs="Arial"/>
          <w:bCs/>
          <w:color w:val="000000"/>
          <w:sz w:val="28"/>
          <w:szCs w:val="28"/>
          <w:lang w:eastAsia="es-ES"/>
        </w:rPr>
      </w:pPr>
    </w:p>
    <w:p w:rsidR="003356D9" w:rsidRPr="00163A7A" w:rsidRDefault="003356D9" w:rsidP="003356D9">
      <w:pPr>
        <w:autoSpaceDE w:val="0"/>
        <w:autoSpaceDN w:val="0"/>
        <w:adjustRightInd w:val="0"/>
        <w:spacing w:after="0" w:line="360" w:lineRule="auto"/>
        <w:ind w:firstLine="708"/>
        <w:jc w:val="both"/>
        <w:rPr>
          <w:rFonts w:ascii="Arial" w:eastAsia="Times New Roman" w:hAnsi="Arial" w:cs="Arial"/>
          <w:bCs/>
          <w:color w:val="000000"/>
          <w:sz w:val="28"/>
          <w:szCs w:val="28"/>
          <w:lang w:eastAsia="es-ES"/>
        </w:rPr>
      </w:pPr>
      <w:r w:rsidRPr="00163A7A">
        <w:rPr>
          <w:rFonts w:ascii="Arial" w:eastAsia="Times New Roman" w:hAnsi="Arial" w:cs="Arial"/>
          <w:bCs/>
          <w:color w:val="000000"/>
          <w:sz w:val="28"/>
          <w:szCs w:val="28"/>
          <w:lang w:eastAsia="es-ES"/>
        </w:rPr>
        <w:t>Disposición constitucional que al ser aplicable a todo acto de autoridad, resulta también exigible a los actos</w:t>
      </w:r>
      <w:r w:rsidR="00E357F6">
        <w:rPr>
          <w:rFonts w:ascii="Arial" w:eastAsia="Times New Roman" w:hAnsi="Arial" w:cs="Arial"/>
          <w:bCs/>
          <w:color w:val="000000"/>
          <w:sz w:val="28"/>
          <w:szCs w:val="28"/>
          <w:lang w:eastAsia="es-ES"/>
        </w:rPr>
        <w:t xml:space="preserve"> que realizan </w:t>
      </w:r>
      <w:r w:rsidRPr="00163A7A">
        <w:rPr>
          <w:rFonts w:ascii="Arial" w:eastAsia="Times New Roman" w:hAnsi="Arial" w:cs="Arial"/>
          <w:bCs/>
          <w:color w:val="000000"/>
          <w:sz w:val="28"/>
          <w:szCs w:val="28"/>
          <w:lang w:eastAsia="es-ES"/>
        </w:rPr>
        <w:t xml:space="preserve">las autoridades en materia de servicios públicos como lo constituye el suministro de agua potable y servicios conexos, respecto de los cuales se encuentra establecida una contraprestación por el servicio prestado, de conformidad con lo establecido en la Ley de Aguas para estado y Municipios de San Luis Potosí. </w:t>
      </w:r>
    </w:p>
    <w:p w:rsidR="003356D9" w:rsidRPr="00163A7A" w:rsidRDefault="003356D9" w:rsidP="003356D9">
      <w:pPr>
        <w:autoSpaceDE w:val="0"/>
        <w:autoSpaceDN w:val="0"/>
        <w:adjustRightInd w:val="0"/>
        <w:spacing w:after="0" w:line="360" w:lineRule="auto"/>
        <w:ind w:firstLine="708"/>
        <w:jc w:val="both"/>
        <w:rPr>
          <w:rFonts w:ascii="Arial" w:eastAsia="Times New Roman" w:hAnsi="Arial" w:cs="Arial"/>
          <w:bCs/>
          <w:color w:val="000000"/>
          <w:sz w:val="28"/>
          <w:szCs w:val="28"/>
          <w:lang w:eastAsia="es-ES"/>
        </w:rPr>
      </w:pPr>
    </w:p>
    <w:p w:rsidR="003356D9" w:rsidRPr="00163A7A" w:rsidRDefault="003356D9" w:rsidP="003356D9">
      <w:pPr>
        <w:autoSpaceDE w:val="0"/>
        <w:autoSpaceDN w:val="0"/>
        <w:adjustRightInd w:val="0"/>
        <w:spacing w:after="0" w:line="360" w:lineRule="auto"/>
        <w:ind w:firstLine="709"/>
        <w:jc w:val="both"/>
        <w:rPr>
          <w:rFonts w:ascii="Arial" w:eastAsia="Times New Roman" w:hAnsi="Arial" w:cs="Arial"/>
          <w:bCs/>
          <w:color w:val="000000"/>
          <w:sz w:val="28"/>
          <w:szCs w:val="28"/>
          <w:lang w:eastAsia="es-ES"/>
        </w:rPr>
      </w:pPr>
      <w:r w:rsidRPr="00191DC4">
        <w:rPr>
          <w:rFonts w:ascii="Arial" w:eastAsia="Times New Roman" w:hAnsi="Arial" w:cs="Arial"/>
          <w:bCs/>
          <w:color w:val="000000"/>
          <w:sz w:val="28"/>
          <w:szCs w:val="28"/>
          <w:lang w:eastAsia="es-ES"/>
        </w:rPr>
        <w:t>En este sentido, dichas actuaciones no podrían dejar de ser</w:t>
      </w:r>
      <w:r w:rsidRPr="00163A7A">
        <w:rPr>
          <w:rFonts w:ascii="Arial" w:eastAsia="Times New Roman" w:hAnsi="Arial" w:cs="Arial"/>
          <w:bCs/>
          <w:color w:val="000000"/>
          <w:sz w:val="28"/>
          <w:szCs w:val="28"/>
          <w:lang w:eastAsia="es-ES"/>
        </w:rPr>
        <w:t xml:space="preserve"> consideradas como actos de autoridad con las características </w:t>
      </w:r>
      <w:r w:rsidRPr="00163A7A">
        <w:rPr>
          <w:rFonts w:ascii="Arial" w:eastAsia="Times New Roman" w:hAnsi="Arial" w:cs="Arial"/>
          <w:bCs/>
          <w:color w:val="000000"/>
          <w:sz w:val="28"/>
          <w:szCs w:val="28"/>
          <w:lang w:eastAsia="es-ES"/>
        </w:rPr>
        <w:lastRenderedPageBreak/>
        <w:t>propias de un acto administrativo, máxime cuando a través de ellas se efectúa l</w:t>
      </w:r>
      <w:r w:rsidR="00474C9E">
        <w:rPr>
          <w:rFonts w:ascii="Arial" w:eastAsia="Times New Roman" w:hAnsi="Arial" w:cs="Arial"/>
          <w:bCs/>
          <w:color w:val="000000"/>
          <w:sz w:val="28"/>
          <w:szCs w:val="28"/>
          <w:lang w:eastAsia="es-ES"/>
        </w:rPr>
        <w:t>a imposición de una infracción</w:t>
      </w:r>
      <w:r w:rsidRPr="00163A7A">
        <w:rPr>
          <w:rFonts w:ascii="Arial" w:eastAsia="Times New Roman" w:hAnsi="Arial" w:cs="Arial"/>
          <w:bCs/>
          <w:color w:val="000000"/>
          <w:sz w:val="28"/>
          <w:szCs w:val="28"/>
          <w:lang w:eastAsia="es-ES"/>
        </w:rPr>
        <w:t xml:space="preserve"> en la modalidad de derechos tributarios, mismos que tienen el carácter de contribuciones y, respecto de las cuales, los particulares en su carácter de sujetos pasivos de una relación tributaria, si bien tienen la obligación de pago, también lo es que éste debe realizarse conforme a las disposiciones contenidas en las leyes respectivas; particularmente respecto de la obligación constitucional y legal que tienen las autoridades de que sus actuaciones se encuentren debidamente fundadas y motivadas como ha sido señalado con anterioridad, sirviendo de apoyo a lo expuesto, el siguiente criterio jurisprudencial:</w:t>
      </w:r>
    </w:p>
    <w:p w:rsidR="003356D9" w:rsidRDefault="003356D9" w:rsidP="003356D9">
      <w:pPr>
        <w:autoSpaceDE w:val="0"/>
        <w:autoSpaceDN w:val="0"/>
        <w:adjustRightInd w:val="0"/>
        <w:spacing w:after="0" w:line="240" w:lineRule="auto"/>
        <w:jc w:val="both"/>
        <w:rPr>
          <w:rFonts w:ascii="Arial" w:eastAsia="Times New Roman" w:hAnsi="Arial" w:cs="Arial"/>
          <w:bCs/>
          <w:color w:val="000000"/>
          <w:sz w:val="24"/>
          <w:szCs w:val="28"/>
          <w:lang w:eastAsia="es-ES"/>
        </w:rPr>
      </w:pPr>
    </w:p>
    <w:p w:rsidR="003356D9" w:rsidRPr="00182334" w:rsidRDefault="003356D9" w:rsidP="003356D9">
      <w:pPr>
        <w:tabs>
          <w:tab w:val="left" w:pos="2835"/>
        </w:tabs>
        <w:spacing w:after="0" w:line="240" w:lineRule="auto"/>
        <w:ind w:left="567" w:right="616"/>
        <w:jc w:val="both"/>
        <w:rPr>
          <w:rFonts w:ascii="Arial" w:hAnsi="Arial" w:cs="Arial"/>
          <w:sz w:val="24"/>
          <w:szCs w:val="24"/>
          <w:lang w:val="es-ES_tradnl" w:eastAsia="x-none"/>
        </w:rPr>
      </w:pPr>
      <w:r w:rsidRPr="00182334">
        <w:rPr>
          <w:rFonts w:ascii="Arial" w:hAnsi="Arial" w:cs="Arial"/>
          <w:b/>
          <w:sz w:val="24"/>
          <w:szCs w:val="24"/>
          <w:lang w:val="es-ES_tradnl" w:eastAsia="x-none"/>
        </w:rPr>
        <w:t xml:space="preserve">“FUNDAMENTACION Y MOTIVACION DE LOS ACTOS ADMINISTRATIVOS. </w:t>
      </w:r>
      <w:r w:rsidRPr="00182334">
        <w:rPr>
          <w:rFonts w:ascii="Arial" w:hAnsi="Arial" w:cs="Arial"/>
          <w:sz w:val="24"/>
          <w:szCs w:val="24"/>
          <w:lang w:val="es-ES_tradnl" w:eastAsia="x-none"/>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182334">
        <w:rPr>
          <w:rFonts w:ascii="Arial" w:hAnsi="Arial" w:cs="Arial"/>
          <w:sz w:val="24"/>
          <w:szCs w:val="24"/>
          <w:lang w:val="es-ES_tradnl" w:eastAsia="x-none"/>
        </w:rPr>
        <w:t>subincisos</w:t>
      </w:r>
      <w:proofErr w:type="spellEnd"/>
      <w:r w:rsidRPr="00182334">
        <w:rPr>
          <w:rFonts w:ascii="Arial" w:hAnsi="Arial" w:cs="Arial"/>
          <w:sz w:val="24"/>
          <w:szCs w:val="24"/>
          <w:lang w:val="es-ES_tradnl" w:eastAsia="x-none"/>
        </w:rPr>
        <w:t>, fracciones y preceptos aplicables, y b).- Los cuerpos legales, y preceptos que otorgan competencia o facultades a las autoridades para emitir el acto en agravio del gobernado.”</w:t>
      </w:r>
      <w:r w:rsidRPr="00182334">
        <w:rPr>
          <w:rFonts w:ascii="Arial" w:hAnsi="Arial" w:cs="Arial"/>
          <w:sz w:val="24"/>
          <w:szCs w:val="24"/>
          <w:vertAlign w:val="superscript"/>
          <w:lang w:val="es-ES_tradnl" w:eastAsia="x-none"/>
        </w:rPr>
        <w:footnoteReference w:id="3"/>
      </w:r>
    </w:p>
    <w:p w:rsidR="003356D9" w:rsidRDefault="003356D9" w:rsidP="003356D9">
      <w:pPr>
        <w:spacing w:after="0" w:line="360" w:lineRule="auto"/>
        <w:jc w:val="both"/>
        <w:rPr>
          <w:rFonts w:ascii="Arial" w:hAnsi="Arial" w:cs="Arial"/>
          <w:sz w:val="24"/>
          <w:szCs w:val="28"/>
        </w:rPr>
      </w:pPr>
    </w:p>
    <w:p w:rsidR="003356D9" w:rsidRPr="00BF369E" w:rsidRDefault="003356D9" w:rsidP="003356D9">
      <w:pPr>
        <w:spacing w:after="0" w:line="360" w:lineRule="auto"/>
        <w:jc w:val="both"/>
        <w:rPr>
          <w:rFonts w:ascii="Arial" w:hAnsi="Arial" w:cs="Arial"/>
          <w:sz w:val="24"/>
          <w:szCs w:val="28"/>
        </w:rPr>
      </w:pPr>
    </w:p>
    <w:p w:rsidR="00E9128A" w:rsidRDefault="003356D9" w:rsidP="003356D9">
      <w:pPr>
        <w:spacing w:after="0" w:line="360" w:lineRule="auto"/>
        <w:ind w:firstLine="708"/>
        <w:jc w:val="both"/>
        <w:rPr>
          <w:rFonts w:ascii="Arial" w:hAnsi="Arial" w:cs="Arial"/>
          <w:b/>
          <w:sz w:val="28"/>
          <w:szCs w:val="28"/>
        </w:rPr>
      </w:pPr>
      <w:r w:rsidRPr="00753CEB">
        <w:rPr>
          <w:rFonts w:ascii="Arial" w:hAnsi="Arial" w:cs="Arial"/>
          <w:sz w:val="28"/>
          <w:szCs w:val="28"/>
        </w:rPr>
        <w:t xml:space="preserve">A la luz de estas consideraciones, como se anticipó, es fundado lo aducido por la actora en lo tocante a la insuficiente </w:t>
      </w:r>
      <w:r w:rsidRPr="00753CEB">
        <w:rPr>
          <w:rFonts w:ascii="Arial" w:hAnsi="Arial" w:cs="Arial"/>
          <w:b/>
          <w:sz w:val="28"/>
          <w:szCs w:val="28"/>
        </w:rPr>
        <w:lastRenderedPageBreak/>
        <w:t>fundamentación en la competencia</w:t>
      </w:r>
      <w:r w:rsidRPr="00753CEB">
        <w:rPr>
          <w:rFonts w:ascii="Arial" w:hAnsi="Arial" w:cs="Arial"/>
          <w:sz w:val="28"/>
          <w:szCs w:val="28"/>
        </w:rPr>
        <w:t xml:space="preserve"> de la autoridad demandada, para emitir los actos impugnados, pues refiere el impetrante que la enjuiciada </w:t>
      </w:r>
      <w:r w:rsidRPr="00753CEB">
        <w:rPr>
          <w:rFonts w:ascii="Arial" w:hAnsi="Arial" w:cs="Arial"/>
          <w:sz w:val="28"/>
          <w:szCs w:val="28"/>
          <w:u w:val="single"/>
        </w:rPr>
        <w:t>no funda ni motiva debidamente su competencia</w:t>
      </w:r>
      <w:r w:rsidRPr="00753CEB">
        <w:rPr>
          <w:rFonts w:ascii="Arial" w:hAnsi="Arial" w:cs="Arial"/>
          <w:sz w:val="28"/>
          <w:szCs w:val="28"/>
        </w:rPr>
        <w:t xml:space="preserve">, lo que contraviene tales principios constitucionales, y en consecuencia tal argumento </w:t>
      </w:r>
      <w:r w:rsidRPr="00753CEB">
        <w:rPr>
          <w:rFonts w:ascii="Arial" w:hAnsi="Arial" w:cs="Arial"/>
          <w:b/>
          <w:sz w:val="28"/>
          <w:szCs w:val="28"/>
        </w:rPr>
        <w:t>resulta suficiente para declarar la nulidad del a</w:t>
      </w:r>
      <w:r w:rsidR="008C0E16">
        <w:rPr>
          <w:rFonts w:ascii="Arial" w:hAnsi="Arial" w:cs="Arial"/>
          <w:b/>
          <w:sz w:val="28"/>
          <w:szCs w:val="28"/>
        </w:rPr>
        <w:t>c</w:t>
      </w:r>
      <w:r w:rsidRPr="00753CEB">
        <w:rPr>
          <w:rFonts w:ascii="Arial" w:hAnsi="Arial" w:cs="Arial"/>
          <w:b/>
          <w:sz w:val="28"/>
          <w:szCs w:val="28"/>
        </w:rPr>
        <w:t>to impugnado</w:t>
      </w:r>
      <w:r w:rsidR="00E9128A">
        <w:rPr>
          <w:rFonts w:ascii="Arial" w:hAnsi="Arial" w:cs="Arial"/>
          <w:b/>
          <w:sz w:val="28"/>
          <w:szCs w:val="28"/>
        </w:rPr>
        <w:t>.</w:t>
      </w:r>
    </w:p>
    <w:p w:rsidR="003356D9" w:rsidRPr="00753CEB" w:rsidRDefault="003356D9" w:rsidP="003356D9">
      <w:pPr>
        <w:spacing w:after="0" w:line="360" w:lineRule="auto"/>
        <w:ind w:firstLine="708"/>
        <w:jc w:val="both"/>
        <w:rPr>
          <w:rFonts w:ascii="Arial" w:hAnsi="Arial" w:cs="Arial"/>
          <w:sz w:val="28"/>
          <w:szCs w:val="28"/>
        </w:rPr>
      </w:pPr>
    </w:p>
    <w:p w:rsidR="003356D9" w:rsidRPr="00753CEB" w:rsidRDefault="003356D9" w:rsidP="003356D9">
      <w:pPr>
        <w:spacing w:after="0" w:line="360" w:lineRule="auto"/>
        <w:ind w:firstLine="708"/>
        <w:jc w:val="both"/>
        <w:rPr>
          <w:rFonts w:ascii="Arial" w:hAnsi="Arial" w:cs="Arial"/>
          <w:sz w:val="28"/>
          <w:szCs w:val="28"/>
        </w:rPr>
      </w:pPr>
      <w:r w:rsidRPr="00753CEB">
        <w:rPr>
          <w:rFonts w:ascii="Arial" w:hAnsi="Arial" w:cs="Arial"/>
          <w:sz w:val="28"/>
          <w:szCs w:val="28"/>
        </w:rPr>
        <w:t xml:space="preserve">De igual manera, no pasa inadvertido a esta juzgadora que la  competencia es una cuestión de orden público que constituye una de las exigencias primordiales de todo acto de autoridad, al tratarse de un presupuesto procesal, conforme al artículo 16 Constitucional, por lo que, con independencia de lo esgrimido por la </w:t>
      </w:r>
      <w:proofErr w:type="spellStart"/>
      <w:r w:rsidRPr="00753CEB">
        <w:rPr>
          <w:rFonts w:ascii="Arial" w:hAnsi="Arial" w:cs="Arial"/>
          <w:sz w:val="28"/>
          <w:szCs w:val="28"/>
        </w:rPr>
        <w:t>enjuiciante</w:t>
      </w:r>
      <w:proofErr w:type="spellEnd"/>
      <w:r w:rsidRPr="00753CEB">
        <w:rPr>
          <w:rFonts w:ascii="Arial" w:hAnsi="Arial" w:cs="Arial"/>
          <w:sz w:val="28"/>
          <w:szCs w:val="28"/>
        </w:rPr>
        <w:t xml:space="preserve">, su estudio es preferente y de oficio por parte del órgano Jurisdiccional que resuelve, ya que atañe a la correcta integración de un procedimiento que concluye con una resolución definitiva en la que se establecen </w:t>
      </w:r>
      <w:r w:rsidR="00E9128A">
        <w:rPr>
          <w:rFonts w:ascii="Arial" w:hAnsi="Arial" w:cs="Arial"/>
          <w:sz w:val="28"/>
          <w:szCs w:val="28"/>
        </w:rPr>
        <w:t>infracciones</w:t>
      </w:r>
      <w:r w:rsidRPr="00753CEB">
        <w:rPr>
          <w:rFonts w:ascii="Arial" w:hAnsi="Arial" w:cs="Arial"/>
          <w:sz w:val="28"/>
          <w:szCs w:val="28"/>
        </w:rPr>
        <w:t xml:space="preserve"> a un particular, este criterio encuentra apoyo, por analogía, en lo dispuesto en la tesis de Jurisprudencia VIII.3o. J/22, localizable en Tomo XXV, Abril de 2007, página 1377, del Semanario Judicial de la Federación y su Gaceta, que en su rubro y contenido refiere:  </w:t>
      </w:r>
    </w:p>
    <w:p w:rsidR="003356D9" w:rsidRPr="00901792" w:rsidRDefault="003356D9" w:rsidP="003356D9">
      <w:pPr>
        <w:spacing w:after="0" w:line="240" w:lineRule="auto"/>
        <w:ind w:left="567" w:right="473"/>
        <w:jc w:val="both"/>
        <w:rPr>
          <w:rFonts w:ascii="Arial" w:hAnsi="Arial" w:cs="Arial"/>
          <w:sz w:val="20"/>
          <w:szCs w:val="28"/>
        </w:rPr>
      </w:pPr>
    </w:p>
    <w:p w:rsidR="003356D9" w:rsidRDefault="003356D9" w:rsidP="003356D9">
      <w:pPr>
        <w:spacing w:after="0" w:line="240" w:lineRule="auto"/>
        <w:ind w:left="567" w:right="473"/>
        <w:jc w:val="both"/>
        <w:rPr>
          <w:rFonts w:ascii="Arial" w:hAnsi="Arial" w:cs="Arial"/>
          <w:b/>
          <w:sz w:val="20"/>
          <w:szCs w:val="28"/>
        </w:rPr>
      </w:pPr>
    </w:p>
    <w:p w:rsidR="003356D9" w:rsidRPr="00753CEB" w:rsidRDefault="003356D9" w:rsidP="003356D9">
      <w:pPr>
        <w:spacing w:after="0" w:line="240" w:lineRule="auto"/>
        <w:ind w:left="567" w:right="473"/>
        <w:jc w:val="both"/>
        <w:rPr>
          <w:rFonts w:ascii="Arial" w:hAnsi="Arial" w:cs="Arial"/>
          <w:sz w:val="24"/>
          <w:szCs w:val="24"/>
        </w:rPr>
      </w:pPr>
      <w:r w:rsidRPr="00753CEB">
        <w:rPr>
          <w:rFonts w:ascii="Arial" w:hAnsi="Arial" w:cs="Arial"/>
          <w:b/>
          <w:sz w:val="24"/>
          <w:szCs w:val="24"/>
        </w:rPr>
        <w:t>COMPETENCIA DE LAS AUTORIDADES ADMINISTRATIVAS. AL SER UN PRESUPUESTO PROCESAL CUYO ESTUDIO ES DE ORDEN PÚBLICO LAS SALAS DEL TRIBUNAL FEDERAL DE JUSTICIA FISCAL Y ADMINISTRATIVA DEBEN ANALIZARLA DE OFICIO, SIN DISTINGUIR SI SE TRATA DE LA INDEBIDA, INSUFICIENTE O DE LA FALTA DE FUNDAMENTACIÓN DE AQUÉLLA</w:t>
      </w:r>
      <w:r w:rsidRPr="00753CEB">
        <w:rPr>
          <w:rFonts w:ascii="Arial" w:hAnsi="Arial" w:cs="Arial"/>
          <w:sz w:val="24"/>
          <w:szCs w:val="24"/>
        </w:rPr>
        <w:t xml:space="preserve">. De la interpretación de las tesis jurisprudenciales P./J. 10/94, 2a./J. 99/2006, 2a./J. 57/2001 y 2a./J. 115/2005, publicadas en la Gaceta del Semanario Judicial de la Federación, Octava Época, Número 77, mayo de 1994, página 12 y Semanario Judicial de la Federación y su Gaceta, Novena Época, Tomos XXIV, julio de 2006; XIV, noviembre de 2001; y, XXII, septiembre de 2005, páginas 345, 31 y 310, respectivamente, de rubros: "COMPETENCIA. SU FUNDAMENTACIÓN ES REQUISITO ESENCIAL DEL ACTO DE AUTORIDAD."; "COMPETENCIA DE LA AUTORIDAD DEMANDADA EN EL JUICIO DE NULIDAD. DEBE ANALIZARSE EN TODOS LOS CASOS POR EL TRIBUNAL FEDERAL DE JUSTICIA FISCAL Y </w:t>
      </w:r>
      <w:r w:rsidRPr="00753CEB">
        <w:rPr>
          <w:rFonts w:ascii="Arial" w:hAnsi="Arial" w:cs="Arial"/>
          <w:sz w:val="24"/>
          <w:szCs w:val="24"/>
        </w:rPr>
        <w:lastRenderedPageBreak/>
        <w:t xml:space="preserve">ADMINISTRATIVA."; "COMPETENCIA DE LAS AUTORIDADES ADMINISTRATIVAS. EN EL MANDAMIENTO ESCRITO QUE CONTIENE EL ACTO DE MOLESTIA, DEBE SEÑALARSE CON PRECISIÓN EL PRECEPTO LEGAL QUE LES OTORGUE LA ATRIBUCIÓN EJERCIDA Y, EN SU CASO, LA RESPECTIVA FRACCIÓN, INCISO Y SUBINCISO."; y "COMPETENCIA DE LAS AUTORIDADES ADMINISTRATIVAS. EL MANDAMIENTO ESCRITO QUE CONTIENE EL ACTO DE MOLESTIA A PARTICULARES DEBE FUNDARSE EN EL PRECEPTO LEGAL QUE LES OTORGUE LA ATRIBUCIÓN EJERCIDA, CITANDO EL APARTADO, FRACCIÓN, INCISO O SUBINCISO, Y EN CASO DE QUE NO LOS CONTENGA, SI SE TRATA DE UNA NORMA COMPLEJA, HABRÁ DE TRANSCRIBIRSE LA PARTE CORRESPONDIENTE."; se colige que cuando se analiza la competencia material, por grado o territorio de cualquier autoridad administrativa, entre las que se incluye a la fiscal, no cabe distinguir entre su falta o ausencia o una indebida o incompleta fundamentación, para que las Salas del Tribunal Federal de Justicia Fiscal y Administrativa estén obligadas a examinarla en forma oficiosa, toda vez que, como presupuesto procesal que atañe a la correcta integración de un procedimiento, es una cuestión de orden público, mayor aún en un procedimiento que concluye con una resolución definitiva que establece cargas fiscales a un particular. Lo anterior es así, ya que por imperativo del artículo 16 de la Constitución Política de los Estados Unidos Mexicanos la autoridad que lleva a cabo un acto de molestia, tiene la ineludible obligación de justificar a plenitud que está facultada para hacerlo, lo cual implica necesariamente que cuenta con competencia para ello en los tres ámbitos mencionados, es decir, por razón de materia, grado o territorio, expresando en el documento respectivo el carácter con el que suscribe y el dispositivo, acuerdo o decreto que le otorgue dicha legitimación, aun en el supuesto de que la norma legal no contemple apartados, fracción o fracciones, inciso y </w:t>
      </w:r>
      <w:proofErr w:type="spellStart"/>
      <w:r w:rsidRPr="00753CEB">
        <w:rPr>
          <w:rFonts w:ascii="Arial" w:hAnsi="Arial" w:cs="Arial"/>
          <w:sz w:val="24"/>
          <w:szCs w:val="24"/>
        </w:rPr>
        <w:t>subincisos</w:t>
      </w:r>
      <w:proofErr w:type="spellEnd"/>
      <w:r w:rsidRPr="00753CEB">
        <w:rPr>
          <w:rFonts w:ascii="Arial" w:hAnsi="Arial" w:cs="Arial"/>
          <w:sz w:val="24"/>
          <w:szCs w:val="24"/>
        </w:rPr>
        <w:t xml:space="preserve">, pues en tal caso, debe llegar incluso al extremo de hacer la transcripción correspondiente del precepto en que funde debidamente su competencia, toda vez que la garantía de fundamentación consagrada en el citado artículo 16, lleva implícita la idea de exactitud y precisión en la cita de las normas legales que facultan a la autoridad administrativa para emitir el acto de molestia de que se trate, ya que sólo así podrá justificar si su actuación se encuentra dentro del ámbito competencial respectivo; de tal manera que si en un acto de molestia no se citan con exactitud y precisión las normas legales que facultan a la autoridad administrativa para afectar al gobernado, ese acto concreto de autoridad carece de eficacia y validez, en tanto que aquélla no proporcionó los elementos esenciales que permitan conocer si tiene competencia para incursionar en la esfera jurídica del particular, pues de lo contrario se le dejaría en estado de indefensión, toda vez que ignoraría cuál de todas las normas legales que integran el texto normativo es la específicamente aplicable a la actuación del órgano del que emana y en ese sentido, aun cuando la indebida, insuficiente o falta de fundamentación de la competencia de la autoridad generan la ilegalidad de la resolución administrativa en términos de la fracción II del artículo 238 del Código Fiscal de la Federación, vigente hasta el 31 de diciembre de 2005, cuyo contenido sustancial se reproduce en la fracción II del artículo 51 de la Ley Federal de Procedimiento Contencioso Administrativo, relativa a la omisión de los requisitos formales exigidos por las leyes; conforme al contenido y alcance del penúltimo párrafo de </w:t>
      </w:r>
      <w:r w:rsidRPr="00753CEB">
        <w:rPr>
          <w:rFonts w:ascii="Arial" w:hAnsi="Arial" w:cs="Arial"/>
          <w:sz w:val="24"/>
          <w:szCs w:val="24"/>
        </w:rPr>
        <w:lastRenderedPageBreak/>
        <w:t>ese numeral, coincidente con el penúltimo párrafo del invocado artículo 51, las Salas del Tribunal Federal de Justicia Fiscal y Administrativa están obligadas a examinarla de oficio, al resultar ilegal el acto combatido, precisamente por la actuación o intervención de una autoridad que no acreditó tener competencia. TERCER TRIBUNAL COLEGIADO DEL OCTAVO CIRCUITO. (Registro digital: 172812)</w:t>
      </w:r>
    </w:p>
    <w:p w:rsidR="003356D9" w:rsidRPr="00377EFA" w:rsidRDefault="003356D9" w:rsidP="003356D9">
      <w:pPr>
        <w:spacing w:after="0" w:line="360" w:lineRule="auto"/>
        <w:jc w:val="both"/>
        <w:rPr>
          <w:rFonts w:ascii="Arial" w:hAnsi="Arial" w:cs="Arial"/>
          <w:sz w:val="24"/>
          <w:szCs w:val="28"/>
        </w:rPr>
      </w:pPr>
    </w:p>
    <w:p w:rsidR="003356D9" w:rsidRPr="00753CEB" w:rsidRDefault="003356D9" w:rsidP="003356D9">
      <w:pPr>
        <w:spacing w:after="0" w:line="360" w:lineRule="auto"/>
        <w:ind w:firstLine="708"/>
        <w:jc w:val="both"/>
        <w:rPr>
          <w:rFonts w:ascii="Arial" w:hAnsi="Arial" w:cs="Arial"/>
          <w:sz w:val="28"/>
          <w:szCs w:val="28"/>
        </w:rPr>
      </w:pPr>
      <w:r w:rsidRPr="00753CEB">
        <w:rPr>
          <w:rFonts w:ascii="Arial" w:hAnsi="Arial" w:cs="Arial"/>
          <w:sz w:val="28"/>
          <w:szCs w:val="28"/>
        </w:rPr>
        <w:t xml:space="preserve">Sobre este tema cobra relevancia, por analogía y en su parte conducente, lo contenido en la Tesis Asilada II.3o.A.55 A (10a.), localizada en el registro digital: 2003589, del Semanario Judicial de la Federación, que dispone: </w:t>
      </w:r>
    </w:p>
    <w:p w:rsidR="003356D9" w:rsidRPr="00377EFA" w:rsidRDefault="003356D9" w:rsidP="003356D9">
      <w:pPr>
        <w:spacing w:after="0" w:line="360" w:lineRule="auto"/>
        <w:ind w:firstLine="708"/>
        <w:jc w:val="both"/>
        <w:rPr>
          <w:rFonts w:ascii="Arial" w:hAnsi="Arial" w:cs="Arial"/>
          <w:sz w:val="24"/>
          <w:szCs w:val="28"/>
        </w:rPr>
      </w:pPr>
    </w:p>
    <w:p w:rsidR="003356D9" w:rsidRPr="00753CEB" w:rsidRDefault="003356D9" w:rsidP="003356D9">
      <w:pPr>
        <w:spacing w:after="0" w:line="240" w:lineRule="auto"/>
        <w:ind w:left="567" w:right="615"/>
        <w:jc w:val="both"/>
        <w:rPr>
          <w:rFonts w:ascii="Arial" w:hAnsi="Arial" w:cs="Arial"/>
          <w:sz w:val="24"/>
          <w:szCs w:val="24"/>
        </w:rPr>
      </w:pPr>
      <w:r w:rsidRPr="00753CEB">
        <w:rPr>
          <w:rFonts w:ascii="Arial" w:hAnsi="Arial" w:cs="Arial"/>
          <w:b/>
          <w:sz w:val="24"/>
          <w:szCs w:val="24"/>
        </w:rPr>
        <w:t>INCOMPETENCIA DE LA AUTORIDAD DEMANDADA EN EL JUICIO CONTENCIOSO ADMINISTRATIVO. REGLAS PARA SU ESTUDIO CONFORME A LOS ARTÍCULOS 50, SEGUNDO PÁRRAFO Y 51, PENÚLTIMO PÁRRAFO, DE LA LEY FEDERAL DE PROCEDIMIENTO RELATIVO, ANTES DE LA REFORMA A ESTE ÚLTIMO, PUBLICADA EN EL DIARIO OFICIAL DE LA FEDERACIÓN EL 10 DE DICIEMBRE DE 2010 (APLICACIÓN DE LAS JURISPRUDENCIAS 2a./J. 9/2011 Y 2a./J. 218/2007).</w:t>
      </w:r>
      <w:r w:rsidRPr="00753CEB">
        <w:rPr>
          <w:rFonts w:ascii="Arial" w:hAnsi="Arial" w:cs="Arial"/>
          <w:sz w:val="24"/>
          <w:szCs w:val="24"/>
        </w:rPr>
        <w:t xml:space="preserve"> De acuerdo con la ejecutoria dictada en la contradicción de tesis 294/2010, de la que derivó la jurisprudencia 2a./J. 9/2011 y la solicitud de aclaración de ésta (2/2011), de la Segunda Sala de la Suprema Corte de Justicia de la Nación, y conforme a los artículos 50, segundo párrafo y 51, penúltimo párrafo, de la Ley Federal de Procedimiento Contencioso Administrativo, antes de la reforma a este último, publicada en el Diario Oficial de la Federación el 10 de diciembre de 2010, las Salas del Tribunal Federal de Justicia Fiscal y Administrativa están obligadas a estudiar, preferentemente, la incompetencia de la autoridad demandada en el juicio contencioso administrativo, en dos casos: a) Cuando el actor plantee conceptos de impugnación relativos al tema, los que incluso deberán analizarse en un orden apropiado, comenzando por los que conlleven la obtención de los mayores beneficios para el demandante (incompetencia material, por ejemplo) y posteriormente, estudiar, los que puedan implicar menores beneficios (falta de fundamentación de la competencia, por ejemplo) hasta agotar el análisis respectivo, y b) Cuando, a pesar de no haberse planteado, la Sala Fiscal deba pronunciarse oficiosamente al respecto, siempre que en ese aspecto existan planteamientos que pudieran resultar fundados, lo que significa, acorde con la diversa jurisprudencia 2a./J. 218/2007, que si en la demanda de origen no existen agravios en los que se exponga la incompetencia y la Sala Fiscal tampoco se pronuncia oficiosamente al respecto, deberá entenderse que tácitamente, con su silencio, estima que es competente la autoridad demandada para emitir el acto controvertido, pues si efectivamente fuere incompetente, entonces así lo habría declarado de oficio, de todo lo cual se sigue que si la Sala Fiscal no se pronuncia expresamente sobre la incompetencia de la </w:t>
      </w:r>
      <w:r w:rsidRPr="00753CEB">
        <w:rPr>
          <w:rFonts w:ascii="Arial" w:hAnsi="Arial" w:cs="Arial"/>
          <w:sz w:val="24"/>
          <w:szCs w:val="24"/>
        </w:rPr>
        <w:lastRenderedPageBreak/>
        <w:t>autoridad demandada y con ello le reconoce tácitamente como competente, entonces su decisión implícita solo podrá considerarse constitucionalmente válida si, en verdad, no existe argumento alguno de incompetencia que sea fundado, aspecto que debe ser cuidadosamente controlado en amparo, razón por la cual los Tribunales Colegiados deben verificar que las decisiones expresas o tácitas en materia de incompetencia de dicha demandada efectivamente sean correctas.  TERCER TRIBUNAL COLEGIADO EN MATERIA ADMINISTRATIVA DEL SEGUNDO CIRCUITO.</w:t>
      </w:r>
    </w:p>
    <w:p w:rsidR="003356D9" w:rsidRPr="00753CEB" w:rsidRDefault="003356D9" w:rsidP="003356D9">
      <w:pPr>
        <w:spacing w:after="0" w:line="360" w:lineRule="auto"/>
        <w:ind w:firstLine="708"/>
        <w:jc w:val="both"/>
        <w:rPr>
          <w:rFonts w:ascii="Arial" w:hAnsi="Arial" w:cs="Arial"/>
          <w:sz w:val="24"/>
          <w:szCs w:val="24"/>
        </w:rPr>
      </w:pPr>
    </w:p>
    <w:p w:rsidR="003356D9" w:rsidRPr="00C630A6" w:rsidRDefault="003356D9" w:rsidP="003356D9">
      <w:pPr>
        <w:spacing w:after="0" w:line="360" w:lineRule="auto"/>
        <w:ind w:right="48" w:firstLine="567"/>
        <w:jc w:val="both"/>
        <w:rPr>
          <w:rFonts w:ascii="Arial" w:hAnsi="Arial" w:cs="Arial"/>
          <w:sz w:val="28"/>
          <w:szCs w:val="28"/>
        </w:rPr>
      </w:pPr>
      <w:r w:rsidRPr="00C630A6">
        <w:rPr>
          <w:rFonts w:ascii="Arial" w:hAnsi="Arial" w:cs="Arial"/>
          <w:sz w:val="28"/>
          <w:szCs w:val="28"/>
        </w:rPr>
        <w:t>Bajo este contexto, como puede advertirse</w:t>
      </w:r>
      <w:r w:rsidR="00F82D94">
        <w:rPr>
          <w:rFonts w:ascii="Arial" w:hAnsi="Arial" w:cs="Arial"/>
          <w:sz w:val="28"/>
          <w:szCs w:val="28"/>
        </w:rPr>
        <w:t xml:space="preserve"> </w:t>
      </w:r>
      <w:r w:rsidRPr="00C630A6">
        <w:rPr>
          <w:rFonts w:ascii="Arial" w:hAnsi="Arial" w:cs="Arial"/>
          <w:sz w:val="28"/>
          <w:szCs w:val="28"/>
        </w:rPr>
        <w:t xml:space="preserve">si bien es cierto que la autoridad emisora del acto impugnado </w:t>
      </w:r>
      <w:r w:rsidRPr="00C630A6">
        <w:rPr>
          <w:rFonts w:ascii="Arial" w:hAnsi="Arial" w:cs="Arial"/>
          <w:i/>
          <w:sz w:val="28"/>
          <w:szCs w:val="28"/>
        </w:rPr>
        <w:t>–</w:t>
      </w:r>
      <w:r w:rsidR="00F82D94">
        <w:rPr>
          <w:rFonts w:ascii="Arial" w:hAnsi="Arial" w:cs="Arial"/>
          <w:i/>
          <w:sz w:val="28"/>
          <w:szCs w:val="28"/>
        </w:rPr>
        <w:t>Inspector</w:t>
      </w:r>
      <w:r w:rsidR="00F82D94" w:rsidRPr="00C630A6">
        <w:rPr>
          <w:rFonts w:ascii="Arial" w:hAnsi="Arial" w:cs="Arial"/>
          <w:i/>
          <w:sz w:val="28"/>
          <w:szCs w:val="28"/>
        </w:rPr>
        <w:t xml:space="preserve"> </w:t>
      </w:r>
      <w:r w:rsidRPr="00C630A6">
        <w:rPr>
          <w:rFonts w:ascii="Arial" w:hAnsi="Arial" w:cs="Arial"/>
          <w:i/>
          <w:sz w:val="28"/>
          <w:szCs w:val="28"/>
        </w:rPr>
        <w:t>-</w:t>
      </w:r>
      <w:r w:rsidRPr="00C630A6">
        <w:rPr>
          <w:rFonts w:ascii="Arial" w:hAnsi="Arial" w:cs="Arial"/>
          <w:sz w:val="28"/>
          <w:szCs w:val="28"/>
        </w:rPr>
        <w:t xml:space="preserve"> en la determinación de</w:t>
      </w:r>
      <w:r w:rsidR="00F82D94">
        <w:rPr>
          <w:rFonts w:ascii="Arial" w:hAnsi="Arial" w:cs="Arial"/>
          <w:sz w:val="28"/>
          <w:szCs w:val="28"/>
        </w:rPr>
        <w:t xml:space="preserve"> </w:t>
      </w:r>
      <w:r w:rsidRPr="00C630A6">
        <w:rPr>
          <w:rFonts w:ascii="Arial" w:hAnsi="Arial" w:cs="Arial"/>
          <w:sz w:val="28"/>
          <w:szCs w:val="28"/>
        </w:rPr>
        <w:t>l</w:t>
      </w:r>
      <w:r w:rsidR="00F82D94">
        <w:rPr>
          <w:rFonts w:ascii="Arial" w:hAnsi="Arial" w:cs="Arial"/>
          <w:sz w:val="28"/>
          <w:szCs w:val="28"/>
        </w:rPr>
        <w:t xml:space="preserve">a infracción </w:t>
      </w:r>
      <w:r w:rsidRPr="00C630A6">
        <w:rPr>
          <w:rFonts w:ascii="Arial" w:hAnsi="Arial" w:cs="Arial"/>
          <w:sz w:val="28"/>
          <w:szCs w:val="28"/>
        </w:rPr>
        <w:t>en estudio, a fin de fundar su competencia en el acto de molestia cita una serie de artículos de la Ley de Aguas para el Estado y del Reglamento Interior del Organismo Operador al cual pertenece (</w:t>
      </w:r>
      <w:r w:rsidRPr="00C630A6">
        <w:rPr>
          <w:rFonts w:ascii="Arial" w:hAnsi="Arial" w:cs="Arial"/>
          <w:i/>
          <w:sz w:val="28"/>
          <w:szCs w:val="28"/>
        </w:rPr>
        <w:t xml:space="preserve">INTERAPAS); </w:t>
      </w:r>
      <w:r w:rsidRPr="00C630A6">
        <w:rPr>
          <w:rFonts w:ascii="Arial" w:hAnsi="Arial" w:cs="Arial"/>
          <w:sz w:val="28"/>
          <w:szCs w:val="28"/>
        </w:rPr>
        <w:t xml:space="preserve">de igual manera </w:t>
      </w:r>
      <w:r w:rsidR="003832EF">
        <w:rPr>
          <w:rFonts w:ascii="Arial" w:hAnsi="Arial" w:cs="Arial"/>
          <w:sz w:val="28"/>
          <w:szCs w:val="28"/>
        </w:rPr>
        <w:t>no son suficientes para justificar su actuación es decir, el procedimiento legal para el levantamiento del acta de infracción</w:t>
      </w:r>
      <w:r w:rsidRPr="00C630A6">
        <w:rPr>
          <w:rFonts w:ascii="Arial" w:hAnsi="Arial" w:cs="Arial"/>
          <w:sz w:val="28"/>
          <w:szCs w:val="28"/>
        </w:rPr>
        <w:t xml:space="preserve">. </w:t>
      </w:r>
    </w:p>
    <w:p w:rsidR="003356D9" w:rsidRDefault="003356D9" w:rsidP="003356D9">
      <w:pPr>
        <w:spacing w:after="0" w:line="360" w:lineRule="auto"/>
        <w:ind w:right="48"/>
        <w:jc w:val="both"/>
        <w:rPr>
          <w:rFonts w:ascii="Arial" w:hAnsi="Arial" w:cs="Arial"/>
          <w:sz w:val="24"/>
        </w:rPr>
      </w:pPr>
    </w:p>
    <w:p w:rsidR="003356D9" w:rsidRPr="00CB2A0E" w:rsidRDefault="003356D9" w:rsidP="003356D9">
      <w:pPr>
        <w:spacing w:after="0" w:line="360" w:lineRule="auto"/>
        <w:ind w:right="48" w:firstLine="567"/>
        <w:jc w:val="both"/>
        <w:rPr>
          <w:rFonts w:ascii="Arial" w:hAnsi="Arial" w:cs="Arial"/>
          <w:sz w:val="28"/>
          <w:szCs w:val="28"/>
        </w:rPr>
      </w:pPr>
      <w:r w:rsidRPr="00CB2A0E">
        <w:rPr>
          <w:rFonts w:ascii="Arial" w:hAnsi="Arial" w:cs="Arial"/>
          <w:sz w:val="28"/>
          <w:szCs w:val="28"/>
        </w:rPr>
        <w:t xml:space="preserve">Sobre este tópico, ha sido criterio del Máximo Tribunal del país que a fin estimar satisfecha la garantía de la debida fundamentación, contienda en el precitado artículo 16 de la Constitución Política de los Estados Unidos Mexicanos, </w:t>
      </w:r>
      <w:r w:rsidRPr="00CB2A0E">
        <w:rPr>
          <w:rFonts w:ascii="Arial" w:hAnsi="Arial" w:cs="Arial"/>
          <w:b/>
          <w:sz w:val="28"/>
          <w:szCs w:val="28"/>
        </w:rPr>
        <w:t>por lo que hace a la competencia de la autoridad administrativa</w:t>
      </w:r>
      <w:r w:rsidRPr="00CB2A0E">
        <w:rPr>
          <w:rFonts w:ascii="Arial" w:hAnsi="Arial" w:cs="Arial"/>
          <w:sz w:val="28"/>
          <w:szCs w:val="28"/>
        </w:rPr>
        <w:t xml:space="preserve"> para emitir el acto de molestia </w:t>
      </w:r>
      <w:r w:rsidRPr="00CB2A0E">
        <w:rPr>
          <w:rFonts w:ascii="Arial" w:hAnsi="Arial" w:cs="Arial"/>
          <w:sz w:val="28"/>
          <w:szCs w:val="28"/>
          <w:u w:val="single"/>
        </w:rPr>
        <w:t xml:space="preserve">es necesario que en el documento que se contenga se invoquen las disposiciones legales, acuerdo o decreto que otorgan facultades a la autoridad emisora y, en caso de que estas normas incluyan diversos supuestos, se precisen con claridad y detalle, el apartado, la fracción o fracciones, incisos y </w:t>
      </w:r>
      <w:proofErr w:type="spellStart"/>
      <w:r w:rsidRPr="00CB2A0E">
        <w:rPr>
          <w:rFonts w:ascii="Arial" w:hAnsi="Arial" w:cs="Arial"/>
          <w:sz w:val="28"/>
          <w:szCs w:val="28"/>
          <w:u w:val="single"/>
        </w:rPr>
        <w:t>subincisos</w:t>
      </w:r>
      <w:proofErr w:type="spellEnd"/>
      <w:r w:rsidRPr="00CB2A0E">
        <w:rPr>
          <w:rFonts w:ascii="Arial" w:hAnsi="Arial" w:cs="Arial"/>
          <w:sz w:val="28"/>
          <w:szCs w:val="28"/>
          <w:u w:val="single"/>
        </w:rPr>
        <w:t>, en que apoya su actuación</w:t>
      </w:r>
      <w:r w:rsidRPr="00CB2A0E">
        <w:rPr>
          <w:rFonts w:ascii="Arial" w:hAnsi="Arial" w:cs="Arial"/>
          <w:sz w:val="28"/>
          <w:szCs w:val="28"/>
        </w:rPr>
        <w:t xml:space="preserve">; pues de no ser así, se deja al particular en estado de indefensión, toda vez que se traduciría en que éste ignorara si el proceder de la autoridad se encuentra o no dentro de su ámbito competencial respectivo por razón de materia, grado y territorio y, en consecuencia, si está o no ajustado a derecho. </w:t>
      </w:r>
      <w:r w:rsidRPr="00CB2A0E">
        <w:rPr>
          <w:rStyle w:val="Refdenotaalpie"/>
          <w:sz w:val="28"/>
          <w:szCs w:val="28"/>
        </w:rPr>
        <w:footnoteReference w:id="4"/>
      </w:r>
    </w:p>
    <w:p w:rsidR="003356D9" w:rsidRPr="009C2819" w:rsidRDefault="003356D9" w:rsidP="003356D9">
      <w:pPr>
        <w:spacing w:after="0" w:line="360" w:lineRule="auto"/>
        <w:ind w:right="48" w:firstLine="567"/>
        <w:jc w:val="both"/>
        <w:rPr>
          <w:rFonts w:ascii="Arial" w:hAnsi="Arial" w:cs="Arial"/>
          <w:sz w:val="28"/>
          <w:szCs w:val="28"/>
        </w:rPr>
      </w:pPr>
      <w:r w:rsidRPr="009C2819">
        <w:rPr>
          <w:rFonts w:ascii="Arial" w:hAnsi="Arial" w:cs="Arial"/>
          <w:sz w:val="28"/>
          <w:szCs w:val="28"/>
        </w:rPr>
        <w:lastRenderedPageBreak/>
        <w:t xml:space="preserve">De lo anterior se puede concluir que los actos de molestia, como el impugnado en este juicio requieren, entre otros requisitos, que sean emitidos por autoridad competente cumpliéndose las formalidades esenciales que le den eficacia jurídica, lo que significa que necesariamente debe emitirse </w:t>
      </w:r>
      <w:r w:rsidRPr="009C2819">
        <w:rPr>
          <w:rFonts w:ascii="Arial" w:hAnsi="Arial" w:cs="Arial"/>
          <w:b/>
          <w:sz w:val="28"/>
          <w:szCs w:val="28"/>
        </w:rPr>
        <w:t>por quien para ello esté legitimado</w:t>
      </w:r>
      <w:r w:rsidRPr="009C2819">
        <w:rPr>
          <w:rFonts w:ascii="Arial" w:hAnsi="Arial" w:cs="Arial"/>
          <w:sz w:val="28"/>
          <w:szCs w:val="28"/>
        </w:rPr>
        <w:t xml:space="preserve">, expresándose como parte de las formalidades esenciales, el carácter en que la autoridad respectiva lo suscriba y el </w:t>
      </w:r>
      <w:r w:rsidRPr="009C2819">
        <w:rPr>
          <w:rFonts w:ascii="Arial" w:hAnsi="Arial" w:cs="Arial"/>
          <w:sz w:val="28"/>
          <w:szCs w:val="28"/>
          <w:u w:val="single"/>
        </w:rPr>
        <w:t>dispositivo</w:t>
      </w:r>
      <w:r w:rsidRPr="009C2819">
        <w:rPr>
          <w:rFonts w:ascii="Arial" w:hAnsi="Arial" w:cs="Arial"/>
          <w:sz w:val="28"/>
          <w:szCs w:val="28"/>
        </w:rPr>
        <w:t xml:space="preserve">, </w:t>
      </w:r>
      <w:r w:rsidRPr="009C2819">
        <w:rPr>
          <w:rFonts w:ascii="Arial" w:hAnsi="Arial" w:cs="Arial"/>
          <w:sz w:val="28"/>
          <w:szCs w:val="28"/>
          <w:u w:val="single"/>
        </w:rPr>
        <w:t>acuerdo</w:t>
      </w:r>
      <w:r w:rsidRPr="009C2819">
        <w:rPr>
          <w:rFonts w:ascii="Arial" w:hAnsi="Arial" w:cs="Arial"/>
          <w:sz w:val="28"/>
          <w:szCs w:val="28"/>
        </w:rPr>
        <w:t xml:space="preserve"> o </w:t>
      </w:r>
      <w:r w:rsidRPr="009C2819">
        <w:rPr>
          <w:rFonts w:ascii="Arial" w:hAnsi="Arial" w:cs="Arial"/>
          <w:sz w:val="28"/>
          <w:szCs w:val="28"/>
          <w:u w:val="single"/>
        </w:rPr>
        <w:t>decreto</w:t>
      </w:r>
      <w:r w:rsidRPr="009C2819">
        <w:rPr>
          <w:rFonts w:ascii="Arial" w:hAnsi="Arial" w:cs="Arial"/>
          <w:sz w:val="28"/>
          <w:szCs w:val="28"/>
        </w:rPr>
        <w:t xml:space="preserve"> que le otorgue tal legitimación; esto es, se deben precisar con claridad y detalle </w:t>
      </w:r>
      <w:r w:rsidRPr="009C2819">
        <w:rPr>
          <w:rFonts w:ascii="Arial" w:hAnsi="Arial" w:cs="Arial"/>
          <w:sz w:val="28"/>
          <w:szCs w:val="28"/>
          <w:u w:val="single"/>
        </w:rPr>
        <w:t>el apartado</w:t>
      </w:r>
      <w:r w:rsidRPr="009C2819">
        <w:rPr>
          <w:rFonts w:ascii="Arial" w:hAnsi="Arial" w:cs="Arial"/>
          <w:sz w:val="28"/>
          <w:szCs w:val="28"/>
        </w:rPr>
        <w:t xml:space="preserve">, </w:t>
      </w:r>
      <w:r w:rsidRPr="009C2819">
        <w:rPr>
          <w:rFonts w:ascii="Arial" w:hAnsi="Arial" w:cs="Arial"/>
          <w:sz w:val="28"/>
          <w:szCs w:val="28"/>
          <w:u w:val="single"/>
        </w:rPr>
        <w:t>fracción</w:t>
      </w:r>
      <w:r w:rsidRPr="009C2819">
        <w:rPr>
          <w:rFonts w:ascii="Arial" w:hAnsi="Arial" w:cs="Arial"/>
          <w:sz w:val="28"/>
          <w:szCs w:val="28"/>
        </w:rPr>
        <w:t xml:space="preserve"> o </w:t>
      </w:r>
      <w:r w:rsidRPr="009C2819">
        <w:rPr>
          <w:rFonts w:ascii="Arial" w:hAnsi="Arial" w:cs="Arial"/>
          <w:sz w:val="28"/>
          <w:szCs w:val="28"/>
          <w:u w:val="single"/>
        </w:rPr>
        <w:t>fracciones</w:t>
      </w:r>
      <w:r w:rsidRPr="009C2819">
        <w:rPr>
          <w:rFonts w:ascii="Arial" w:hAnsi="Arial" w:cs="Arial"/>
          <w:sz w:val="28"/>
          <w:szCs w:val="28"/>
        </w:rPr>
        <w:t xml:space="preserve">, </w:t>
      </w:r>
      <w:r w:rsidRPr="009C2819">
        <w:rPr>
          <w:rFonts w:ascii="Arial" w:hAnsi="Arial" w:cs="Arial"/>
          <w:sz w:val="28"/>
          <w:szCs w:val="28"/>
          <w:u w:val="single"/>
        </w:rPr>
        <w:t>incisos</w:t>
      </w:r>
      <w:r w:rsidRPr="009C2819">
        <w:rPr>
          <w:rFonts w:ascii="Arial" w:hAnsi="Arial" w:cs="Arial"/>
          <w:sz w:val="28"/>
          <w:szCs w:val="28"/>
        </w:rPr>
        <w:t xml:space="preserve"> y </w:t>
      </w:r>
      <w:proofErr w:type="spellStart"/>
      <w:r w:rsidRPr="009C2819">
        <w:rPr>
          <w:rFonts w:ascii="Arial" w:hAnsi="Arial" w:cs="Arial"/>
          <w:sz w:val="28"/>
          <w:szCs w:val="28"/>
          <w:u w:val="single"/>
        </w:rPr>
        <w:t>subincisos</w:t>
      </w:r>
      <w:proofErr w:type="spellEnd"/>
      <w:r w:rsidRPr="009C2819">
        <w:rPr>
          <w:rFonts w:ascii="Arial" w:hAnsi="Arial" w:cs="Arial"/>
          <w:sz w:val="28"/>
          <w:szCs w:val="28"/>
          <w:u w:val="single"/>
        </w:rPr>
        <w:t>,</w:t>
      </w:r>
      <w:r w:rsidRPr="009C2819">
        <w:rPr>
          <w:rFonts w:ascii="Arial" w:hAnsi="Arial" w:cs="Arial"/>
          <w:sz w:val="28"/>
          <w:szCs w:val="28"/>
        </w:rPr>
        <w:t xml:space="preserve"> en que se apoya su actuación, a fin de considerar suficientemente fundada su competencia y carácter para determinar el acto, ya sea que lo haga por sí mismo, por ausencia del titular o por delegación de facultades; pues de no hacerlo así se trastocan las exigencias de debida fundamentación y motivación contenidas en el artículo 46 del Código fiscal para el Estado</w:t>
      </w:r>
      <w:r w:rsidRPr="009C2819">
        <w:rPr>
          <w:rStyle w:val="Refdenotaalpie"/>
          <w:sz w:val="28"/>
          <w:szCs w:val="28"/>
        </w:rPr>
        <w:footnoteReference w:id="5"/>
      </w:r>
      <w:r w:rsidR="00AA094E">
        <w:rPr>
          <w:rFonts w:ascii="Arial" w:hAnsi="Arial" w:cs="Arial"/>
          <w:sz w:val="28"/>
          <w:szCs w:val="28"/>
        </w:rPr>
        <w:t>,</w:t>
      </w:r>
      <w:r w:rsidRPr="009C2819">
        <w:rPr>
          <w:rFonts w:ascii="Arial" w:hAnsi="Arial" w:cs="Arial"/>
          <w:sz w:val="28"/>
          <w:szCs w:val="28"/>
        </w:rPr>
        <w:t xml:space="preserve"> así como las garantías de legalidad y seguridad jurídica mencionadas en los artículos </w:t>
      </w:r>
      <w:r w:rsidRPr="009C2819">
        <w:rPr>
          <w:rFonts w:ascii="Arial" w:hAnsi="Arial" w:cs="Arial"/>
          <w:sz w:val="28"/>
          <w:szCs w:val="28"/>
          <w:lang w:val="es-ES"/>
        </w:rPr>
        <w:t xml:space="preserve">14 y 16 de la Constitución Federal, estos últimos en los </w:t>
      </w:r>
      <w:r w:rsidRPr="009C2819">
        <w:rPr>
          <w:rFonts w:ascii="Arial" w:hAnsi="Arial" w:cs="Arial"/>
          <w:sz w:val="28"/>
          <w:szCs w:val="28"/>
          <w:lang w:val="es-ES"/>
        </w:rPr>
        <w:lastRenderedPageBreak/>
        <w:t xml:space="preserve">que se </w:t>
      </w:r>
      <w:r w:rsidRPr="009C2819">
        <w:rPr>
          <w:rFonts w:ascii="Arial" w:hAnsi="Arial" w:cs="Arial"/>
          <w:sz w:val="28"/>
          <w:szCs w:val="28"/>
        </w:rPr>
        <w:t xml:space="preserve">exige que todo acto de molestia o de privación a los gobernados, debe emitirse por quien tenga facultad expresa para ello.  </w:t>
      </w:r>
    </w:p>
    <w:p w:rsidR="003356D9" w:rsidRPr="009C2819" w:rsidRDefault="003356D9" w:rsidP="003356D9">
      <w:pPr>
        <w:spacing w:after="0" w:line="360" w:lineRule="auto"/>
        <w:ind w:right="475"/>
        <w:jc w:val="both"/>
        <w:rPr>
          <w:rFonts w:ascii="Arial" w:hAnsi="Arial" w:cs="Arial"/>
          <w:sz w:val="28"/>
          <w:szCs w:val="28"/>
          <w:lang w:val="es-ES"/>
        </w:rPr>
      </w:pPr>
    </w:p>
    <w:p w:rsidR="003356D9" w:rsidRPr="009C2819" w:rsidRDefault="003356D9" w:rsidP="003356D9">
      <w:pPr>
        <w:spacing w:after="0" w:line="360" w:lineRule="auto"/>
        <w:ind w:right="475"/>
        <w:jc w:val="both"/>
        <w:rPr>
          <w:rFonts w:ascii="Arial" w:hAnsi="Arial" w:cs="Arial"/>
          <w:sz w:val="28"/>
          <w:szCs w:val="28"/>
          <w:lang w:val="es-ES"/>
        </w:rPr>
      </w:pPr>
      <w:r w:rsidRPr="009C2819">
        <w:rPr>
          <w:rFonts w:ascii="Arial" w:hAnsi="Arial" w:cs="Arial"/>
          <w:sz w:val="28"/>
          <w:szCs w:val="28"/>
          <w:lang w:val="es-ES"/>
        </w:rPr>
        <w:tab/>
        <w:t xml:space="preserve">Se citan en apoyo a lo anterior, los criterios emitidos en las tesis de jurisprudencia y asiladas, cuyos, datos de localización, rubro y contenido, refieren:   </w:t>
      </w:r>
    </w:p>
    <w:p w:rsidR="003356D9" w:rsidRPr="00A61001" w:rsidRDefault="003356D9" w:rsidP="003356D9">
      <w:pPr>
        <w:spacing w:after="0" w:line="360" w:lineRule="auto"/>
        <w:ind w:right="475"/>
        <w:jc w:val="both"/>
        <w:rPr>
          <w:rFonts w:ascii="Arial" w:hAnsi="Arial" w:cs="Arial"/>
          <w:sz w:val="24"/>
          <w:lang w:val="es-ES"/>
        </w:rPr>
      </w:pPr>
    </w:p>
    <w:p w:rsidR="003356D9" w:rsidRPr="009C2819" w:rsidRDefault="003356D9" w:rsidP="003356D9">
      <w:pPr>
        <w:spacing w:after="0" w:line="240" w:lineRule="auto"/>
        <w:ind w:left="567" w:right="475"/>
        <w:jc w:val="both"/>
        <w:rPr>
          <w:rFonts w:ascii="Arial" w:hAnsi="Arial" w:cs="Arial"/>
          <w:sz w:val="24"/>
          <w:szCs w:val="24"/>
          <w:lang w:val="es-ES"/>
        </w:rPr>
      </w:pPr>
      <w:r w:rsidRPr="009C2819">
        <w:rPr>
          <w:rFonts w:ascii="Arial" w:hAnsi="Arial" w:cs="Arial"/>
          <w:b/>
          <w:sz w:val="24"/>
          <w:szCs w:val="24"/>
          <w:lang w:val="es-ES"/>
        </w:rPr>
        <w:t>FUNDAMENTACIÓN DE LOS ACTOS DE LAS AUTORIDADES ADMINISTRATIVAS. ES INSUFICIENTE SI NO SE SEÑALA CON EXACTITUD Y PRECISIÓN O, EN SU CASO, SE TRANSCRIBE LA PORCIÓN NORMATIVA QUE SUSTENTE SU COMPETENCIA TERRITORIAL.</w:t>
      </w:r>
      <w:r w:rsidRPr="009C2819">
        <w:rPr>
          <w:rFonts w:ascii="Arial" w:hAnsi="Arial" w:cs="Arial"/>
          <w:sz w:val="24"/>
          <w:szCs w:val="24"/>
          <w:lang w:val="es-ES"/>
        </w:rPr>
        <w:t xml:space="preserve"> De la tesis de jurisprudencia 2a./J. 115/2005, emitida por la Segunda Sala de la Suprema Corte de Justicia de la Nación, publicada en el Semanario Judicial de la Federación y su Gaceta, Novena Época, Tomo XXII, septiembre de 2005, página 310, de rubro: "COMPETENCIA DE LAS AUTORIDADES ADMINISTRATIVAS. EL MANDAMIENTO ESCRITO QUE CONTIENE EL ACTO DE MOLESTIA A PARTICULARES DEBE FUNDARSE EN EL PRECEPTO LEGAL QUE LES OTORGUE LA ATRIBUCIÓN EJERCIDA, CITANDO EL APARTADO, FRACCIÓN, INCISO O SUBINCISO, Y EN CASO DE QUE NO LOS CONTENGA, SI SE TRATA DE UNA NORMA COMPLEJA, HABRÁ DE TRANSCRIBIRSE LA PARTE CORRESPONDIENTE.", se advierte que las garantías de legalidad y seguridad jurídica contenidas en los artículos 14 y 16 de la Constitución Política de los Estados Unidos Mexicanos, tienen el alcance de exigir que en todo acto de autoridad se señalen con exactitud y precisión el o los dispositivos que facultan a quien lo emita y definan el carácter con que éste actúa, ya sea que lo haga por sí mismo, por ausencia del titular correspondiente o por delegación de facultades y, en caso de que esas normas incluyan diversos supuestos, precisar el apartado, fracción o fracciones, incisos o </w:t>
      </w:r>
      <w:proofErr w:type="spellStart"/>
      <w:r w:rsidRPr="009C2819">
        <w:rPr>
          <w:rFonts w:ascii="Arial" w:hAnsi="Arial" w:cs="Arial"/>
          <w:sz w:val="24"/>
          <w:szCs w:val="24"/>
          <w:lang w:val="es-ES"/>
        </w:rPr>
        <w:t>subincisos</w:t>
      </w:r>
      <w:proofErr w:type="spellEnd"/>
      <w:r w:rsidRPr="009C2819">
        <w:rPr>
          <w:rFonts w:ascii="Arial" w:hAnsi="Arial" w:cs="Arial"/>
          <w:sz w:val="24"/>
          <w:szCs w:val="24"/>
          <w:lang w:val="es-ES"/>
        </w:rPr>
        <w:t xml:space="preserve"> en que apoya su actuación, y de no contenerlos, si se trata de una norma compleja, transcribir la parte correspondiente, atento a la exigencia constitucional de certeza y seguridad jurídica del particular frente a los actos de las autoridades que afecten o lesionen su interés jurídico. En ese sentido, si la autoridad administrativa, al fundar su competencia cita los preceptos que la facultan para emitir el acto, pero omite señalar la porción normativa exacta y precisa que delimita su competencia territorial, es evidente que el acto impugnado está insuficientemente fundado, ya que, para satisfacer dicho principio constitucional, en todo acto de molestia deben constar los apartados, fracciones, incisos, </w:t>
      </w:r>
      <w:proofErr w:type="spellStart"/>
      <w:r w:rsidRPr="009C2819">
        <w:rPr>
          <w:rFonts w:ascii="Arial" w:hAnsi="Arial" w:cs="Arial"/>
          <w:sz w:val="24"/>
          <w:szCs w:val="24"/>
          <w:lang w:val="es-ES"/>
        </w:rPr>
        <w:t>subincisos</w:t>
      </w:r>
      <w:proofErr w:type="spellEnd"/>
      <w:r w:rsidRPr="009C2819">
        <w:rPr>
          <w:rFonts w:ascii="Arial" w:hAnsi="Arial" w:cs="Arial"/>
          <w:sz w:val="24"/>
          <w:szCs w:val="24"/>
          <w:lang w:val="es-ES"/>
        </w:rPr>
        <w:t xml:space="preserve"> o párrafos o, en su caso, transcribirse la parte correspondiente, tanto de los que facultan a la autoridad para emitir el acto, como de los que prevén su competencia territorial. QUINTO TRIBUNAL COLEGIADO EN MATERIA ADMINISTRATIVA DEL PRIMER CIRCUITO. </w:t>
      </w:r>
      <w:r w:rsidRPr="009C2819">
        <w:rPr>
          <w:rStyle w:val="Refdenotaalpie"/>
          <w:sz w:val="24"/>
          <w:szCs w:val="24"/>
        </w:rPr>
        <w:footnoteReference w:id="6"/>
      </w:r>
    </w:p>
    <w:p w:rsidR="003356D9" w:rsidRPr="009C2819" w:rsidRDefault="003356D9" w:rsidP="003356D9">
      <w:pPr>
        <w:spacing w:after="0" w:line="240" w:lineRule="auto"/>
        <w:ind w:left="567" w:right="475"/>
        <w:jc w:val="both"/>
        <w:rPr>
          <w:rFonts w:ascii="Arial" w:hAnsi="Arial" w:cs="Arial"/>
          <w:sz w:val="24"/>
          <w:szCs w:val="24"/>
          <w:lang w:val="es-ES"/>
        </w:rPr>
      </w:pPr>
    </w:p>
    <w:p w:rsidR="003356D9" w:rsidRPr="009C2819" w:rsidRDefault="003356D9" w:rsidP="003356D9">
      <w:pPr>
        <w:spacing w:after="0" w:line="240" w:lineRule="auto"/>
        <w:ind w:left="567" w:right="475"/>
        <w:jc w:val="both"/>
        <w:rPr>
          <w:rFonts w:ascii="Arial" w:hAnsi="Arial" w:cs="Arial"/>
          <w:sz w:val="24"/>
          <w:szCs w:val="24"/>
          <w:lang w:val="es-ES"/>
        </w:rPr>
      </w:pPr>
    </w:p>
    <w:p w:rsidR="003356D9" w:rsidRPr="009C2819" w:rsidRDefault="003356D9" w:rsidP="003356D9">
      <w:pPr>
        <w:spacing w:after="0" w:line="240" w:lineRule="auto"/>
        <w:ind w:left="567" w:right="475"/>
        <w:jc w:val="both"/>
        <w:rPr>
          <w:rFonts w:ascii="Arial" w:hAnsi="Arial" w:cs="Arial"/>
          <w:sz w:val="24"/>
          <w:szCs w:val="24"/>
          <w:lang w:val="es-ES"/>
        </w:rPr>
      </w:pPr>
      <w:r w:rsidRPr="009C2819">
        <w:rPr>
          <w:rFonts w:ascii="Arial" w:hAnsi="Arial" w:cs="Arial"/>
          <w:b/>
          <w:sz w:val="24"/>
          <w:szCs w:val="24"/>
          <w:lang w:val="es-ES"/>
        </w:rPr>
        <w:t xml:space="preserve">COMPETENCIA DE LAS AUTORIDADES ADMINISTRATIVAS. EL MANDAMIENTO ESCRITO QUE CONTIENE EL ACTO DE MOLESTIA A PARTICULARES DEBE FUNDARSE EN EL PRECEPTO LEGAL QUE LES OTORGUE LA ATRIBUCIÓN EJERCIDA, CITANDO EL APARTADO, FRACCIÓN, INCISO O SUBINCISO, Y EN CASO DE QUE NO LOS CONTENGA, SI SE TRATA DE UNA NORMA COMPLEJA, HABRÁ DE  TRANSCRIBIRSE LA PARTE CORRESPONDIENTE. </w:t>
      </w:r>
      <w:r w:rsidRPr="009C2819">
        <w:rPr>
          <w:rFonts w:ascii="Arial" w:hAnsi="Arial" w:cs="Arial"/>
          <w:sz w:val="24"/>
          <w:szCs w:val="24"/>
          <w:lang w:val="es-ES"/>
        </w:rPr>
        <w:t>De lo dispuesto en la tesis de jurisprudencia P</w:t>
      </w:r>
      <w:proofErr w:type="gramStart"/>
      <w:r w:rsidRPr="009C2819">
        <w:rPr>
          <w:rFonts w:ascii="Arial" w:hAnsi="Arial" w:cs="Arial"/>
          <w:sz w:val="24"/>
          <w:szCs w:val="24"/>
          <w:lang w:val="es-ES"/>
        </w:rPr>
        <w:t>./</w:t>
      </w:r>
      <w:proofErr w:type="gramEnd"/>
      <w:r w:rsidRPr="009C2819">
        <w:rPr>
          <w:rFonts w:ascii="Arial" w:hAnsi="Arial" w:cs="Arial"/>
          <w:sz w:val="24"/>
          <w:szCs w:val="24"/>
          <w:lang w:val="es-ES"/>
        </w:rPr>
        <w:t xml:space="preserve">J. 10/94 del Tribunal en Pleno  de la Suprema Corte de Justicia de la Nación, publicada en la Gaceta del Semanario  Judicial de la Federación Número 77, mayo de 1994, página 12, con el rubro: "COMPETENCIA. SU FUNDAMENTACIÓN ES REQUISITO ESENCIAL DEL ACTO DE AUTORIDAD.", así como de las consideraciones en las cuales se sustentó dicho criterio, se advierte que la garantía de fundamentación consagrada en el artículo 16 de la Constitución Política de los Estados Unidos Mexicanos, lleva implícita la idea de exactitud y precisión en la cita de las normas legales que facultan a la autoridad administrativa para emitir el acto de molestia de que se trate, al atender al valor jurídicamente protegido por la exigencia constitucional, que es la posibilidad de otorgar certeza y seguridad jurídica al particular frente a los actos de las autoridades que afecten o lesionen su interés jurídico y, por tanto, asegurar la prerrogativa de su defensa ante un acto que no cumpla con los requisitos legales necesarios. En congruencia con lo anterior, se concluye que es un requisito esencial y una obligación de la autoridad fundar en el acto de molestia su competencia, pues sólo puede hacer lo que la ley le permite, de ahí que la validez del acto dependerá de que haya sido realizado por la autoridad facultada legalmente para ello dentro de su respectivo ámbito de competencia, regido específicamente por una o varias normas que lo autoricen; por tanto, para considerar que se cumple con la garantía de fundamentación establecida en el artículo 16 de la Constitución Federal, es necesario que la autoridad precise exhaustivamente su competencia por razón de materia, grado o territorio, con base en la ley, reglamento, decreto o acuerdo que le otorgue la atribución ejercida, citando en su caso el apartado, fracción, inciso o </w:t>
      </w:r>
      <w:proofErr w:type="spellStart"/>
      <w:r w:rsidRPr="009C2819">
        <w:rPr>
          <w:rFonts w:ascii="Arial" w:hAnsi="Arial" w:cs="Arial"/>
          <w:sz w:val="24"/>
          <w:szCs w:val="24"/>
          <w:lang w:val="es-ES"/>
        </w:rPr>
        <w:t>subinciso</w:t>
      </w:r>
      <w:proofErr w:type="spellEnd"/>
      <w:r w:rsidRPr="009C2819">
        <w:rPr>
          <w:rFonts w:ascii="Arial" w:hAnsi="Arial" w:cs="Arial"/>
          <w:sz w:val="24"/>
          <w:szCs w:val="24"/>
          <w:lang w:val="es-ES"/>
        </w:rPr>
        <w:t>; sin embargo, en caso de que el ordenamiento legal no los contenga, si se trata de una norma compleja, habrá de transcribirse la parte correspondiente, con la única finalidad de especificar con claridad, certeza y precisión las facultades que le corresponden, pues considerar lo contrario significaría que el gobernado tiene la carga de averiguar en el cúmulo de normas legales que señale la autoridad en el documento que contiene el acto de molestia, si tiene competencia por grado, materia y territorio para actuar en la forma en que lo hace, dejándolo en estado de indefensión, pues ignoraría cuál de todas las normas legales que integran el texto normativo es la específicamente aplicable a la actuación del órgano del que emana, por razón de materia, grado y territorio.</w:t>
      </w:r>
      <w:r w:rsidRPr="009C2819">
        <w:rPr>
          <w:rStyle w:val="Refdenotaalpie"/>
          <w:sz w:val="24"/>
          <w:szCs w:val="24"/>
        </w:rPr>
        <w:footnoteReference w:id="7"/>
      </w:r>
    </w:p>
    <w:p w:rsidR="009C2819" w:rsidRDefault="009C2819" w:rsidP="003356D9">
      <w:pPr>
        <w:spacing w:after="0" w:line="360" w:lineRule="auto"/>
        <w:ind w:right="50" w:firstLine="708"/>
        <w:jc w:val="both"/>
        <w:rPr>
          <w:rFonts w:ascii="Arial" w:hAnsi="Arial" w:cs="Arial"/>
          <w:sz w:val="24"/>
          <w:lang w:val="es-ES"/>
        </w:rPr>
      </w:pPr>
    </w:p>
    <w:p w:rsidR="003356D9" w:rsidRPr="009C2819" w:rsidRDefault="003356D9" w:rsidP="003356D9">
      <w:pPr>
        <w:spacing w:after="0" w:line="360" w:lineRule="auto"/>
        <w:ind w:right="50" w:firstLine="708"/>
        <w:jc w:val="both"/>
        <w:rPr>
          <w:rFonts w:ascii="Arial" w:hAnsi="Arial" w:cs="Arial"/>
          <w:sz w:val="28"/>
          <w:szCs w:val="28"/>
          <w:lang w:eastAsia="es-MX"/>
        </w:rPr>
      </w:pPr>
      <w:r w:rsidRPr="009C2819">
        <w:rPr>
          <w:rFonts w:ascii="Arial" w:hAnsi="Arial" w:cs="Arial"/>
          <w:sz w:val="28"/>
          <w:szCs w:val="28"/>
          <w:lang w:val="es-ES"/>
        </w:rPr>
        <w:t xml:space="preserve">En esta tesitura, resulta inconcuso que </w:t>
      </w:r>
      <w:r w:rsidR="009C2819">
        <w:rPr>
          <w:rFonts w:ascii="Arial" w:hAnsi="Arial" w:cs="Arial"/>
          <w:sz w:val="28"/>
          <w:szCs w:val="28"/>
          <w:lang w:val="es-ES"/>
        </w:rPr>
        <w:t>e</w:t>
      </w:r>
      <w:r w:rsidRPr="009C2819">
        <w:rPr>
          <w:rFonts w:ascii="Arial" w:hAnsi="Arial" w:cs="Arial"/>
          <w:sz w:val="28"/>
          <w:szCs w:val="28"/>
          <w:lang w:val="es-ES"/>
        </w:rPr>
        <w:t xml:space="preserve">l acto impugnado en este </w:t>
      </w:r>
      <w:r w:rsidRPr="009C2819">
        <w:rPr>
          <w:rFonts w:ascii="Arial" w:hAnsi="Arial" w:cs="Arial"/>
          <w:sz w:val="28"/>
          <w:szCs w:val="28"/>
        </w:rPr>
        <w:t>juicio, es decir el</w:t>
      </w:r>
      <w:r w:rsidR="00D6491D">
        <w:rPr>
          <w:rFonts w:ascii="Arial" w:hAnsi="Arial" w:cs="Arial"/>
          <w:sz w:val="28"/>
          <w:szCs w:val="28"/>
        </w:rPr>
        <w:t xml:space="preserve"> acta de infracción de fecha tres de enero de dos mil veinticinco</w:t>
      </w:r>
      <w:r w:rsidR="00DD7EC9">
        <w:rPr>
          <w:rFonts w:ascii="Arial" w:hAnsi="Arial" w:cs="Arial"/>
          <w:sz w:val="28"/>
          <w:szCs w:val="28"/>
        </w:rPr>
        <w:t xml:space="preserve">, la licenciada </w:t>
      </w:r>
      <w:r w:rsidR="00FC58CE">
        <w:rPr>
          <w:rFonts w:ascii="Arial" w:hAnsi="Arial" w:cs="Arial"/>
          <w:color w:val="FF0000"/>
          <w:sz w:val="28"/>
          <w:szCs w:val="28"/>
        </w:rPr>
        <w:t>**********</w:t>
      </w:r>
      <w:r w:rsidR="00DD7EC9">
        <w:rPr>
          <w:rFonts w:ascii="Arial" w:hAnsi="Arial" w:cs="Arial"/>
          <w:sz w:val="28"/>
          <w:szCs w:val="28"/>
        </w:rPr>
        <w:t xml:space="preserve">, </w:t>
      </w:r>
      <w:r w:rsidRPr="009C2819">
        <w:rPr>
          <w:rFonts w:ascii="Arial" w:hAnsi="Arial" w:cs="Arial"/>
          <w:sz w:val="28"/>
          <w:szCs w:val="28"/>
        </w:rPr>
        <w:t xml:space="preserve"> </w:t>
      </w:r>
      <w:r w:rsidR="00DD7EC9">
        <w:rPr>
          <w:rFonts w:ascii="Arial" w:hAnsi="Arial" w:cs="Arial"/>
          <w:sz w:val="28"/>
          <w:szCs w:val="28"/>
        </w:rPr>
        <w:t>acreditara su puesto de inspector del organismo demandado</w:t>
      </w:r>
      <w:r w:rsidR="00715A1B">
        <w:rPr>
          <w:rFonts w:ascii="Arial" w:hAnsi="Arial" w:cs="Arial"/>
          <w:sz w:val="28"/>
          <w:szCs w:val="28"/>
        </w:rPr>
        <w:t>; ya que si bien es cierto, que menciona un oficio de habilitación, también lo es que en ningún momento lo acompaña, por lo que</w:t>
      </w:r>
      <w:r w:rsidRPr="009C2819">
        <w:rPr>
          <w:rFonts w:ascii="Arial" w:hAnsi="Arial" w:cs="Arial"/>
          <w:sz w:val="28"/>
          <w:szCs w:val="28"/>
          <w:lang w:val="es-ES"/>
        </w:rPr>
        <w:t xml:space="preserve"> al ser emitido bajo una insuficiente fundamentación respecto de la competencia, se ubica en la hipótesis </w:t>
      </w:r>
      <w:r w:rsidR="00715A1B">
        <w:rPr>
          <w:rFonts w:ascii="Arial" w:hAnsi="Arial" w:cs="Arial"/>
          <w:sz w:val="28"/>
          <w:szCs w:val="28"/>
          <w:lang w:val="es-ES"/>
        </w:rPr>
        <w:t>de</w:t>
      </w:r>
      <w:r w:rsidRPr="009C2819">
        <w:rPr>
          <w:rFonts w:ascii="Arial" w:hAnsi="Arial" w:cs="Arial"/>
          <w:sz w:val="28"/>
          <w:szCs w:val="28"/>
          <w:lang w:eastAsia="es-MX"/>
        </w:rPr>
        <w:t xml:space="preserve"> ilegalidad prevista en el numeral 250 fracción I del Código Procesal Administrativo para el Estado de San Luís Potosí; </w:t>
      </w:r>
      <w:r w:rsidRPr="009C2819">
        <w:rPr>
          <w:rStyle w:val="Refdenotaalpie"/>
          <w:sz w:val="28"/>
          <w:szCs w:val="28"/>
          <w:lang w:eastAsia="es-MX"/>
        </w:rPr>
        <w:footnoteReference w:id="8"/>
      </w:r>
      <w:r w:rsidRPr="009C2819">
        <w:rPr>
          <w:rFonts w:ascii="Arial" w:hAnsi="Arial" w:cs="Arial"/>
          <w:sz w:val="28"/>
          <w:szCs w:val="28"/>
          <w:lang w:eastAsia="es-MX"/>
        </w:rPr>
        <w:t xml:space="preserve">  por tanto esta Segunda Sala Unitaria </w:t>
      </w:r>
      <w:r w:rsidRPr="009C2819">
        <w:rPr>
          <w:rFonts w:ascii="Arial" w:hAnsi="Arial" w:cs="Arial"/>
          <w:sz w:val="28"/>
          <w:szCs w:val="28"/>
          <w:u w:val="single"/>
          <w:lang w:eastAsia="es-MX"/>
        </w:rPr>
        <w:t>resuelve decretar</w:t>
      </w:r>
      <w:r w:rsidRPr="009C2819">
        <w:rPr>
          <w:rFonts w:ascii="Arial" w:hAnsi="Arial" w:cs="Arial"/>
          <w:sz w:val="28"/>
          <w:szCs w:val="28"/>
          <w:lang w:eastAsia="es-MX"/>
        </w:rPr>
        <w:t xml:space="preserve"> la </w:t>
      </w:r>
      <w:r w:rsidRPr="009C2819">
        <w:rPr>
          <w:rFonts w:ascii="Arial" w:hAnsi="Arial" w:cs="Arial"/>
          <w:b/>
          <w:sz w:val="28"/>
          <w:szCs w:val="28"/>
          <w:lang w:eastAsia="es-MX"/>
        </w:rPr>
        <w:t>ILEGALIDAD E INVALIDEZ</w:t>
      </w:r>
      <w:r w:rsidRPr="009C2819">
        <w:rPr>
          <w:rFonts w:ascii="Arial" w:hAnsi="Arial" w:cs="Arial"/>
          <w:sz w:val="28"/>
          <w:szCs w:val="28"/>
          <w:lang w:eastAsia="es-MX"/>
        </w:rPr>
        <w:t xml:space="preserve"> de la resolución determinante del</w:t>
      </w:r>
      <w:r w:rsidR="00B31146">
        <w:rPr>
          <w:rFonts w:ascii="Arial" w:hAnsi="Arial" w:cs="Arial"/>
          <w:sz w:val="28"/>
          <w:szCs w:val="28"/>
          <w:lang w:eastAsia="es-MX"/>
        </w:rPr>
        <w:t xml:space="preserve"> acta de infracción de fecha tres de enero de dos mil veinticinco</w:t>
      </w:r>
      <w:r w:rsidRPr="009C2819">
        <w:rPr>
          <w:rFonts w:ascii="Arial" w:hAnsi="Arial" w:cs="Arial"/>
          <w:sz w:val="28"/>
          <w:szCs w:val="28"/>
          <w:lang w:eastAsia="es-MX"/>
        </w:rPr>
        <w:t>, a través de la cual se impone al demandante un</w:t>
      </w:r>
      <w:r w:rsidR="000B2E7A">
        <w:rPr>
          <w:rFonts w:ascii="Arial" w:hAnsi="Arial" w:cs="Arial"/>
          <w:sz w:val="28"/>
          <w:szCs w:val="28"/>
          <w:lang w:eastAsia="es-MX"/>
        </w:rPr>
        <w:t>a multa de sesenta UMAS</w:t>
      </w:r>
      <w:r w:rsidRPr="009C2819">
        <w:rPr>
          <w:rFonts w:ascii="Arial" w:hAnsi="Arial" w:cs="Arial"/>
          <w:sz w:val="28"/>
          <w:szCs w:val="28"/>
          <w:lang w:eastAsia="es-MX"/>
        </w:rPr>
        <w:t xml:space="preserve">. </w:t>
      </w:r>
    </w:p>
    <w:p w:rsidR="003356D9" w:rsidRPr="009C2819" w:rsidRDefault="003356D9" w:rsidP="003356D9">
      <w:pPr>
        <w:spacing w:after="0" w:line="360" w:lineRule="auto"/>
        <w:ind w:right="50" w:firstLine="708"/>
        <w:jc w:val="both"/>
        <w:rPr>
          <w:rFonts w:ascii="Arial" w:hAnsi="Arial" w:cs="Arial"/>
          <w:sz w:val="28"/>
          <w:szCs w:val="28"/>
          <w:lang w:eastAsia="es-MX"/>
        </w:rPr>
      </w:pPr>
    </w:p>
    <w:p w:rsidR="003356D9" w:rsidRDefault="003356D9" w:rsidP="003356D9">
      <w:pPr>
        <w:spacing w:after="0" w:line="360" w:lineRule="auto"/>
        <w:ind w:firstLine="709"/>
        <w:jc w:val="both"/>
        <w:rPr>
          <w:rFonts w:ascii="Arial" w:eastAsia="Times New Roman" w:hAnsi="Arial" w:cs="Arial"/>
          <w:sz w:val="28"/>
          <w:szCs w:val="28"/>
          <w:lang w:eastAsia="es-ES"/>
        </w:rPr>
      </w:pPr>
      <w:r w:rsidRPr="009C2819">
        <w:rPr>
          <w:rFonts w:ascii="Arial" w:eastAsia="Times New Roman" w:hAnsi="Arial" w:cs="Arial"/>
          <w:sz w:val="28"/>
          <w:szCs w:val="28"/>
          <w:lang w:eastAsia="es-ES"/>
        </w:rPr>
        <w:t xml:space="preserve">Lo anterior, conlleva, a determinar la </w:t>
      </w:r>
      <w:r w:rsidRPr="009C2819">
        <w:rPr>
          <w:rFonts w:ascii="Arial" w:eastAsia="Times New Roman" w:hAnsi="Arial" w:cs="Arial"/>
          <w:b/>
          <w:sz w:val="28"/>
          <w:szCs w:val="28"/>
          <w:u w:val="single"/>
          <w:lang w:eastAsia="es-ES"/>
        </w:rPr>
        <w:t>nulidad total</w:t>
      </w:r>
      <w:r w:rsidRPr="009C2819">
        <w:rPr>
          <w:rFonts w:ascii="Arial" w:eastAsia="Times New Roman" w:hAnsi="Arial" w:cs="Arial"/>
          <w:b/>
          <w:sz w:val="28"/>
          <w:szCs w:val="28"/>
          <w:lang w:eastAsia="es-ES"/>
        </w:rPr>
        <w:t>,</w:t>
      </w:r>
      <w:r w:rsidRPr="009C2819">
        <w:rPr>
          <w:rFonts w:ascii="Arial" w:eastAsia="Times New Roman" w:hAnsi="Arial" w:cs="Arial"/>
          <w:sz w:val="28"/>
          <w:szCs w:val="28"/>
          <w:lang w:eastAsia="es-ES"/>
        </w:rPr>
        <w:t xml:space="preserve"> del acto controvertido, acorde con lo dispuesto por el artículo 251 del propio ordenamiento legal;</w:t>
      </w:r>
      <w:r w:rsidRPr="009C2819">
        <w:rPr>
          <w:rFonts w:ascii="Arial" w:eastAsia="Times New Roman" w:hAnsi="Arial" w:cs="Arial"/>
          <w:sz w:val="28"/>
          <w:szCs w:val="28"/>
          <w:vertAlign w:val="superscript"/>
          <w:lang w:eastAsia="es-ES"/>
        </w:rPr>
        <w:t xml:space="preserve"> </w:t>
      </w:r>
      <w:r w:rsidRPr="009C2819">
        <w:rPr>
          <w:rFonts w:ascii="Arial" w:eastAsia="Times New Roman" w:hAnsi="Arial" w:cs="Arial"/>
          <w:sz w:val="28"/>
          <w:szCs w:val="28"/>
          <w:vertAlign w:val="superscript"/>
          <w:lang w:eastAsia="es-ES"/>
        </w:rPr>
        <w:footnoteReference w:id="9"/>
      </w:r>
      <w:r w:rsidRPr="009C2819">
        <w:rPr>
          <w:rFonts w:ascii="Arial" w:eastAsia="Times New Roman" w:hAnsi="Arial" w:cs="Arial"/>
          <w:sz w:val="28"/>
          <w:szCs w:val="28"/>
          <w:lang w:eastAsia="es-ES"/>
        </w:rPr>
        <w:t xml:space="preserve"> y toda vez que esta determinación es favorable a la particular actora; y la resolución declarada nula tiene naturaleza de crédito fiscal, atendiendo a lo establecido en el párrafo tercero del artículo 252 del citado Código Procesal Administrativo; </w:t>
      </w:r>
      <w:r w:rsidRPr="009C2819">
        <w:rPr>
          <w:rFonts w:ascii="Arial" w:eastAsia="Times New Roman" w:hAnsi="Arial" w:cs="Arial"/>
          <w:b/>
          <w:sz w:val="28"/>
          <w:szCs w:val="28"/>
          <w:u w:val="single"/>
          <w:lang w:eastAsia="es-ES"/>
        </w:rPr>
        <w:t>se deja sin legal efecto alguno,</w:t>
      </w:r>
      <w:r w:rsidRPr="009C2819">
        <w:rPr>
          <w:rFonts w:ascii="Arial" w:eastAsia="Times New Roman" w:hAnsi="Arial" w:cs="Arial"/>
          <w:sz w:val="28"/>
          <w:szCs w:val="28"/>
          <w:lang w:eastAsia="es-ES"/>
        </w:rPr>
        <w:t xml:space="preserve"> quedando expeditos los derechos de la autoridad demandada en ejercicio de sus facultades.</w:t>
      </w:r>
    </w:p>
    <w:p w:rsidR="003356D9" w:rsidRPr="009C2819" w:rsidRDefault="003356D9" w:rsidP="003356D9">
      <w:pPr>
        <w:spacing w:after="0" w:line="360" w:lineRule="auto"/>
        <w:ind w:firstLine="708"/>
        <w:jc w:val="both"/>
        <w:rPr>
          <w:rFonts w:ascii="Arial" w:hAnsi="Arial" w:cs="Arial"/>
          <w:sz w:val="28"/>
          <w:szCs w:val="28"/>
          <w:lang w:eastAsia="es-MX"/>
        </w:rPr>
      </w:pPr>
      <w:r w:rsidRPr="009C2819">
        <w:rPr>
          <w:rFonts w:ascii="Arial" w:hAnsi="Arial" w:cs="Arial"/>
          <w:sz w:val="28"/>
          <w:szCs w:val="28"/>
          <w:lang w:eastAsia="es-MX"/>
        </w:rPr>
        <w:lastRenderedPageBreak/>
        <w:t>Sirve de apoyo a la anterior determinación, por analogía y en su parte conducente, el criterio contenido en las tesis 2a</w:t>
      </w:r>
      <w:proofErr w:type="gramStart"/>
      <w:r w:rsidRPr="009C2819">
        <w:rPr>
          <w:rFonts w:ascii="Arial" w:hAnsi="Arial" w:cs="Arial"/>
          <w:sz w:val="28"/>
          <w:szCs w:val="28"/>
          <w:lang w:eastAsia="es-MX"/>
        </w:rPr>
        <w:t>./</w:t>
      </w:r>
      <w:proofErr w:type="gramEnd"/>
      <w:r w:rsidRPr="009C2819">
        <w:rPr>
          <w:rFonts w:ascii="Arial" w:hAnsi="Arial" w:cs="Arial"/>
          <w:sz w:val="28"/>
          <w:szCs w:val="28"/>
          <w:lang w:eastAsia="es-MX"/>
        </w:rPr>
        <w:t xml:space="preserve">J. 99/2007 y 2a./J. 52/2001, localizables bajo el registro digital: 172182 y 188431 del Semanario Judicial de la Federación, que respectivamente disponen: </w:t>
      </w:r>
    </w:p>
    <w:p w:rsidR="003356D9" w:rsidRPr="00466A53" w:rsidRDefault="003356D9" w:rsidP="003356D9">
      <w:pPr>
        <w:spacing w:after="0" w:line="360" w:lineRule="auto"/>
        <w:jc w:val="both"/>
        <w:rPr>
          <w:rFonts w:ascii="Arial" w:hAnsi="Arial" w:cs="Arial"/>
          <w:lang w:eastAsia="es-MX"/>
        </w:rPr>
      </w:pPr>
    </w:p>
    <w:p w:rsidR="003356D9" w:rsidRPr="00F63183" w:rsidRDefault="003356D9" w:rsidP="003356D9">
      <w:pPr>
        <w:spacing w:after="0" w:line="240" w:lineRule="auto"/>
        <w:ind w:left="567" w:right="334"/>
        <w:jc w:val="both"/>
        <w:rPr>
          <w:rFonts w:ascii="Arial" w:hAnsi="Arial" w:cs="Arial"/>
          <w:sz w:val="24"/>
          <w:szCs w:val="24"/>
          <w:lang w:eastAsia="es-MX"/>
        </w:rPr>
      </w:pPr>
      <w:r w:rsidRPr="00F63183">
        <w:rPr>
          <w:rFonts w:ascii="Arial" w:hAnsi="Arial" w:cs="Arial"/>
          <w:b/>
          <w:sz w:val="24"/>
          <w:szCs w:val="24"/>
          <w:lang w:eastAsia="es-MX"/>
        </w:rPr>
        <w:t>NULIDAD. LA DECRETADA POR INSUFICIENCIA EN LA FUNDAMENTACIÓN DE LA COMPETENCIA DE LA AUTORIDAD ADMINISTRATIVA, DEBE SER LISA Y LLANA</w:t>
      </w:r>
      <w:r w:rsidRPr="00F63183">
        <w:rPr>
          <w:rFonts w:ascii="Arial" w:hAnsi="Arial" w:cs="Arial"/>
          <w:sz w:val="24"/>
          <w:szCs w:val="24"/>
          <w:lang w:eastAsia="es-MX"/>
        </w:rPr>
        <w:t>. En congruencia con la jurisprudencia 2a</w:t>
      </w:r>
      <w:proofErr w:type="gramStart"/>
      <w:r w:rsidRPr="00F63183">
        <w:rPr>
          <w:rFonts w:ascii="Arial" w:hAnsi="Arial" w:cs="Arial"/>
          <w:sz w:val="24"/>
          <w:szCs w:val="24"/>
          <w:lang w:eastAsia="es-MX"/>
        </w:rPr>
        <w:t>./</w:t>
      </w:r>
      <w:proofErr w:type="gramEnd"/>
      <w:r w:rsidRPr="00F63183">
        <w:rPr>
          <w:rFonts w:ascii="Arial" w:hAnsi="Arial" w:cs="Arial"/>
          <w:sz w:val="24"/>
          <w:szCs w:val="24"/>
          <w:lang w:eastAsia="es-MX"/>
        </w:rPr>
        <w:t xml:space="preserve">J. 52/2001 de esta Segunda Sala, publicada en el Semanario Judicial de la Federación y su Gaceta, Novena Época, Tomo XIV, noviembre de 2001, página 32, con el rubro: "COMPETENCIA DE LAS AUTORIDADES ADMINISTRATIVAS. LA NULIDAD DECRETADA POR NO HABERLA FUNDADO NO PUEDE SER PARA EFECTOS, EXCEPTO EN LOS CASOS EN QUE LA RESOLUCIÓN IMPUGNADA RECAIGA A UNA PETICIÓN, INSTANCIA O RECURSO.", se concluye que cuando la autoridad emisora de un acto administrativo no cite con precisión el apartado, fracción, inciso o </w:t>
      </w:r>
      <w:proofErr w:type="spellStart"/>
      <w:r w:rsidRPr="00F63183">
        <w:rPr>
          <w:rFonts w:ascii="Arial" w:hAnsi="Arial" w:cs="Arial"/>
          <w:sz w:val="24"/>
          <w:szCs w:val="24"/>
          <w:lang w:eastAsia="es-MX"/>
        </w:rPr>
        <w:t>subinciso</w:t>
      </w:r>
      <w:proofErr w:type="spellEnd"/>
      <w:r w:rsidRPr="00F63183">
        <w:rPr>
          <w:rFonts w:ascii="Arial" w:hAnsi="Arial" w:cs="Arial"/>
          <w:sz w:val="24"/>
          <w:szCs w:val="24"/>
          <w:lang w:eastAsia="es-MX"/>
        </w:rPr>
        <w:t xml:space="preserve"> correspondiente o, en su caso, no transcriba el fragmento de la norma si ésta resulta compleja, que le conceda la facultad de emitir el acto de molestia, el particular quedaría en estado de inseguridad jurídica y de indefensión, al desconocer si aquélla tiene facultades para ello, por lo que el Tribunal Federal de Justicia Fiscal y Administrativa deberá declarar la nulidad lisa y llana del acto administrativo emitido por aquélla, esto es, no la vinculará a realizar acto alguno, por lo que su decisión no podrá tener un efecto conclusivo sobre el acto jurídico material que lo motivó, salvo el caso de excepción previsto en la jurisprudencia citada, consistente en que la resolución impugnada hubiese recaído a una petición, instancia o recurso, supuesto en el cual deberá ordenarse el dictado de una nueva en la que se subsane la insuficiente fundamentación legal.</w:t>
      </w:r>
    </w:p>
    <w:p w:rsidR="003356D9" w:rsidRPr="00F63183" w:rsidRDefault="003356D9" w:rsidP="003356D9">
      <w:pPr>
        <w:spacing w:after="0" w:line="240" w:lineRule="auto"/>
        <w:ind w:left="567" w:right="334"/>
        <w:jc w:val="both"/>
        <w:rPr>
          <w:rFonts w:ascii="Arial" w:hAnsi="Arial" w:cs="Arial"/>
          <w:sz w:val="24"/>
          <w:szCs w:val="24"/>
          <w:lang w:eastAsia="es-MX"/>
        </w:rPr>
      </w:pPr>
    </w:p>
    <w:p w:rsidR="003356D9" w:rsidRPr="00F63183" w:rsidRDefault="003356D9" w:rsidP="003356D9">
      <w:pPr>
        <w:spacing w:after="0" w:line="240" w:lineRule="auto"/>
        <w:ind w:left="567" w:right="334"/>
        <w:jc w:val="both"/>
        <w:rPr>
          <w:rFonts w:ascii="Arial" w:hAnsi="Arial" w:cs="Arial"/>
          <w:sz w:val="24"/>
          <w:szCs w:val="24"/>
          <w:lang w:eastAsia="es-MX"/>
        </w:rPr>
      </w:pPr>
    </w:p>
    <w:p w:rsidR="003356D9" w:rsidRPr="00F63183" w:rsidRDefault="003356D9" w:rsidP="003356D9">
      <w:pPr>
        <w:spacing w:after="0" w:line="240" w:lineRule="auto"/>
        <w:ind w:left="567" w:right="334"/>
        <w:jc w:val="both"/>
        <w:rPr>
          <w:rFonts w:ascii="Arial" w:hAnsi="Arial" w:cs="Arial"/>
          <w:sz w:val="24"/>
          <w:szCs w:val="24"/>
          <w:lang w:eastAsia="es-MX"/>
        </w:rPr>
      </w:pPr>
      <w:r w:rsidRPr="00F63183">
        <w:rPr>
          <w:rFonts w:ascii="Arial" w:hAnsi="Arial" w:cs="Arial"/>
          <w:b/>
          <w:sz w:val="24"/>
          <w:szCs w:val="24"/>
          <w:lang w:eastAsia="es-MX"/>
        </w:rPr>
        <w:t>COMPETENCIA DE LAS AUTORIDADES ADMINISTRATIVAS. LA NULIDAD DECRETADA POR NO HABERLA FUNDADO NO PUEDE SER PARA EFECTOS, EXCEPTO EN LOS CASOS EN QUE LA RESOLUCIÓN IMPUGNADA RECAIGA A UNA PETICIÓN, INSTANCIA O RECURSO</w:t>
      </w:r>
      <w:r w:rsidRPr="00F63183">
        <w:rPr>
          <w:rFonts w:ascii="Arial" w:hAnsi="Arial" w:cs="Arial"/>
          <w:sz w:val="24"/>
          <w:szCs w:val="24"/>
          <w:lang w:eastAsia="es-MX"/>
        </w:rPr>
        <w:t xml:space="preserve">. Si la ausencia de fundamentación de la competencia de la autoridad administrativa que emite el acto o resolución materia del juicio de nulidad correspondiente, incide directamente sobre la validez del acto impugnado y, por ende, sobre los efectos que éste puede producir en la esfera jurídica del gobernado, es inconcuso que esa omisión impide al juzgador pronunciarse sobre los efectos o consecuencias del acto o resolución impugnados y lo obliga a declarar la nulidad de éstos en su integridad, puesto que al darle efectos a esa nulidad, desconociéndose si la autoridad demandada tiene o no facultades para modificar la situación jurídica existente, afectando la esfera del particular, podría obligarse a un órgano incompetente a dictar un nuevo acto o resolución que el gobernado tendría que combatir </w:t>
      </w:r>
      <w:r w:rsidRPr="00F63183">
        <w:rPr>
          <w:rFonts w:ascii="Arial" w:hAnsi="Arial" w:cs="Arial"/>
          <w:sz w:val="24"/>
          <w:szCs w:val="24"/>
          <w:lang w:eastAsia="es-MX"/>
        </w:rPr>
        <w:lastRenderedPageBreak/>
        <w:t>nuevamente, lo que provocaría un retraso en la impartición de justicia. No obsta a lo anterior el hecho de que si la autoridad está efectivamente facultada para dictar o emitir el acto de que se trate, pueda subsanar su omisión; además, en aquellos casos en los que la resolución impugnada se haya emitido en respuesta a una petición formulada por el particular, o bien, se haya dictado para resolver una instancia o recurso, la sentencia de nulidad deberá ordenar el dictado de una nueva, aunque dicho efecto sólo tuviera como consecuencia el que la autoridad demandada se declare incompetente, pues de otra manera se dejarían sin resolver dichas peticiones, instancias o recursos, lo que contravendría el principio de seguridad jurídica contenido en el artículo 16 de la Constitución Política de los Estados Unidos Mexicanos.</w:t>
      </w:r>
    </w:p>
    <w:p w:rsidR="003356D9" w:rsidRPr="00F63183" w:rsidRDefault="003356D9" w:rsidP="003356D9">
      <w:pPr>
        <w:spacing w:after="0" w:line="360" w:lineRule="auto"/>
        <w:jc w:val="both"/>
        <w:rPr>
          <w:rFonts w:ascii="Arial" w:eastAsia="Times New Roman" w:hAnsi="Arial" w:cs="Arial"/>
          <w:sz w:val="24"/>
          <w:szCs w:val="24"/>
          <w:lang w:eastAsia="es-ES"/>
        </w:rPr>
      </w:pPr>
    </w:p>
    <w:p w:rsidR="003356D9" w:rsidRPr="00EC4946" w:rsidRDefault="003356D9" w:rsidP="003356D9">
      <w:pPr>
        <w:spacing w:after="0" w:line="360" w:lineRule="auto"/>
        <w:ind w:firstLine="709"/>
        <w:jc w:val="both"/>
        <w:rPr>
          <w:rFonts w:ascii="Arial" w:eastAsia="Times New Roman" w:hAnsi="Arial" w:cs="Arial"/>
          <w:sz w:val="28"/>
          <w:szCs w:val="28"/>
          <w:lang w:eastAsia="es-ES"/>
        </w:rPr>
      </w:pPr>
      <w:r w:rsidRPr="00EC4946">
        <w:rPr>
          <w:rFonts w:ascii="Arial" w:eastAsia="Times New Roman" w:hAnsi="Arial" w:cs="Arial"/>
          <w:sz w:val="28"/>
          <w:szCs w:val="28"/>
          <w:lang w:eastAsia="es-ES"/>
        </w:rPr>
        <w:t xml:space="preserve">Cobran relevancia en torno a lo anterior, lo dispuesto en las tesis aisladas IV.3o.A.26 A (10a.) y I.4o.A.196 A (10a.) cuyos datos de localización rubro y contenido citan: </w:t>
      </w:r>
    </w:p>
    <w:p w:rsidR="003356D9" w:rsidRPr="00BF369E" w:rsidRDefault="003356D9" w:rsidP="003356D9">
      <w:pPr>
        <w:spacing w:after="0" w:line="360" w:lineRule="auto"/>
        <w:ind w:firstLine="709"/>
        <w:jc w:val="both"/>
        <w:rPr>
          <w:rFonts w:ascii="Arial" w:eastAsia="Times New Roman" w:hAnsi="Arial" w:cs="Arial"/>
          <w:sz w:val="24"/>
          <w:szCs w:val="28"/>
          <w:lang w:eastAsia="es-ES"/>
        </w:rPr>
      </w:pPr>
    </w:p>
    <w:p w:rsidR="003356D9" w:rsidRPr="00EC4946" w:rsidRDefault="003356D9" w:rsidP="003356D9">
      <w:pPr>
        <w:spacing w:after="0" w:line="240" w:lineRule="auto"/>
        <w:ind w:left="567" w:right="616"/>
        <w:jc w:val="both"/>
        <w:rPr>
          <w:rFonts w:ascii="Arial" w:eastAsia="Times New Roman" w:hAnsi="Arial" w:cs="Arial"/>
          <w:sz w:val="24"/>
          <w:szCs w:val="24"/>
          <w:lang w:eastAsia="es-ES"/>
        </w:rPr>
      </w:pPr>
      <w:r w:rsidRPr="00EC4946">
        <w:rPr>
          <w:rFonts w:ascii="Arial" w:eastAsia="Times New Roman" w:hAnsi="Arial" w:cs="Arial"/>
          <w:b/>
          <w:sz w:val="24"/>
          <w:szCs w:val="24"/>
          <w:lang w:eastAsia="es-ES"/>
        </w:rPr>
        <w:t>FACULTADES DISCRECIONALES DE LA ADMINISTRACIÓN. LOS ADMINISTRADOS TIENEN INTERÉS JURÍDICO PARA IMPUGNAR SU EJERCICIO CUANDO AFECTEN SUS DERECHOS</w:t>
      </w:r>
      <w:r w:rsidRPr="00EC4946">
        <w:rPr>
          <w:rFonts w:ascii="Arial" w:eastAsia="Times New Roman" w:hAnsi="Arial" w:cs="Arial"/>
          <w:sz w:val="24"/>
          <w:szCs w:val="24"/>
          <w:lang w:eastAsia="es-ES"/>
        </w:rPr>
        <w:t xml:space="preserve">. El Estado Mexicano, al ser un Estado de derecho constitucional democrático, condiciona toda actuación de la autoridad pública al imperio de la ley y, por ende, al control jurídico del ejercicio del poder, porque sólo a través de éste se constata si aquélla se ajusta al orden jurídico y corresponde con los fines del Estado. La facultad discrecional, desde esa óptica, no supone la libertad de la administración para actuar prescindiendo de la necesidad de justificar la realidad de la actuación concreta. Por tanto, en el acto administrativo debe integrarse lo que es discrecional de lo que es regla de derecho que le rodea, para encausarlo, dirigirlo y, sobre todo, limitarlo. Tal situación pone de manifiesto la vinculación de la administración al ordenamiento jurídico. Así, la discrecionalidad debe partir del principio de interdicción de la arbitrariedad de los poderes públicos, el cual postula una distinción neta entre arbitrariedad y discrecionalidad, entre lo que es fruto de la mera voluntad o el puro capricho de los administradores y lo que, por el contrario, cuenta con el respaldo -mayor o menor, mejor o peor, es otra cuestión- de una fundamentación que lo sostiene. Esto es, discrecionalidad no es arbitrariedad, nunca es permitido confundir, pues aquello (lo discrecional) se halla o debe hallarse cubierto por motivaciones suficientes, discutibles o no, pero considerables en todo caso, y no meramente de una calidad que lo haga inatacable, mientras que lo segundo (lo arbitrario), o no tiene motivación respetable, sino -pura y simplemente- la conocida </w:t>
      </w:r>
      <w:proofErr w:type="spellStart"/>
      <w:r w:rsidRPr="00EC4946">
        <w:rPr>
          <w:rFonts w:ascii="Arial" w:eastAsia="Times New Roman" w:hAnsi="Arial" w:cs="Arial"/>
          <w:sz w:val="24"/>
          <w:szCs w:val="24"/>
          <w:lang w:eastAsia="es-ES"/>
        </w:rPr>
        <w:t>sit</w:t>
      </w:r>
      <w:proofErr w:type="spellEnd"/>
      <w:r w:rsidRPr="00EC4946">
        <w:rPr>
          <w:rFonts w:ascii="Arial" w:eastAsia="Times New Roman" w:hAnsi="Arial" w:cs="Arial"/>
          <w:sz w:val="24"/>
          <w:szCs w:val="24"/>
          <w:lang w:eastAsia="es-ES"/>
        </w:rPr>
        <w:t xml:space="preserve"> pro </w:t>
      </w:r>
      <w:proofErr w:type="spellStart"/>
      <w:r w:rsidRPr="00EC4946">
        <w:rPr>
          <w:rFonts w:ascii="Arial" w:eastAsia="Times New Roman" w:hAnsi="Arial" w:cs="Arial"/>
          <w:sz w:val="24"/>
          <w:szCs w:val="24"/>
          <w:lang w:eastAsia="es-ES"/>
        </w:rPr>
        <w:t>ratione</w:t>
      </w:r>
      <w:proofErr w:type="spellEnd"/>
      <w:r w:rsidRPr="00EC4946">
        <w:rPr>
          <w:rFonts w:ascii="Arial" w:eastAsia="Times New Roman" w:hAnsi="Arial" w:cs="Arial"/>
          <w:sz w:val="24"/>
          <w:szCs w:val="24"/>
          <w:lang w:eastAsia="es-ES"/>
        </w:rPr>
        <w:t xml:space="preserve"> </w:t>
      </w:r>
      <w:proofErr w:type="spellStart"/>
      <w:r w:rsidRPr="00EC4946">
        <w:rPr>
          <w:rFonts w:ascii="Arial" w:eastAsia="Times New Roman" w:hAnsi="Arial" w:cs="Arial"/>
          <w:sz w:val="24"/>
          <w:szCs w:val="24"/>
          <w:lang w:eastAsia="es-ES"/>
        </w:rPr>
        <w:t>voluntas</w:t>
      </w:r>
      <w:proofErr w:type="spellEnd"/>
      <w:r w:rsidRPr="00EC4946">
        <w:rPr>
          <w:rFonts w:ascii="Arial" w:eastAsia="Times New Roman" w:hAnsi="Arial" w:cs="Arial"/>
          <w:sz w:val="24"/>
          <w:szCs w:val="24"/>
          <w:lang w:eastAsia="es-ES"/>
        </w:rPr>
        <w:t xml:space="preserve"> o la que ofrece lo es tal que escudriñando su entraña, denota, a poco esfuerzo de contrastación, su carácter realmente indefinible y su inautenticidad. De esta forma, como la facultad discrecional está limitada por el respeto irrestricto a los derechos humanos, su ejercicio es un acto de poder que debe estar fundado y motivado. Por tanto, los administrados poseen interés jurídico para controvertirlo cuando afecte sus derechos. TERCER TRIBUNAL COLEGIADO EN MATERIA ADMINISTRATIVA DEL CUARTO CIRCUITO. -Registro digital: 2002304-</w:t>
      </w:r>
    </w:p>
    <w:p w:rsidR="003356D9" w:rsidRPr="00466A53" w:rsidRDefault="003356D9" w:rsidP="003356D9">
      <w:pPr>
        <w:spacing w:after="0" w:line="240" w:lineRule="auto"/>
        <w:ind w:left="567" w:right="616" w:firstLine="709"/>
        <w:jc w:val="both"/>
        <w:rPr>
          <w:rFonts w:ascii="Arial" w:eastAsia="Times New Roman" w:hAnsi="Arial" w:cs="Arial"/>
          <w:sz w:val="20"/>
          <w:szCs w:val="28"/>
          <w:lang w:eastAsia="es-ES"/>
        </w:rPr>
      </w:pPr>
    </w:p>
    <w:p w:rsidR="003356D9" w:rsidRPr="00466A53" w:rsidRDefault="003356D9" w:rsidP="003356D9">
      <w:pPr>
        <w:spacing w:after="0" w:line="240" w:lineRule="auto"/>
        <w:ind w:left="567" w:right="616" w:firstLine="709"/>
        <w:jc w:val="both"/>
        <w:rPr>
          <w:rFonts w:ascii="Arial" w:eastAsia="Times New Roman" w:hAnsi="Arial" w:cs="Arial"/>
          <w:sz w:val="20"/>
          <w:szCs w:val="28"/>
          <w:lang w:eastAsia="es-ES"/>
        </w:rPr>
      </w:pPr>
    </w:p>
    <w:p w:rsidR="003356D9" w:rsidRPr="00EC4946" w:rsidRDefault="003356D9" w:rsidP="003356D9">
      <w:pPr>
        <w:spacing w:after="0" w:line="240" w:lineRule="auto"/>
        <w:ind w:left="567" w:right="616"/>
        <w:jc w:val="both"/>
        <w:rPr>
          <w:rFonts w:ascii="Arial" w:eastAsia="Times New Roman" w:hAnsi="Arial" w:cs="Arial"/>
          <w:sz w:val="24"/>
          <w:szCs w:val="24"/>
          <w:lang w:eastAsia="es-ES"/>
        </w:rPr>
      </w:pPr>
      <w:r w:rsidRPr="00EC4946">
        <w:rPr>
          <w:rFonts w:ascii="Arial" w:eastAsia="Times New Roman" w:hAnsi="Arial" w:cs="Arial"/>
          <w:b/>
          <w:sz w:val="24"/>
          <w:szCs w:val="24"/>
          <w:lang w:eastAsia="es-ES"/>
        </w:rPr>
        <w:t>FACULTADES DISCRECIONALES DE LOS ÓRGANOS ADMINISTRATIVOS. SUS CARACTERÍSTICAS, LÍMITES Y CONTROL JUDICIAL CUANDO SE ENCUENTREN EN JUEGO DERECHOS FUNDAMENTALES</w:t>
      </w:r>
      <w:r w:rsidRPr="00EC4946">
        <w:rPr>
          <w:rFonts w:ascii="Arial" w:eastAsia="Times New Roman" w:hAnsi="Arial" w:cs="Arial"/>
          <w:sz w:val="24"/>
          <w:szCs w:val="24"/>
          <w:lang w:eastAsia="es-ES"/>
        </w:rPr>
        <w:t>. La discrecionalidad es una facultad atribuida a los órganos administrativos por las leyes, sin predeterminar por completo el contenido u orientación que han de tener sus decisiones, por lo que el titular de las potestades o competencias queda habilitado para elegir, dentro de las diversas opciones decisorias que se le presentan, el medio más pertinente, valioso y eficiente para alcanzar el fin, con los mejores criterios de razonabilidad. Sin embargo, no debe entenderse como una potestad ilimitada o absoluta que permita realizar u omitir actos caprichosos que, a final de cuentas, se traducen en arbitrariedad, pues la actividad administrativa por ningún motivo puede quedar fuera o por encima del orden jurídico, en particular cuando la decisión requiere el entendimiento de conceptos que impliquen un conocimiento especializado; lo anterior, máxime que cuando haya deberes, ya sea expresos o categóricos, implícitos o indirectos, si se encuentran en juego derechos fundamentales, la discrecionalidad tiene límites y está sujeta a rendición de cuentas, esto es, al control judicial, incluso en temas especializados, debiendo allegarse los tribunales de la asesoría y saberes necesarios para decidir y asegurar la mejor protección posible. CUARTO TRIBUNAL COLEGIADO EN MATERIA ADMINISTRATIVA DEL PRIMER CIRCUITO. -Registro digital: 2022360-</w:t>
      </w:r>
    </w:p>
    <w:p w:rsidR="00EC4946" w:rsidRDefault="00EC4946" w:rsidP="003356D9">
      <w:pPr>
        <w:spacing w:line="360" w:lineRule="auto"/>
        <w:ind w:firstLine="567"/>
        <w:jc w:val="both"/>
        <w:rPr>
          <w:rFonts w:ascii="Arial" w:hAnsi="Arial" w:cs="Arial"/>
          <w:sz w:val="24"/>
          <w:szCs w:val="24"/>
          <w:lang w:eastAsia="es-MX"/>
        </w:rPr>
      </w:pPr>
    </w:p>
    <w:p w:rsidR="003356D9" w:rsidRPr="007C66E3" w:rsidRDefault="003356D9" w:rsidP="003356D9">
      <w:pPr>
        <w:spacing w:line="360" w:lineRule="auto"/>
        <w:ind w:firstLine="567"/>
        <w:jc w:val="both"/>
        <w:rPr>
          <w:rFonts w:ascii="Arial" w:hAnsi="Arial" w:cs="Arial"/>
          <w:sz w:val="28"/>
          <w:szCs w:val="28"/>
          <w:lang w:eastAsia="es-MX"/>
        </w:rPr>
      </w:pPr>
      <w:r w:rsidRPr="007C66E3">
        <w:rPr>
          <w:rFonts w:ascii="Arial" w:hAnsi="Arial" w:cs="Arial"/>
          <w:sz w:val="28"/>
          <w:szCs w:val="28"/>
          <w:lang w:eastAsia="es-MX"/>
        </w:rPr>
        <w:t xml:space="preserve">En razón a lo anterior resultando innecesario el estudio de los diversos argumentos vertidos por la accionante en sus conceptos de impugnación, pues al ser declarado fundado aquel que incide directamente en la validez del acto controvertido, de manera sustancial, no es posible analizar los restantes motivos de inconformidad, al respecto cobran relevancia, y resultan aplicables por analogía, en su parte conducente, lo contenido en el criterio emitido por la Suprema Corte de Justicia de la Nación, publicada en el Semanario Judicial de la Federación, visible en la Página 8, Tomo: Informe 1982, Parte II, Tesis 3, Séptima Época; que refiere: </w:t>
      </w:r>
      <w:r w:rsidRPr="007C66E3">
        <w:rPr>
          <w:rFonts w:ascii="Arial" w:hAnsi="Arial" w:cs="Arial"/>
          <w:b/>
          <w:i/>
          <w:sz w:val="28"/>
          <w:szCs w:val="28"/>
          <w:lang w:eastAsia="es-MX"/>
        </w:rPr>
        <w:t>“CONCEPTOS DE VIOLACIÓN, ESTUDIO INNECESARIO DE LOS.</w:t>
      </w:r>
      <w:r w:rsidRPr="007C66E3">
        <w:rPr>
          <w:rFonts w:ascii="Arial" w:hAnsi="Arial" w:cs="Arial"/>
          <w:i/>
          <w:sz w:val="28"/>
          <w:szCs w:val="28"/>
          <w:lang w:eastAsia="es-MX"/>
        </w:rPr>
        <w:t xml:space="preserve"> Si al examinar los conceptos de violación invocados en la demanda de amparo resulta fundado uno de éstos y el mismo es suficiente para otorgar al peticionario de garantías la protección y </w:t>
      </w:r>
      <w:r w:rsidRPr="007C66E3">
        <w:rPr>
          <w:rFonts w:ascii="Arial" w:hAnsi="Arial" w:cs="Arial"/>
          <w:i/>
          <w:sz w:val="28"/>
          <w:szCs w:val="28"/>
          <w:lang w:eastAsia="es-MX"/>
        </w:rPr>
        <w:lastRenderedPageBreak/>
        <w:t>el amparo de la Justicia Federal, resulta innecesario el estudio de los demás motivos de queja. …”</w:t>
      </w:r>
    </w:p>
    <w:p w:rsidR="003356D9" w:rsidRPr="007C66E3" w:rsidRDefault="003356D9" w:rsidP="003356D9">
      <w:pPr>
        <w:spacing w:line="360" w:lineRule="auto"/>
        <w:ind w:firstLine="567"/>
        <w:jc w:val="both"/>
        <w:rPr>
          <w:rFonts w:ascii="Arial" w:hAnsi="Arial" w:cs="Arial"/>
          <w:sz w:val="28"/>
          <w:szCs w:val="28"/>
          <w:lang w:eastAsia="es-MX"/>
        </w:rPr>
      </w:pPr>
      <w:r w:rsidRPr="007C66E3">
        <w:rPr>
          <w:rFonts w:ascii="Arial" w:hAnsi="Arial" w:cs="Arial"/>
          <w:sz w:val="28"/>
          <w:szCs w:val="28"/>
          <w:lang w:eastAsia="es-MX"/>
        </w:rPr>
        <w:t xml:space="preserve">De igual manera lo dispuesto en la diversa Tesis I.7o.A.97 K, de Tribunales Colegiados de Circuito, localizable bajo el Registro digital: 176579, en el Semanario Judicial de la Federación y su Gaceta, que cita: </w:t>
      </w:r>
    </w:p>
    <w:p w:rsidR="003356D9" w:rsidRPr="002A2BCD" w:rsidRDefault="003356D9" w:rsidP="003356D9">
      <w:pPr>
        <w:spacing w:line="240" w:lineRule="auto"/>
        <w:ind w:left="567" w:right="473"/>
        <w:jc w:val="both"/>
        <w:rPr>
          <w:rFonts w:ascii="Arial" w:hAnsi="Arial" w:cs="Arial"/>
          <w:b/>
          <w:sz w:val="18"/>
          <w:szCs w:val="24"/>
          <w:lang w:eastAsia="es-MX"/>
        </w:rPr>
      </w:pPr>
    </w:p>
    <w:p w:rsidR="003356D9" w:rsidRPr="007C66E3" w:rsidRDefault="003356D9" w:rsidP="003356D9">
      <w:pPr>
        <w:spacing w:line="240" w:lineRule="auto"/>
        <w:ind w:left="567" w:right="473"/>
        <w:jc w:val="both"/>
        <w:rPr>
          <w:rFonts w:ascii="Arial" w:hAnsi="Arial" w:cs="Arial"/>
          <w:sz w:val="24"/>
          <w:szCs w:val="24"/>
          <w:lang w:eastAsia="es-MX"/>
        </w:rPr>
      </w:pPr>
      <w:r w:rsidRPr="007C66E3">
        <w:rPr>
          <w:rFonts w:ascii="Arial" w:hAnsi="Arial" w:cs="Arial"/>
          <w:b/>
          <w:sz w:val="24"/>
          <w:szCs w:val="24"/>
          <w:lang w:eastAsia="es-MX"/>
        </w:rPr>
        <w:t>CONCEPTOS DE VIOLACIÓN. SU ESTUDIO ES INNECESARIO, SI AQUEL RELATIVO A LA FALTA DE FIRMA DEL SECRETARIO EN LA SENTENCIA RECLAMADA ES FUNDADO</w:t>
      </w:r>
      <w:r w:rsidRPr="007C66E3">
        <w:rPr>
          <w:rFonts w:ascii="Arial" w:hAnsi="Arial" w:cs="Arial"/>
          <w:sz w:val="24"/>
          <w:szCs w:val="24"/>
          <w:lang w:eastAsia="es-MX"/>
        </w:rPr>
        <w:t xml:space="preserve">. Si el órgano jurisdiccional estima fundado el argumento del quejoso, en el sentido de que la sentencia que constituye el acto reclamado carece de la firma del secretario adscrito a la Sala responsable, lo cual incide directamente con su validez, no es posible analizar los restantes motivos de inconformidad, que atienden a cuestionar el contenido de aquélla, ya que la inexistencia jurídica del fallo materia de la </w:t>
      </w:r>
      <w:proofErr w:type="spellStart"/>
      <w:r w:rsidRPr="007C66E3">
        <w:rPr>
          <w:rFonts w:ascii="Arial" w:hAnsi="Arial" w:cs="Arial"/>
          <w:sz w:val="24"/>
          <w:szCs w:val="24"/>
          <w:lang w:eastAsia="es-MX"/>
        </w:rPr>
        <w:t>litis</w:t>
      </w:r>
      <w:proofErr w:type="spellEnd"/>
      <w:r w:rsidRPr="007C66E3">
        <w:rPr>
          <w:rFonts w:ascii="Arial" w:hAnsi="Arial" w:cs="Arial"/>
          <w:sz w:val="24"/>
          <w:szCs w:val="24"/>
          <w:lang w:eastAsia="es-MX"/>
        </w:rPr>
        <w:t>, impide su análisis. SÉPTIMO TRIBUNAL COLEGIADO EN MATERIA ADMINISTRATIVA DEL PRIMER CIRCUITO.</w:t>
      </w:r>
    </w:p>
    <w:p w:rsidR="003356D9" w:rsidRPr="00406214" w:rsidRDefault="003356D9" w:rsidP="003356D9">
      <w:pPr>
        <w:spacing w:line="360" w:lineRule="auto"/>
        <w:jc w:val="both"/>
        <w:rPr>
          <w:rFonts w:ascii="Arial" w:hAnsi="Arial" w:cs="Arial"/>
          <w:sz w:val="24"/>
          <w:szCs w:val="24"/>
          <w:lang w:eastAsia="es-MX"/>
        </w:rPr>
      </w:pPr>
    </w:p>
    <w:p w:rsidR="003356D9" w:rsidRPr="007C66E3" w:rsidRDefault="003356D9" w:rsidP="003356D9">
      <w:pPr>
        <w:spacing w:line="360" w:lineRule="auto"/>
        <w:ind w:firstLine="567"/>
        <w:jc w:val="both"/>
        <w:rPr>
          <w:rFonts w:ascii="Arial" w:hAnsi="Arial" w:cs="Arial"/>
          <w:sz w:val="28"/>
          <w:szCs w:val="28"/>
          <w:lang w:eastAsia="es-MX"/>
        </w:rPr>
      </w:pPr>
      <w:r w:rsidRPr="007C66E3">
        <w:rPr>
          <w:rFonts w:ascii="Arial" w:hAnsi="Arial" w:cs="Arial"/>
          <w:sz w:val="28"/>
          <w:szCs w:val="28"/>
          <w:lang w:eastAsia="es-MX"/>
        </w:rPr>
        <w:t>Por lo expuesto, fundado y con apoyo en los artículos 123 de la Constitución Política del Estado de San Luis Potosí, 1º, 2º, 7º, fracciones I,  III, y 9º fracción III de la Ley Orgánica del Tribunal Estatal de Justicia Administrativa de San Luis Potosí y 248, 250 fracción II, 251 primer párrafo del Código Procesal Administrativo para el Estado de San Luis Potosí, es de resolverse.</w:t>
      </w:r>
    </w:p>
    <w:p w:rsidR="003356D9" w:rsidRPr="00BF369E" w:rsidRDefault="003356D9" w:rsidP="003356D9">
      <w:pPr>
        <w:spacing w:line="360" w:lineRule="auto"/>
        <w:jc w:val="both"/>
        <w:rPr>
          <w:rFonts w:ascii="Arial" w:hAnsi="Arial" w:cs="Arial"/>
          <w:sz w:val="24"/>
          <w:szCs w:val="24"/>
          <w:lang w:eastAsia="es-MX"/>
        </w:rPr>
      </w:pPr>
    </w:p>
    <w:p w:rsidR="003356D9" w:rsidRPr="000623A0" w:rsidRDefault="003356D9" w:rsidP="003356D9">
      <w:pPr>
        <w:spacing w:line="360" w:lineRule="auto"/>
        <w:ind w:firstLine="567"/>
        <w:jc w:val="both"/>
        <w:rPr>
          <w:rFonts w:ascii="Arial" w:hAnsi="Arial" w:cs="Arial"/>
          <w:sz w:val="28"/>
          <w:szCs w:val="28"/>
          <w:lang w:eastAsia="es-MX"/>
        </w:rPr>
      </w:pPr>
      <w:r w:rsidRPr="000623A0">
        <w:rPr>
          <w:rFonts w:ascii="Arial" w:hAnsi="Arial" w:cs="Arial"/>
          <w:b/>
          <w:sz w:val="28"/>
          <w:szCs w:val="28"/>
          <w:lang w:eastAsia="es-MX"/>
        </w:rPr>
        <w:t>PRIMERO.-</w:t>
      </w:r>
      <w:r w:rsidRPr="000623A0">
        <w:rPr>
          <w:rFonts w:ascii="Arial" w:hAnsi="Arial" w:cs="Arial"/>
          <w:sz w:val="28"/>
          <w:szCs w:val="28"/>
          <w:lang w:eastAsia="es-MX"/>
        </w:rPr>
        <w:t xml:space="preserve"> Esta Segunda Sala Unitaria es competente para conocer y resolver la presente controversia.</w:t>
      </w:r>
    </w:p>
    <w:p w:rsidR="000B4F7A" w:rsidRDefault="000B4F7A" w:rsidP="000B61B8">
      <w:pPr>
        <w:spacing w:after="0" w:line="360" w:lineRule="auto"/>
        <w:ind w:right="50" w:firstLine="708"/>
        <w:jc w:val="both"/>
        <w:rPr>
          <w:rFonts w:ascii="Arial" w:hAnsi="Arial" w:cs="Arial"/>
          <w:b/>
          <w:sz w:val="28"/>
          <w:szCs w:val="28"/>
          <w:lang w:eastAsia="es-MX"/>
        </w:rPr>
      </w:pPr>
    </w:p>
    <w:p w:rsidR="003356D9" w:rsidRPr="000623A0" w:rsidRDefault="003356D9" w:rsidP="000B61B8">
      <w:pPr>
        <w:spacing w:after="0" w:line="360" w:lineRule="auto"/>
        <w:ind w:right="50" w:firstLine="708"/>
        <w:jc w:val="both"/>
        <w:rPr>
          <w:rFonts w:ascii="Arial" w:hAnsi="Arial" w:cs="Arial"/>
          <w:sz w:val="28"/>
          <w:szCs w:val="28"/>
        </w:rPr>
      </w:pPr>
      <w:r w:rsidRPr="000623A0">
        <w:rPr>
          <w:rFonts w:ascii="Arial" w:hAnsi="Arial" w:cs="Arial"/>
          <w:b/>
          <w:sz w:val="28"/>
          <w:szCs w:val="28"/>
          <w:lang w:eastAsia="es-MX"/>
        </w:rPr>
        <w:t>SEGUNDO.-</w:t>
      </w:r>
      <w:r w:rsidRPr="000623A0">
        <w:rPr>
          <w:rFonts w:ascii="Arial" w:hAnsi="Arial" w:cs="Arial"/>
          <w:sz w:val="28"/>
          <w:szCs w:val="28"/>
          <w:lang w:eastAsia="es-MX"/>
        </w:rPr>
        <w:t xml:space="preserve"> </w:t>
      </w:r>
      <w:r w:rsidRPr="000623A0">
        <w:rPr>
          <w:rFonts w:ascii="Arial" w:hAnsi="Arial" w:cs="Arial"/>
          <w:sz w:val="28"/>
          <w:szCs w:val="28"/>
        </w:rPr>
        <w:t xml:space="preserve">Se declara la </w:t>
      </w:r>
      <w:r w:rsidRPr="000623A0">
        <w:rPr>
          <w:rFonts w:ascii="Arial" w:hAnsi="Arial" w:cs="Arial"/>
          <w:b/>
          <w:sz w:val="28"/>
          <w:szCs w:val="28"/>
          <w:u w:val="single"/>
        </w:rPr>
        <w:t>ilegalidad e invalidez</w:t>
      </w:r>
      <w:r w:rsidRPr="000623A0">
        <w:rPr>
          <w:rFonts w:ascii="Arial" w:hAnsi="Arial" w:cs="Arial"/>
          <w:sz w:val="28"/>
          <w:szCs w:val="28"/>
        </w:rPr>
        <w:t xml:space="preserve"> de</w:t>
      </w:r>
      <w:r w:rsidR="000623A0">
        <w:rPr>
          <w:rFonts w:ascii="Arial" w:hAnsi="Arial" w:cs="Arial"/>
          <w:sz w:val="28"/>
          <w:szCs w:val="28"/>
        </w:rPr>
        <w:t>l</w:t>
      </w:r>
      <w:r w:rsidRPr="000623A0">
        <w:rPr>
          <w:rFonts w:ascii="Arial" w:hAnsi="Arial" w:cs="Arial"/>
          <w:sz w:val="28"/>
          <w:szCs w:val="28"/>
        </w:rPr>
        <w:t xml:space="preserve"> acto impugnado, consistente</w:t>
      </w:r>
      <w:r w:rsidR="000B4F7A">
        <w:rPr>
          <w:rFonts w:ascii="Arial" w:hAnsi="Arial" w:cs="Arial"/>
          <w:sz w:val="28"/>
          <w:szCs w:val="28"/>
        </w:rPr>
        <w:t xml:space="preserve"> en el acta de infracción de fecha tres de enero del dos mil veinticinco,</w:t>
      </w:r>
      <w:r w:rsidR="000B4F7A" w:rsidRPr="000623A0">
        <w:rPr>
          <w:rFonts w:ascii="Arial" w:hAnsi="Arial" w:cs="Arial"/>
          <w:sz w:val="28"/>
          <w:szCs w:val="28"/>
        </w:rPr>
        <w:t xml:space="preserve"> </w:t>
      </w:r>
      <w:r w:rsidRPr="000623A0">
        <w:rPr>
          <w:rFonts w:ascii="Arial" w:hAnsi="Arial" w:cs="Arial"/>
          <w:sz w:val="28"/>
          <w:szCs w:val="28"/>
        </w:rPr>
        <w:t>dejándolo sin efecto legal alguno; de acuerdo con los razonamientos expuestos en esta sentencia.</w:t>
      </w:r>
      <w:r w:rsidRPr="000623A0">
        <w:rPr>
          <w:rFonts w:ascii="Arial" w:hAnsi="Arial" w:cs="Arial"/>
          <w:b/>
          <w:sz w:val="28"/>
          <w:szCs w:val="28"/>
        </w:rPr>
        <w:t xml:space="preserve"> </w:t>
      </w:r>
    </w:p>
    <w:p w:rsidR="003356D9" w:rsidRPr="000623A0" w:rsidRDefault="003356D9" w:rsidP="003356D9">
      <w:pPr>
        <w:rPr>
          <w:sz w:val="28"/>
          <w:szCs w:val="28"/>
        </w:rPr>
      </w:pPr>
    </w:p>
    <w:p w:rsidR="003356D9" w:rsidRPr="000623A0" w:rsidRDefault="003356D9" w:rsidP="003356D9">
      <w:pPr>
        <w:spacing w:line="360" w:lineRule="auto"/>
        <w:ind w:firstLine="567"/>
        <w:jc w:val="both"/>
        <w:rPr>
          <w:rFonts w:ascii="Arial" w:hAnsi="Arial" w:cs="Arial"/>
          <w:b/>
          <w:sz w:val="28"/>
          <w:szCs w:val="28"/>
        </w:rPr>
      </w:pPr>
      <w:r w:rsidRPr="000623A0">
        <w:rPr>
          <w:rFonts w:ascii="Arial" w:hAnsi="Arial" w:cs="Arial"/>
          <w:b/>
          <w:sz w:val="28"/>
          <w:szCs w:val="28"/>
          <w:lang w:eastAsia="es-MX"/>
        </w:rPr>
        <w:t>TERCERO.-</w:t>
      </w:r>
      <w:r w:rsidRPr="000623A0">
        <w:rPr>
          <w:rFonts w:ascii="Arial" w:hAnsi="Arial" w:cs="Arial"/>
          <w:sz w:val="28"/>
          <w:szCs w:val="28"/>
          <w:lang w:eastAsia="es-MX"/>
        </w:rPr>
        <w:t xml:space="preserve"> Notifíquese personalmente.</w:t>
      </w:r>
    </w:p>
    <w:p w:rsidR="003356D9" w:rsidRDefault="003356D9" w:rsidP="003356D9">
      <w:pPr>
        <w:spacing w:line="360" w:lineRule="auto"/>
        <w:ind w:firstLine="567"/>
        <w:jc w:val="both"/>
        <w:rPr>
          <w:rFonts w:ascii="Arial" w:hAnsi="Arial" w:cs="Arial"/>
          <w:sz w:val="28"/>
          <w:szCs w:val="28"/>
        </w:rPr>
      </w:pPr>
      <w:r w:rsidRPr="000623A0">
        <w:rPr>
          <w:rFonts w:ascii="Arial" w:hAnsi="Arial" w:cs="Arial"/>
          <w:sz w:val="28"/>
          <w:szCs w:val="28"/>
        </w:rPr>
        <w:lastRenderedPageBreak/>
        <w:t xml:space="preserve">Así lo resolvió y firma, la </w:t>
      </w:r>
      <w:r w:rsidRPr="000623A0">
        <w:rPr>
          <w:rFonts w:ascii="Arial" w:hAnsi="Arial" w:cs="Arial"/>
          <w:b/>
          <w:sz w:val="28"/>
          <w:szCs w:val="28"/>
        </w:rPr>
        <w:t xml:space="preserve">Licenciada </w:t>
      </w:r>
      <w:r w:rsidRPr="000623A0">
        <w:rPr>
          <w:rFonts w:ascii="Arial" w:eastAsia="Arial Unicode MS" w:hAnsi="Arial" w:cs="Arial"/>
          <w:b/>
          <w:sz w:val="28"/>
          <w:szCs w:val="28"/>
        </w:rPr>
        <w:t>María Olvido Rodríguez Vázquez</w:t>
      </w:r>
      <w:r w:rsidRPr="000623A0">
        <w:rPr>
          <w:rFonts w:ascii="Arial" w:hAnsi="Arial" w:cs="Arial"/>
          <w:sz w:val="28"/>
          <w:szCs w:val="28"/>
        </w:rPr>
        <w:t xml:space="preserve">, Magistrada Titular de la Segunda Sala Unitaria del Tribunal Estatal de Justicia Administrativa de San Luis Potosí, quien actúa con Secretario de Acuerdos, Licenciado </w:t>
      </w:r>
      <w:r w:rsidRPr="000623A0">
        <w:rPr>
          <w:rFonts w:ascii="Arial" w:eastAsia="Arial Unicode MS" w:hAnsi="Arial" w:cs="Arial"/>
          <w:b/>
          <w:sz w:val="28"/>
          <w:szCs w:val="28"/>
        </w:rPr>
        <w:t>Juan José García Morales</w:t>
      </w:r>
      <w:r w:rsidRPr="000623A0">
        <w:rPr>
          <w:rFonts w:ascii="Arial" w:hAnsi="Arial" w:cs="Arial"/>
          <w:sz w:val="28"/>
          <w:szCs w:val="28"/>
        </w:rPr>
        <w:t xml:space="preserve">, que autoriza y da fe.- </w:t>
      </w:r>
    </w:p>
    <w:p w:rsidR="001F65D0" w:rsidRDefault="001F65D0" w:rsidP="003356D9">
      <w:pPr>
        <w:spacing w:line="360" w:lineRule="auto"/>
        <w:ind w:firstLine="567"/>
        <w:jc w:val="both"/>
        <w:rPr>
          <w:rFonts w:ascii="Arial" w:hAnsi="Arial" w:cs="Arial"/>
          <w:sz w:val="28"/>
          <w:szCs w:val="28"/>
        </w:rPr>
      </w:pPr>
    </w:p>
    <w:p w:rsidR="001F65D0" w:rsidRPr="001F65D0" w:rsidRDefault="001F65D0" w:rsidP="001F65D0">
      <w:pPr>
        <w:spacing w:line="360" w:lineRule="auto"/>
        <w:jc w:val="both"/>
        <w:rPr>
          <w:rFonts w:ascii="Arial" w:hAnsi="Arial" w:cs="Arial"/>
          <w:sz w:val="28"/>
          <w:szCs w:val="28"/>
        </w:rPr>
      </w:pPr>
      <w:r w:rsidRPr="001F65D0">
        <w:rPr>
          <w:b/>
          <w:sz w:val="20"/>
          <w:szCs w:val="20"/>
        </w:rPr>
        <w:t>Se</w:t>
      </w:r>
      <w:r w:rsidRPr="001F65D0">
        <w:rPr>
          <w:b/>
          <w:color w:val="000000"/>
          <w:sz w:val="20"/>
          <w:szCs w:val="20"/>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1F65D0" w:rsidRPr="001F65D0" w:rsidRDefault="001F65D0" w:rsidP="001F65D0">
      <w:pPr>
        <w:spacing w:before="120" w:after="120" w:line="360" w:lineRule="auto"/>
        <w:ind w:firstLine="709"/>
        <w:jc w:val="both"/>
        <w:rPr>
          <w:rFonts w:ascii="Arial" w:eastAsia="Times New Roman" w:hAnsi="Arial" w:cs="Arial"/>
          <w:sz w:val="28"/>
          <w:szCs w:val="28"/>
          <w:lang w:val="es-ES" w:eastAsia="es-ES"/>
        </w:rPr>
      </w:pPr>
    </w:p>
    <w:p w:rsidR="001F65D0" w:rsidRDefault="001F65D0" w:rsidP="003356D9">
      <w:pPr>
        <w:spacing w:line="360" w:lineRule="auto"/>
        <w:ind w:firstLine="567"/>
        <w:jc w:val="both"/>
        <w:rPr>
          <w:rFonts w:ascii="Arial" w:hAnsi="Arial" w:cs="Arial"/>
          <w:sz w:val="28"/>
          <w:szCs w:val="28"/>
        </w:rPr>
      </w:pPr>
      <w:bookmarkStart w:id="0" w:name="_GoBack"/>
      <w:bookmarkEnd w:id="0"/>
    </w:p>
    <w:sectPr w:rsidR="001F65D0" w:rsidSect="001E702E">
      <w:headerReference w:type="even" r:id="rId9"/>
      <w:headerReference w:type="default" r:id="rId10"/>
      <w:headerReference w:type="first" r:id="rId11"/>
      <w:pgSz w:w="12242" w:h="18722" w:code="14"/>
      <w:pgMar w:top="1134" w:right="1134" w:bottom="1134" w:left="2835" w:header="720" w:footer="720" w:gutter="0"/>
      <w:paperSrc w:first="259" w:other="2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F38" w:rsidRDefault="00642F38">
      <w:pPr>
        <w:spacing w:after="0" w:line="240" w:lineRule="auto"/>
      </w:pPr>
      <w:r>
        <w:separator/>
      </w:r>
    </w:p>
  </w:endnote>
  <w:endnote w:type="continuationSeparator" w:id="0">
    <w:p w:rsidR="00642F38" w:rsidRDefault="00642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F38" w:rsidRDefault="00642F38">
      <w:pPr>
        <w:spacing w:after="0" w:line="240" w:lineRule="auto"/>
      </w:pPr>
      <w:r>
        <w:separator/>
      </w:r>
    </w:p>
  </w:footnote>
  <w:footnote w:type="continuationSeparator" w:id="0">
    <w:p w:rsidR="00642F38" w:rsidRDefault="00642F38">
      <w:pPr>
        <w:spacing w:after="0" w:line="240" w:lineRule="auto"/>
      </w:pPr>
      <w:r>
        <w:continuationSeparator/>
      </w:r>
    </w:p>
  </w:footnote>
  <w:footnote w:id="1">
    <w:p w:rsidR="00E64E5D" w:rsidRPr="00A8667D" w:rsidRDefault="00E64E5D" w:rsidP="00F222A6">
      <w:pPr>
        <w:spacing w:after="0" w:line="240" w:lineRule="auto"/>
        <w:ind w:firstLine="709"/>
        <w:jc w:val="both"/>
        <w:rPr>
          <w:rFonts w:cs="Calibri"/>
          <w:sz w:val="20"/>
          <w:szCs w:val="20"/>
        </w:rPr>
      </w:pPr>
      <w:r w:rsidRPr="00A8667D">
        <w:rPr>
          <w:rStyle w:val="Refdenotaalpie"/>
          <w:sz w:val="20"/>
          <w:szCs w:val="20"/>
        </w:rPr>
        <w:footnoteRef/>
      </w:r>
      <w:r w:rsidRPr="00A8667D">
        <w:rPr>
          <w:sz w:val="20"/>
          <w:szCs w:val="20"/>
        </w:rPr>
        <w:t xml:space="preserve"> </w:t>
      </w:r>
      <w:r w:rsidRPr="00A8667D">
        <w:rPr>
          <w:rFonts w:cs="Calibri"/>
          <w:sz w:val="20"/>
          <w:szCs w:val="20"/>
        </w:rPr>
        <w:t>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w:t>
      </w:r>
      <w:proofErr w:type="gramStart"/>
      <w:r w:rsidRPr="00A8667D">
        <w:rPr>
          <w:rFonts w:cs="Calibri"/>
          <w:sz w:val="20"/>
          <w:szCs w:val="20"/>
        </w:rPr>
        <w:t>./</w:t>
      </w:r>
      <w:proofErr w:type="gramEnd"/>
      <w:r w:rsidRPr="00A8667D">
        <w:rPr>
          <w:rFonts w:cs="Calibri"/>
          <w:sz w:val="20"/>
          <w:szCs w:val="20"/>
        </w:rPr>
        <w:t>J. 58/2010, Página: 830.</w:t>
      </w:r>
    </w:p>
  </w:footnote>
  <w:footnote w:id="2">
    <w:p w:rsidR="003356D9" w:rsidRPr="0060445E" w:rsidRDefault="003356D9" w:rsidP="003356D9">
      <w:pPr>
        <w:spacing w:after="0" w:line="240" w:lineRule="auto"/>
        <w:jc w:val="both"/>
        <w:rPr>
          <w:rFonts w:cs="Calibri"/>
          <w:sz w:val="20"/>
          <w:szCs w:val="20"/>
        </w:rPr>
      </w:pPr>
      <w:r w:rsidRPr="0060445E">
        <w:rPr>
          <w:rStyle w:val="Refdenotaalpie"/>
          <w:rFonts w:cs="Calibri"/>
          <w:sz w:val="20"/>
          <w:szCs w:val="20"/>
        </w:rPr>
        <w:footnoteRef/>
      </w:r>
      <w:r w:rsidRPr="0060445E">
        <w:rPr>
          <w:rFonts w:cs="Calibri"/>
          <w:sz w:val="20"/>
          <w:szCs w:val="20"/>
        </w:rPr>
        <w:t xml:space="preserve"> Tesis de Jurisprudencia emitida por la Segunda Sala de la Suprema Corte de Justicia de la Nación, localizable de acuerdo a los datos y rubro siguientes: Séptima Época, Registro: 394216, Instancia: Segunda Sala, Jurisprudencia, Fuente: Apéndice de 1995, Tomo VI, Parte SCJN, Materia(s): Común, Tesis: 260, Página: 175.</w:t>
      </w:r>
    </w:p>
    <w:p w:rsidR="003356D9" w:rsidRPr="00DB747B" w:rsidRDefault="003356D9" w:rsidP="003356D9">
      <w:pPr>
        <w:pStyle w:val="Textonotapie"/>
      </w:pPr>
    </w:p>
  </w:footnote>
  <w:footnote w:id="3">
    <w:p w:rsidR="003356D9" w:rsidRPr="0060445E" w:rsidRDefault="003356D9" w:rsidP="003356D9">
      <w:pPr>
        <w:pStyle w:val="Textonotapie"/>
        <w:spacing w:after="0" w:line="240" w:lineRule="auto"/>
        <w:jc w:val="both"/>
        <w:rPr>
          <w:rFonts w:cs="Calibri"/>
        </w:rPr>
      </w:pPr>
      <w:r w:rsidRPr="0060445E">
        <w:rPr>
          <w:rStyle w:val="Refdenotaalpie"/>
          <w:rFonts w:cs="Calibri"/>
        </w:rPr>
        <w:footnoteRef/>
      </w:r>
      <w:r w:rsidRPr="0060445E">
        <w:rPr>
          <w:rFonts w:cs="Calibri"/>
        </w:rPr>
        <w:t xml:space="preserve"> </w:t>
      </w:r>
      <w:r w:rsidRPr="00752F55">
        <w:rPr>
          <w:rFonts w:ascii="Arial" w:hAnsi="Arial" w:cs="Arial"/>
          <w:sz w:val="16"/>
        </w:rPr>
        <w:t>Octava Época Registro: 216534 Instancia: Tribunales Colegiados de Circuito Tipo de Tesis: Jurisprudencia Fuente: Gaceta del Semanario Judicial de la Federación Núm. 64, Abril de 1993 Materia(s): Administrativa Tesis: VI. 2o. J/248 Página: 43</w:t>
      </w:r>
      <w:r w:rsidRPr="00752F55">
        <w:rPr>
          <w:rFonts w:cs="Calibri"/>
          <w:sz w:val="16"/>
        </w:rPr>
        <w:t xml:space="preserve"> </w:t>
      </w:r>
    </w:p>
    <w:p w:rsidR="003356D9" w:rsidRPr="0060445E" w:rsidRDefault="003356D9" w:rsidP="003356D9">
      <w:pPr>
        <w:pStyle w:val="Textonotapie"/>
        <w:spacing w:after="0" w:line="240" w:lineRule="auto"/>
        <w:rPr>
          <w:rFonts w:cs="Calibri"/>
        </w:rPr>
      </w:pPr>
    </w:p>
  </w:footnote>
  <w:footnote w:id="4">
    <w:p w:rsidR="003356D9" w:rsidRDefault="003356D9" w:rsidP="003356D9">
      <w:pPr>
        <w:pStyle w:val="Textonotapie"/>
        <w:jc w:val="both"/>
        <w:rPr>
          <w:rFonts w:ascii="Arial" w:hAnsi="Arial" w:cs="Arial"/>
          <w:b/>
          <w:sz w:val="16"/>
          <w:u w:val="single"/>
        </w:rPr>
      </w:pPr>
      <w:r>
        <w:rPr>
          <w:rStyle w:val="Refdenotaalpie"/>
        </w:rPr>
        <w:footnoteRef/>
      </w:r>
      <w:r>
        <w:t xml:space="preserve"> </w:t>
      </w:r>
      <w:r w:rsidRPr="00DF3A2B">
        <w:rPr>
          <w:rFonts w:ascii="Arial" w:hAnsi="Arial" w:cs="Arial"/>
          <w:sz w:val="16"/>
        </w:rPr>
        <w:t>Suprema Corte de Justicia de la Nación</w:t>
      </w:r>
      <w:r>
        <w:rPr>
          <w:rFonts w:ascii="Arial" w:hAnsi="Arial" w:cs="Arial"/>
          <w:sz w:val="16"/>
        </w:rPr>
        <w:t xml:space="preserve"> </w:t>
      </w:r>
      <w:r w:rsidRPr="00DF3A2B">
        <w:rPr>
          <w:rFonts w:ascii="Arial" w:hAnsi="Arial" w:cs="Arial"/>
          <w:sz w:val="16"/>
        </w:rPr>
        <w:t>Registro digital: 188432</w:t>
      </w:r>
      <w:r>
        <w:rPr>
          <w:rFonts w:ascii="Arial" w:hAnsi="Arial" w:cs="Arial"/>
          <w:sz w:val="16"/>
        </w:rPr>
        <w:t xml:space="preserve"> </w:t>
      </w:r>
      <w:r w:rsidRPr="00DF3A2B">
        <w:rPr>
          <w:rFonts w:ascii="Arial" w:hAnsi="Arial" w:cs="Arial"/>
          <w:sz w:val="16"/>
        </w:rPr>
        <w:t xml:space="preserve">Instancia: </w:t>
      </w:r>
      <w:r w:rsidRPr="00DF3A2B">
        <w:rPr>
          <w:rFonts w:ascii="Arial" w:hAnsi="Arial" w:cs="Arial"/>
          <w:b/>
          <w:sz w:val="16"/>
        </w:rPr>
        <w:t>Segunda Sala</w:t>
      </w:r>
      <w:r>
        <w:rPr>
          <w:rFonts w:ascii="Arial" w:hAnsi="Arial" w:cs="Arial"/>
          <w:sz w:val="16"/>
        </w:rPr>
        <w:t xml:space="preserve"> </w:t>
      </w:r>
      <w:r w:rsidRPr="00DF3A2B">
        <w:rPr>
          <w:rFonts w:ascii="Arial" w:hAnsi="Arial" w:cs="Arial"/>
          <w:sz w:val="16"/>
        </w:rPr>
        <w:t>Novena Época</w:t>
      </w:r>
      <w:r>
        <w:rPr>
          <w:rFonts w:ascii="Arial" w:hAnsi="Arial" w:cs="Arial"/>
          <w:sz w:val="16"/>
        </w:rPr>
        <w:t xml:space="preserve"> </w:t>
      </w:r>
      <w:r w:rsidRPr="00DF3A2B">
        <w:rPr>
          <w:rFonts w:ascii="Arial" w:hAnsi="Arial" w:cs="Arial"/>
          <w:sz w:val="16"/>
        </w:rPr>
        <w:t>Materias(s): Administrativa</w:t>
      </w:r>
      <w:r>
        <w:rPr>
          <w:rFonts w:ascii="Arial" w:hAnsi="Arial" w:cs="Arial"/>
          <w:sz w:val="16"/>
        </w:rPr>
        <w:t xml:space="preserve"> Tesis: 2a</w:t>
      </w:r>
      <w:proofErr w:type="gramStart"/>
      <w:r>
        <w:rPr>
          <w:rFonts w:ascii="Arial" w:hAnsi="Arial" w:cs="Arial"/>
          <w:sz w:val="16"/>
        </w:rPr>
        <w:t>./</w:t>
      </w:r>
      <w:proofErr w:type="gramEnd"/>
      <w:r>
        <w:rPr>
          <w:rFonts w:ascii="Arial" w:hAnsi="Arial" w:cs="Arial"/>
          <w:sz w:val="16"/>
        </w:rPr>
        <w:t xml:space="preserve">J. 57/2001  </w:t>
      </w:r>
      <w:r w:rsidRPr="00DF3A2B">
        <w:rPr>
          <w:rFonts w:ascii="Arial" w:hAnsi="Arial" w:cs="Arial"/>
          <w:sz w:val="16"/>
        </w:rPr>
        <w:t>Fuente: Semanario Judicial de la Federación y su Gaceta. Tomo XIV, Noviembre de 2001, página 31</w:t>
      </w:r>
      <w:r>
        <w:rPr>
          <w:rFonts w:ascii="Arial" w:hAnsi="Arial" w:cs="Arial"/>
          <w:sz w:val="16"/>
        </w:rPr>
        <w:t xml:space="preserve"> </w:t>
      </w:r>
      <w:r w:rsidRPr="00DF3A2B">
        <w:rPr>
          <w:rFonts w:ascii="Arial" w:hAnsi="Arial" w:cs="Arial"/>
          <w:sz w:val="16"/>
        </w:rPr>
        <w:t xml:space="preserve">Tipo: </w:t>
      </w:r>
      <w:r w:rsidRPr="00DF3A2B">
        <w:rPr>
          <w:rFonts w:ascii="Arial" w:hAnsi="Arial" w:cs="Arial"/>
          <w:b/>
          <w:sz w:val="16"/>
          <w:u w:val="single"/>
        </w:rPr>
        <w:t xml:space="preserve">Jurisprudencia </w:t>
      </w:r>
    </w:p>
    <w:p w:rsidR="003356D9" w:rsidRPr="00DF3A2B" w:rsidRDefault="003356D9" w:rsidP="003356D9">
      <w:pPr>
        <w:pStyle w:val="Textonotapie"/>
        <w:jc w:val="both"/>
      </w:pPr>
      <w:r w:rsidRPr="00DF3A2B">
        <w:rPr>
          <w:rFonts w:ascii="Arial" w:hAnsi="Arial" w:cs="Arial"/>
          <w:b/>
          <w:sz w:val="16"/>
        </w:rPr>
        <w:t>COMPETENCIA DE LAS AUTORIDADES ADMINISTRATIVAS. EN EL MANDAMIENTO ESCRITO QUE CONTIENE EL ACTO DE MOLESTIA, DEBE SEÑALARSE CON PRECISIÓN EL PRECEPTO LEGAL QUE LES OTORGUE LA ATRIBUCIÓN EJERCIDA Y, EN SU CASO, LA RESPECTIVA FRACCIÓN, INCISO Y SUBINCISO.</w:t>
      </w:r>
      <w:r>
        <w:rPr>
          <w:rFonts w:ascii="Arial" w:hAnsi="Arial" w:cs="Arial"/>
          <w:b/>
          <w:sz w:val="16"/>
        </w:rPr>
        <w:t xml:space="preserve"> </w:t>
      </w:r>
      <w:r w:rsidRPr="00DF3A2B">
        <w:rPr>
          <w:rFonts w:ascii="Arial" w:hAnsi="Arial" w:cs="Arial"/>
          <w:sz w:val="16"/>
        </w:rPr>
        <w:t xml:space="preserve">De lo dispuesto en la tesis de jurisprudencia P./J. 10/94 del Tribunal Pleno de la Suprema Corte de Justicia de la Nación, publicada en la Gaceta del Semanario Judicial de la Federación, Número 77, mayo de 1994, página 12, de rubro: "COMPETENCIA. SU FUNDAMENTACIÓN ES REQUISITO ESENCIAL DEL ACTO DE AUTORIDAD.", así como de las consideraciones en las cuales se sustentó dicho criterio, se desprende que la garantía de fundamentación consagrada en el artículo 16 de la Constitución Política de los Estados Unidos Mexicanos, lleva implícita la idea de exactitud y precisión en la cita de las normas legales que facultan a la autoridad administrativa para emitir el acto de molestia de que se trate, al atender al valor jurídicamente protegido por la exigencia constitucional, que es la posibilidad de otorgar certeza y seguridad jurídica al particular frente a los actos de las autoridades que afecten o lesionen su interés jurídico y, por tanto, asegurar la prerrogativa de su defensa, ante un acto que no cumpla con los requisitos legales necesarios. En congruencia con lo anterior, resulta inconcuso que para estimar satisfecha la garantía de la debida fundamentación, que establece dicho precepto constitucional, por lo que hace a la competencia de la autoridad administrativa para emitir el acto de molestia es necesario que en el documento que se contenga se invoquen las disposiciones legales, acuerdo o decreto que otorgan facultades a la autoridad emisora y, en caso de que estas normas incluyan diversos supuestos, se precisen con claridad y detalle, el apartado, la fracción o fracciones, incisos y </w:t>
      </w:r>
      <w:proofErr w:type="spellStart"/>
      <w:r w:rsidRPr="00DF3A2B">
        <w:rPr>
          <w:rFonts w:ascii="Arial" w:hAnsi="Arial" w:cs="Arial"/>
          <w:sz w:val="16"/>
        </w:rPr>
        <w:t>subincisos</w:t>
      </w:r>
      <w:proofErr w:type="spellEnd"/>
      <w:r w:rsidRPr="00DF3A2B">
        <w:rPr>
          <w:rFonts w:ascii="Arial" w:hAnsi="Arial" w:cs="Arial"/>
          <w:sz w:val="16"/>
        </w:rPr>
        <w:t>, en que apoya su actuación; pues de no ser así, se dejaría al gobernado en estado de indefensión, toda vez que se traduciría en que éste ignorara si el proceder  de la autoridad se encuentra o no dentro del ámbito competencial respectivo por razón de materia, grado y territorio y, en consecuencia, si está o no ajustado a derecho. Esto es así, porque no es permisible abrigar en la garantía individual en cuestión ninguna clase de ambigüedad, ya que su finalidad consiste, esencialmente, en una exacta individualización del acto de autoridad, de acuerdo a la hipótesis jurídica en que se ubique el gobernado en relación con las facultades de la autoridad, por razones de seguridad jurídica.</w:t>
      </w:r>
    </w:p>
  </w:footnote>
  <w:footnote w:id="5">
    <w:p w:rsidR="003356D9" w:rsidRPr="00AF1BA8" w:rsidRDefault="003356D9" w:rsidP="003356D9">
      <w:pPr>
        <w:pStyle w:val="Textonotapie"/>
        <w:spacing w:line="240" w:lineRule="auto"/>
        <w:jc w:val="both"/>
      </w:pPr>
      <w:r>
        <w:rPr>
          <w:rStyle w:val="Refdenotaalpie"/>
        </w:rPr>
        <w:footnoteRef/>
      </w:r>
      <w:r>
        <w:t xml:space="preserve"> </w:t>
      </w:r>
      <w:r w:rsidRPr="00AF1BA8">
        <w:rPr>
          <w:rFonts w:ascii="Arial" w:hAnsi="Arial" w:cs="Arial"/>
          <w:b/>
          <w:sz w:val="16"/>
          <w:szCs w:val="16"/>
        </w:rPr>
        <w:t>ARTICULO 46.-</w:t>
      </w:r>
      <w:r w:rsidRPr="00AF1BA8">
        <w:rPr>
          <w:rFonts w:ascii="Arial" w:hAnsi="Arial" w:cs="Arial"/>
          <w:sz w:val="16"/>
          <w:szCs w:val="16"/>
        </w:rPr>
        <w:t xml:space="preserve"> Los actos de las autoridades que deban notificarse a los particulares, </w:t>
      </w:r>
      <w:r w:rsidRPr="00AF1BA8">
        <w:rPr>
          <w:rFonts w:ascii="Arial" w:hAnsi="Arial" w:cs="Arial"/>
          <w:b/>
          <w:sz w:val="16"/>
          <w:szCs w:val="16"/>
        </w:rPr>
        <w:t>deberán observar las siguientes reglas</w:t>
      </w:r>
      <w:r w:rsidRPr="00AF1BA8">
        <w:rPr>
          <w:rFonts w:ascii="Arial" w:hAnsi="Arial" w:cs="Arial"/>
          <w:sz w:val="16"/>
          <w:szCs w:val="16"/>
        </w:rPr>
        <w:t xml:space="preserve">: I. Constar por escrito;  II. Indicar la persona a la que va dirigido o en su defecto, los datos que permitan su identificación; III. Señalar la autoridad que lo emite; </w:t>
      </w:r>
      <w:r w:rsidRPr="00330ADD">
        <w:rPr>
          <w:rFonts w:ascii="Arial" w:hAnsi="Arial" w:cs="Arial"/>
          <w:b/>
          <w:sz w:val="16"/>
          <w:szCs w:val="16"/>
        </w:rPr>
        <w:t>V. Estar fundado y motivado</w:t>
      </w:r>
      <w:r w:rsidRPr="00AF1BA8">
        <w:rPr>
          <w:rFonts w:ascii="Arial" w:hAnsi="Arial" w:cs="Arial"/>
          <w:sz w:val="16"/>
          <w:szCs w:val="16"/>
        </w:rPr>
        <w:t>; V. Expresar su objeto o propósito en forma clara y concreta, y VI. Ostentar el nombre y la firma del funcionario que lo emite.</w:t>
      </w:r>
    </w:p>
  </w:footnote>
  <w:footnote w:id="6">
    <w:p w:rsidR="003356D9" w:rsidRPr="0025163F" w:rsidRDefault="003356D9" w:rsidP="003356D9">
      <w:pPr>
        <w:pStyle w:val="Textonotapie"/>
        <w:spacing w:line="240" w:lineRule="auto"/>
        <w:jc w:val="both"/>
      </w:pPr>
      <w:r>
        <w:rPr>
          <w:rStyle w:val="Refdenotaalpie"/>
        </w:rPr>
        <w:footnoteRef/>
      </w:r>
      <w:r>
        <w:t xml:space="preserve"> </w:t>
      </w:r>
      <w:r w:rsidRPr="0025163F">
        <w:rPr>
          <w:rFonts w:ascii="Arial" w:hAnsi="Arial" w:cs="Arial"/>
          <w:sz w:val="16"/>
        </w:rPr>
        <w:t>Registro digital: 172021, Instancia: Tribunales Colegiados de Circuito, Novena Época, Materias(s): Administrativa, Tesis: I.5o.A.69 A, Fuente: Semanario Judicial de la Federación y su Gaceta. Tomo XXVI, Julio de 2007, página 2510, Tipo: Aislada</w:t>
      </w:r>
      <w:r>
        <w:rPr>
          <w:rFonts w:ascii="Arial" w:hAnsi="Arial" w:cs="Arial"/>
          <w:sz w:val="16"/>
        </w:rPr>
        <w:t xml:space="preserve">  </w:t>
      </w:r>
    </w:p>
  </w:footnote>
  <w:footnote w:id="7">
    <w:p w:rsidR="003356D9" w:rsidRPr="00DE07D5" w:rsidRDefault="003356D9" w:rsidP="003356D9">
      <w:pPr>
        <w:pStyle w:val="Textonotapie"/>
        <w:spacing w:line="240" w:lineRule="auto"/>
        <w:jc w:val="both"/>
      </w:pPr>
      <w:r>
        <w:rPr>
          <w:rStyle w:val="Refdenotaalpie"/>
        </w:rPr>
        <w:footnoteRef/>
      </w:r>
      <w:r>
        <w:t xml:space="preserve"> </w:t>
      </w:r>
      <w:r w:rsidRPr="00DE07D5">
        <w:rPr>
          <w:rFonts w:ascii="Arial" w:hAnsi="Arial" w:cs="Arial"/>
          <w:sz w:val="16"/>
        </w:rPr>
        <w:t>Suprema Corte de Justicia de la Nación, Registro digital: 177347, Instancia: Segunda Sala, Novena Época, Materias(s): Administrativa, Tesis: 2a</w:t>
      </w:r>
      <w:proofErr w:type="gramStart"/>
      <w:r w:rsidRPr="00DE07D5">
        <w:rPr>
          <w:rFonts w:ascii="Arial" w:hAnsi="Arial" w:cs="Arial"/>
          <w:sz w:val="16"/>
        </w:rPr>
        <w:t>./</w:t>
      </w:r>
      <w:proofErr w:type="gramEnd"/>
      <w:r w:rsidRPr="00DE07D5">
        <w:rPr>
          <w:rFonts w:ascii="Arial" w:hAnsi="Arial" w:cs="Arial"/>
          <w:sz w:val="16"/>
        </w:rPr>
        <w:t>J. 115/2005, Fuente: Semanario Judicial de la Federación y su Gaceta. Tomo XXII, Septiembre de 2005, página 310, Tipo: Jurisprudencia</w:t>
      </w:r>
    </w:p>
    <w:p w:rsidR="003356D9" w:rsidRPr="00DE07D5" w:rsidRDefault="003356D9" w:rsidP="003356D9">
      <w:pPr>
        <w:pStyle w:val="Textonotapie"/>
      </w:pPr>
    </w:p>
  </w:footnote>
  <w:footnote w:id="8">
    <w:p w:rsidR="003356D9" w:rsidRPr="00110FD2" w:rsidRDefault="003356D9" w:rsidP="003356D9">
      <w:pPr>
        <w:pStyle w:val="Textonotapie"/>
        <w:jc w:val="both"/>
        <w:rPr>
          <w:rFonts w:ascii="Arial" w:hAnsi="Arial" w:cs="Arial"/>
        </w:rPr>
      </w:pPr>
      <w:r w:rsidRPr="00110FD2">
        <w:rPr>
          <w:rStyle w:val="Refdenotaalpie"/>
          <w:sz w:val="16"/>
        </w:rPr>
        <w:footnoteRef/>
      </w:r>
      <w:r w:rsidRPr="00110FD2">
        <w:rPr>
          <w:rFonts w:ascii="Arial" w:hAnsi="Arial" w:cs="Arial"/>
          <w:sz w:val="16"/>
        </w:rPr>
        <w:t xml:space="preserve"> </w:t>
      </w:r>
      <w:r w:rsidRPr="00110FD2">
        <w:rPr>
          <w:rFonts w:ascii="Arial" w:hAnsi="Arial" w:cs="Arial"/>
          <w:b/>
          <w:bCs/>
          <w:sz w:val="16"/>
        </w:rPr>
        <w:t xml:space="preserve">ARTÍCULO 250. </w:t>
      </w:r>
      <w:r w:rsidRPr="00110FD2">
        <w:rPr>
          <w:rFonts w:ascii="Arial" w:hAnsi="Arial" w:cs="Arial"/>
          <w:sz w:val="16"/>
        </w:rPr>
        <w:t>Se declarará que un acto administrativo es ilegal cuando se demuestre alguna de las siguientes causales</w:t>
      </w:r>
      <w:r w:rsidRPr="00110FD2">
        <w:rPr>
          <w:rFonts w:ascii="Arial" w:hAnsi="Arial" w:cs="Arial"/>
          <w:b/>
          <w:sz w:val="16"/>
        </w:rPr>
        <w:t xml:space="preserve">:  </w:t>
      </w:r>
      <w:r w:rsidRPr="00110FD2">
        <w:rPr>
          <w:rFonts w:ascii="Arial" w:hAnsi="Arial" w:cs="Arial"/>
          <w:b/>
          <w:bCs/>
          <w:sz w:val="16"/>
        </w:rPr>
        <w:t xml:space="preserve">I. </w:t>
      </w:r>
      <w:r w:rsidRPr="00110FD2">
        <w:rPr>
          <w:rFonts w:ascii="Arial" w:hAnsi="Arial" w:cs="Arial"/>
          <w:b/>
          <w:sz w:val="16"/>
        </w:rPr>
        <w:t>Incompetencia</w:t>
      </w:r>
      <w:r w:rsidRPr="00110FD2">
        <w:rPr>
          <w:rFonts w:ascii="Arial" w:hAnsi="Arial" w:cs="Arial"/>
          <w:sz w:val="16"/>
        </w:rPr>
        <w:t xml:space="preserve"> del funcionario que lo haya dictado u ordenado, o tramitado el procedimiento del que deriva dicha resolución;</w:t>
      </w:r>
    </w:p>
  </w:footnote>
  <w:footnote w:id="9">
    <w:p w:rsidR="003356D9" w:rsidRDefault="003356D9" w:rsidP="003356D9">
      <w:pPr>
        <w:pStyle w:val="Textonotapie"/>
        <w:jc w:val="both"/>
        <w:rPr>
          <w:rFonts w:ascii="Arial" w:hAnsi="Arial" w:cs="Arial"/>
          <w:sz w:val="16"/>
        </w:rPr>
      </w:pPr>
      <w:r>
        <w:rPr>
          <w:rStyle w:val="Refdenotaalpie"/>
        </w:rPr>
        <w:footnoteRef/>
      </w:r>
      <w:r>
        <w:t xml:space="preserve"> </w:t>
      </w:r>
      <w:r w:rsidRPr="008756F7">
        <w:rPr>
          <w:rFonts w:ascii="Arial" w:hAnsi="Arial" w:cs="Arial"/>
          <w:b/>
          <w:bCs/>
          <w:sz w:val="16"/>
        </w:rPr>
        <w:t>ARTÍCULO 251</w:t>
      </w:r>
      <w:r w:rsidRPr="008756F7">
        <w:rPr>
          <w:rFonts w:ascii="Arial" w:hAnsi="Arial" w:cs="Arial"/>
          <w:sz w:val="16"/>
        </w:rPr>
        <w:t xml:space="preserve">. </w:t>
      </w:r>
      <w:r w:rsidRPr="008756F7">
        <w:rPr>
          <w:rFonts w:ascii="Arial" w:hAnsi="Arial" w:cs="Arial"/>
          <w:b/>
          <w:sz w:val="16"/>
        </w:rPr>
        <w:t>Las sentencias definitivas deberán</w:t>
      </w:r>
      <w:r w:rsidRPr="008756F7">
        <w:rPr>
          <w:rFonts w:ascii="Arial" w:hAnsi="Arial" w:cs="Arial"/>
          <w:sz w:val="16"/>
        </w:rPr>
        <w:t xml:space="preserve"> reconocer total o parcialmente la legalidad y validez </w:t>
      </w:r>
      <w:r w:rsidRPr="008756F7">
        <w:rPr>
          <w:rFonts w:ascii="Arial" w:hAnsi="Arial" w:cs="Arial"/>
          <w:b/>
          <w:sz w:val="16"/>
        </w:rPr>
        <w:t>de la resolución o acto impugnado</w:t>
      </w:r>
      <w:r w:rsidRPr="008756F7">
        <w:rPr>
          <w:rFonts w:ascii="Arial" w:hAnsi="Arial" w:cs="Arial"/>
          <w:sz w:val="16"/>
        </w:rPr>
        <w:t xml:space="preserve">; </w:t>
      </w:r>
      <w:r w:rsidRPr="008756F7">
        <w:rPr>
          <w:rFonts w:ascii="Arial" w:hAnsi="Arial" w:cs="Arial"/>
          <w:b/>
          <w:sz w:val="16"/>
          <w:u w:val="single"/>
        </w:rPr>
        <w:t>declarar total o parcialmente la nulidad de los mismos</w:t>
      </w:r>
      <w:r w:rsidRPr="008756F7">
        <w:rPr>
          <w:rFonts w:ascii="Arial" w:hAnsi="Arial" w:cs="Arial"/>
          <w:sz w:val="16"/>
        </w:rPr>
        <w:t xml:space="preserve"> y de las consecuencias que de éstos se deriven, o decretar la nulidad del acto o resolución modificándolos para determinado efecto, debiendo precisar con claridad la forma y términos en que la autoridad debe cumplir, </w:t>
      </w:r>
      <w:r w:rsidRPr="008756F7">
        <w:rPr>
          <w:rFonts w:ascii="Arial" w:hAnsi="Arial" w:cs="Arial"/>
          <w:b/>
          <w:sz w:val="16"/>
          <w:u w:val="single"/>
        </w:rPr>
        <w:t>salvo cuando se trate de facultades discrecionales</w:t>
      </w:r>
      <w:r w:rsidRPr="008756F7">
        <w:rPr>
          <w:rFonts w:ascii="Arial" w:hAnsi="Arial" w:cs="Arial"/>
          <w:sz w:val="16"/>
        </w:rPr>
        <w:t>.</w:t>
      </w:r>
    </w:p>
    <w:p w:rsidR="003356D9" w:rsidRPr="0067314B" w:rsidRDefault="003356D9" w:rsidP="003356D9">
      <w:pPr>
        <w:autoSpaceDE w:val="0"/>
        <w:autoSpaceDN w:val="0"/>
        <w:adjustRightInd w:val="0"/>
        <w:spacing w:after="0" w:line="240" w:lineRule="auto"/>
        <w:jc w:val="both"/>
        <w:rPr>
          <w:rFonts w:ascii="Arial" w:hAnsi="Arial" w:cs="Arial"/>
          <w:color w:val="000000"/>
          <w:sz w:val="16"/>
          <w:szCs w:val="20"/>
        </w:rPr>
      </w:pPr>
      <w:r w:rsidRPr="0067314B">
        <w:rPr>
          <w:rFonts w:ascii="Arial" w:hAnsi="Arial" w:cs="Arial"/>
          <w:b/>
          <w:bCs/>
          <w:color w:val="000000"/>
          <w:sz w:val="16"/>
          <w:szCs w:val="20"/>
        </w:rPr>
        <w:t xml:space="preserve">ARTÍCULO 252. </w:t>
      </w:r>
      <w:r w:rsidRPr="0067314B">
        <w:rPr>
          <w:rFonts w:ascii="Arial" w:hAnsi="Arial" w:cs="Arial"/>
          <w:color w:val="000000"/>
          <w:sz w:val="16"/>
          <w:szCs w:val="20"/>
        </w:rPr>
        <w:t xml:space="preserve">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w:t>
      </w:r>
      <w:r>
        <w:rPr>
          <w:rFonts w:ascii="Arial" w:hAnsi="Arial" w:cs="Arial"/>
          <w:color w:val="000000"/>
          <w:sz w:val="16"/>
          <w:szCs w:val="20"/>
        </w:rPr>
        <w:t xml:space="preserve"> (…) </w:t>
      </w:r>
    </w:p>
    <w:p w:rsidR="003356D9" w:rsidRDefault="003356D9" w:rsidP="003356D9">
      <w:pPr>
        <w:autoSpaceDE w:val="0"/>
        <w:autoSpaceDN w:val="0"/>
        <w:adjustRightInd w:val="0"/>
        <w:spacing w:after="0" w:line="240" w:lineRule="auto"/>
        <w:jc w:val="both"/>
        <w:rPr>
          <w:rFonts w:ascii="Arial" w:hAnsi="Arial" w:cs="Arial"/>
          <w:color w:val="000000"/>
          <w:sz w:val="16"/>
          <w:szCs w:val="20"/>
        </w:rPr>
      </w:pPr>
    </w:p>
    <w:p w:rsidR="003356D9" w:rsidRPr="00D76A9A" w:rsidRDefault="003356D9" w:rsidP="003356D9">
      <w:pPr>
        <w:autoSpaceDE w:val="0"/>
        <w:autoSpaceDN w:val="0"/>
        <w:adjustRightInd w:val="0"/>
        <w:spacing w:after="0" w:line="240" w:lineRule="auto"/>
        <w:jc w:val="both"/>
        <w:rPr>
          <w:b/>
        </w:rPr>
      </w:pPr>
      <w:r w:rsidRPr="0067314B">
        <w:rPr>
          <w:rFonts w:ascii="Arial" w:hAnsi="Arial" w:cs="Arial"/>
          <w:b/>
          <w:color w:val="000000"/>
          <w:sz w:val="16"/>
          <w:szCs w:val="20"/>
          <w:u w:val="single"/>
        </w:rPr>
        <w:t>Cuando se decrete la nulidad de una resolución fiscal</w:t>
      </w:r>
      <w:r w:rsidRPr="0067314B">
        <w:rPr>
          <w:rFonts w:ascii="Arial" w:hAnsi="Arial" w:cs="Arial"/>
          <w:color w:val="000000"/>
          <w:sz w:val="16"/>
          <w:szCs w:val="20"/>
        </w:rPr>
        <w:t xml:space="preserve"> o administrativa </w:t>
      </w:r>
      <w:r w:rsidRPr="0067314B">
        <w:rPr>
          <w:rFonts w:ascii="Arial" w:hAnsi="Arial" w:cs="Arial"/>
          <w:b/>
          <w:color w:val="000000"/>
          <w:sz w:val="16"/>
          <w:szCs w:val="20"/>
        </w:rPr>
        <w:t xml:space="preserve">favorable a un particular quedará ésta sin efecto, quedando expeditos los derechos de las autoridades.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E5D" w:rsidRDefault="00E64E5D" w:rsidP="003B23C3">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E64E5D" w:rsidRPr="006C0427" w:rsidRDefault="00E64E5D" w:rsidP="003B23C3">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1F65D0">
      <w:rPr>
        <w:rStyle w:val="Nmerodepgina"/>
        <w:noProof/>
        <w:color w:val="FFFFFF"/>
      </w:rPr>
      <w:t>23</w:t>
    </w:r>
    <w:r w:rsidRPr="006C0427">
      <w:rPr>
        <w:rStyle w:val="Nmerodepgina"/>
        <w:color w:val="FFFFFF"/>
      </w:rPr>
      <w:fldChar w:fldCharType="end"/>
    </w:r>
    <w:bookmarkEnd w:id="1"/>
  </w:p>
  <w:p w:rsidR="00E64E5D" w:rsidRPr="00364AFE" w:rsidRDefault="00E64E5D" w:rsidP="003B23C3">
    <w:pPr>
      <w:pStyle w:val="Encabezado"/>
      <w:spacing w:after="0" w:line="240" w:lineRule="auto"/>
      <w:jc w:val="right"/>
      <w:rPr>
        <w:rFonts w:ascii="Arial Narrow" w:hAnsi="Arial Narrow"/>
      </w:rPr>
    </w:pPr>
    <w:r w:rsidRPr="00364AFE">
      <w:rPr>
        <w:rFonts w:ascii="Arial Narrow" w:hAnsi="Arial Narrow"/>
      </w:rPr>
      <w:t>F</w:t>
    </w:r>
    <w:r>
      <w:rPr>
        <w:rFonts w:ascii="Arial Narrow" w:hAnsi="Arial Narrow"/>
      </w:rPr>
      <w:t xml:space="preserve">oja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1F65D0">
      <w:rPr>
        <w:rFonts w:ascii="Arial Narrow" w:hAnsi="Arial Narrow"/>
        <w:noProof/>
      </w:rPr>
      <w:t>12</w:t>
    </w:r>
    <w:r w:rsidRPr="00364AFE">
      <w:rPr>
        <w:rFonts w:ascii="Arial Narrow" w:hAnsi="Arial Narrow"/>
      </w:rPr>
      <w:fldChar w:fldCharType="end"/>
    </w:r>
  </w:p>
  <w:p w:rsidR="00E64E5D" w:rsidRPr="00364AFE" w:rsidRDefault="00E64E5D" w:rsidP="003B23C3">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25185E12" wp14:editId="32DD93A9">
              <wp:simplePos x="0" y="0"/>
              <wp:positionH relativeFrom="column">
                <wp:posOffset>-1543685</wp:posOffset>
              </wp:positionH>
              <wp:positionV relativeFrom="paragraph">
                <wp:posOffset>138430</wp:posOffset>
              </wp:positionV>
              <wp:extent cx="1125855" cy="1712595"/>
              <wp:effectExtent l="0" t="0" r="0" b="190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64E5D" w:rsidRDefault="00E64E5D"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451E1BA" wp14:editId="144D7E5B">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64E5D" w:rsidRPr="00B23B9D" w:rsidRDefault="00E64E5D" w:rsidP="003B23C3">
                          <w:pPr>
                            <w:pStyle w:val="Sinespaciado"/>
                            <w:jc w:val="center"/>
                            <w:rPr>
                              <w:rFonts w:ascii="Microsoft Sans Serif" w:eastAsia="SimHei" w:hAnsi="Microsoft Sans Serif" w:cs="Microsoft Sans Serif"/>
                              <w:b/>
                              <w:sz w:val="14"/>
                              <w:szCs w:val="14"/>
                            </w:rPr>
                          </w:pPr>
                        </w:p>
                        <w:p w:rsidR="00E64E5D" w:rsidRPr="00B23B9D" w:rsidRDefault="00E64E5D"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" stroked="f">
              <v:textbox>
                <w:txbxContent>
                  <w:p w:rsidR="00E64E5D" w:rsidRDefault="00E64E5D"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451E1BA" wp14:editId="144D7E5B">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64E5D" w:rsidRPr="00B23B9D" w:rsidRDefault="00E64E5D" w:rsidP="003B23C3">
                    <w:pPr>
                      <w:pStyle w:val="Sinespaciado"/>
                      <w:jc w:val="center"/>
                      <w:rPr>
                        <w:rFonts w:ascii="Microsoft Sans Serif" w:eastAsia="SimHei" w:hAnsi="Microsoft Sans Serif" w:cs="Microsoft Sans Serif"/>
                        <w:b/>
                        <w:sz w:val="14"/>
                        <w:szCs w:val="14"/>
                      </w:rPr>
                    </w:pPr>
                  </w:p>
                  <w:p w:rsidR="00E64E5D" w:rsidRPr="00B23B9D" w:rsidRDefault="00E64E5D"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Exp.1</w:t>
    </w:r>
    <w:r w:rsidR="00DD5528">
      <w:rPr>
        <w:rFonts w:ascii="Arial Narrow" w:hAnsi="Arial Narrow"/>
      </w:rPr>
      <w:t>81</w:t>
    </w:r>
    <w:r>
      <w:rPr>
        <w:rFonts w:ascii="Arial Narrow" w:hAnsi="Arial Narrow"/>
      </w:rPr>
      <w:t>/20</w:t>
    </w:r>
    <w:r w:rsidR="0041217A">
      <w:rPr>
        <w:rFonts w:ascii="Arial Narrow" w:hAnsi="Arial Narrow"/>
      </w:rPr>
      <w:t>25</w:t>
    </w:r>
    <w:r w:rsidRPr="00364AFE">
      <w:rPr>
        <w:rFonts w:ascii="Arial Narrow" w:hAnsi="Arial Narrow"/>
      </w:rPr>
      <w:t>-</w:t>
    </w:r>
    <w:r>
      <w:rPr>
        <w:rFonts w:ascii="Arial Narrow" w:hAnsi="Arial Narrow"/>
      </w:rPr>
      <w:t>2</w:t>
    </w:r>
  </w:p>
  <w:p w:rsidR="00E64E5D" w:rsidRPr="00E47A61" w:rsidRDefault="00E64E5D" w:rsidP="003B23C3">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E5D" w:rsidRPr="004A456E" w:rsidRDefault="00E64E5D" w:rsidP="003B23C3">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97679EE" wp14:editId="5130A0DD">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64E5D" w:rsidRDefault="00E64E5D"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D4FA7D4" wp14:editId="33E638B2">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64E5D" w:rsidRPr="00B23B9D" w:rsidRDefault="00E64E5D" w:rsidP="003B23C3">
                          <w:pPr>
                            <w:pStyle w:val="Sinespaciado"/>
                            <w:jc w:val="center"/>
                            <w:rPr>
                              <w:rFonts w:ascii="Microsoft Sans Serif" w:eastAsia="SimHei" w:hAnsi="Microsoft Sans Serif" w:cs="Microsoft Sans Serif"/>
                              <w:b/>
                              <w:sz w:val="14"/>
                              <w:szCs w:val="14"/>
                            </w:rPr>
                          </w:pPr>
                        </w:p>
                        <w:p w:rsidR="00E64E5D" w:rsidRPr="00B23B9D" w:rsidRDefault="00E64E5D"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" stroked="f">
              <v:textbox>
                <w:txbxContent>
                  <w:p w:rsidR="00E64E5D" w:rsidRDefault="00E64E5D"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D4FA7D4" wp14:editId="33E638B2">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64E5D" w:rsidRPr="00B23B9D" w:rsidRDefault="00E64E5D"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64E5D" w:rsidRPr="00B23B9D" w:rsidRDefault="00E64E5D" w:rsidP="003B23C3">
                    <w:pPr>
                      <w:pStyle w:val="Sinespaciado"/>
                      <w:jc w:val="center"/>
                      <w:rPr>
                        <w:rFonts w:ascii="Microsoft Sans Serif" w:eastAsia="SimHei" w:hAnsi="Microsoft Sans Serif" w:cs="Microsoft Sans Serif"/>
                        <w:b/>
                        <w:sz w:val="14"/>
                        <w:szCs w:val="14"/>
                      </w:rPr>
                    </w:pPr>
                  </w:p>
                  <w:p w:rsidR="00E64E5D" w:rsidRPr="00B23B9D" w:rsidRDefault="00E64E5D"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BE6630"/>
    <w:multiLevelType w:val="hybridMultilevel"/>
    <w:tmpl w:val="3B12AC3C"/>
    <w:lvl w:ilvl="0" w:tplc="19B0FA1C">
      <w:start w:val="1"/>
      <w:numFmt w:val="upperRoman"/>
      <w:lvlText w:val="%1."/>
      <w:lvlJc w:val="left"/>
      <w:pPr>
        <w:ind w:left="1570" w:hanging="720"/>
      </w:pPr>
      <w:rPr>
        <w:rFonts w:hint="default"/>
        <w:b/>
      </w:rPr>
    </w:lvl>
    <w:lvl w:ilvl="1" w:tplc="080A0019" w:tentative="1">
      <w:start w:val="1"/>
      <w:numFmt w:val="lowerLetter"/>
      <w:lvlText w:val="%2."/>
      <w:lvlJc w:val="left"/>
      <w:pPr>
        <w:ind w:left="1930" w:hanging="360"/>
      </w:pPr>
    </w:lvl>
    <w:lvl w:ilvl="2" w:tplc="080A001B" w:tentative="1">
      <w:start w:val="1"/>
      <w:numFmt w:val="lowerRoman"/>
      <w:lvlText w:val="%3."/>
      <w:lvlJc w:val="right"/>
      <w:pPr>
        <w:ind w:left="2650" w:hanging="180"/>
      </w:pPr>
    </w:lvl>
    <w:lvl w:ilvl="3" w:tplc="080A000F" w:tentative="1">
      <w:start w:val="1"/>
      <w:numFmt w:val="decimal"/>
      <w:lvlText w:val="%4."/>
      <w:lvlJc w:val="left"/>
      <w:pPr>
        <w:ind w:left="3370" w:hanging="360"/>
      </w:pPr>
    </w:lvl>
    <w:lvl w:ilvl="4" w:tplc="080A0019" w:tentative="1">
      <w:start w:val="1"/>
      <w:numFmt w:val="lowerLetter"/>
      <w:lvlText w:val="%5."/>
      <w:lvlJc w:val="left"/>
      <w:pPr>
        <w:ind w:left="4090" w:hanging="360"/>
      </w:pPr>
    </w:lvl>
    <w:lvl w:ilvl="5" w:tplc="080A001B" w:tentative="1">
      <w:start w:val="1"/>
      <w:numFmt w:val="lowerRoman"/>
      <w:lvlText w:val="%6."/>
      <w:lvlJc w:val="right"/>
      <w:pPr>
        <w:ind w:left="4810" w:hanging="180"/>
      </w:pPr>
    </w:lvl>
    <w:lvl w:ilvl="6" w:tplc="080A000F" w:tentative="1">
      <w:start w:val="1"/>
      <w:numFmt w:val="decimal"/>
      <w:lvlText w:val="%7."/>
      <w:lvlJc w:val="left"/>
      <w:pPr>
        <w:ind w:left="5530" w:hanging="360"/>
      </w:pPr>
    </w:lvl>
    <w:lvl w:ilvl="7" w:tplc="080A0019" w:tentative="1">
      <w:start w:val="1"/>
      <w:numFmt w:val="lowerLetter"/>
      <w:lvlText w:val="%8."/>
      <w:lvlJc w:val="left"/>
      <w:pPr>
        <w:ind w:left="6250" w:hanging="360"/>
      </w:pPr>
    </w:lvl>
    <w:lvl w:ilvl="8" w:tplc="080A001B" w:tentative="1">
      <w:start w:val="1"/>
      <w:numFmt w:val="lowerRoman"/>
      <w:lvlText w:val="%9."/>
      <w:lvlJc w:val="right"/>
      <w:pPr>
        <w:ind w:left="6970" w:hanging="180"/>
      </w:pPr>
    </w:lvl>
  </w:abstractNum>
  <w:abstractNum w:abstractNumId="1">
    <w:nsid w:val="1E9F721D"/>
    <w:multiLevelType w:val="hybridMultilevel"/>
    <w:tmpl w:val="2388A0E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21B603C7"/>
    <w:multiLevelType w:val="hybridMultilevel"/>
    <w:tmpl w:val="300C98F0"/>
    <w:lvl w:ilvl="0" w:tplc="094E3B2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23204D37"/>
    <w:multiLevelType w:val="hybridMultilevel"/>
    <w:tmpl w:val="0E3ED8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33BA207B"/>
    <w:multiLevelType w:val="hybridMultilevel"/>
    <w:tmpl w:val="A260AA9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35FF3FF3"/>
    <w:multiLevelType w:val="hybridMultilevel"/>
    <w:tmpl w:val="2108B8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4B7467E1"/>
    <w:multiLevelType w:val="hybridMultilevel"/>
    <w:tmpl w:val="59903C3E"/>
    <w:lvl w:ilvl="0" w:tplc="34483BFA">
      <w:start w:val="1"/>
      <w:numFmt w:val="lowerLetter"/>
      <w:lvlText w:val="%1)"/>
      <w:lvlJc w:val="left"/>
      <w:pPr>
        <w:ind w:left="1128" w:hanging="4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8">
    <w:nsid w:val="6167756D"/>
    <w:multiLevelType w:val="hybridMultilevel"/>
    <w:tmpl w:val="085881E0"/>
    <w:lvl w:ilvl="0" w:tplc="FDF2F3A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0"/>
  </w:num>
  <w:num w:numId="4">
    <w:abstractNumId w:val="2"/>
  </w:num>
  <w:num w:numId="5">
    <w:abstractNumId w:val="1"/>
  </w:num>
  <w:num w:numId="6">
    <w:abstractNumId w:val="9"/>
  </w:num>
  <w:num w:numId="7">
    <w:abstractNumId w:val="7"/>
  </w:num>
  <w:num w:numId="8">
    <w:abstractNumId w:val="8"/>
  </w:num>
  <w:num w:numId="9">
    <w:abstractNumId w:val="6"/>
  </w:num>
  <w:num w:numId="10">
    <w:abstractNumId w:val="4"/>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22"/>
    <w:rsid w:val="000042C5"/>
    <w:rsid w:val="00004D68"/>
    <w:rsid w:val="000054D9"/>
    <w:rsid w:val="0000600D"/>
    <w:rsid w:val="000075F1"/>
    <w:rsid w:val="000115B1"/>
    <w:rsid w:val="000150D4"/>
    <w:rsid w:val="00015D06"/>
    <w:rsid w:val="00022C2C"/>
    <w:rsid w:val="00032862"/>
    <w:rsid w:val="00037294"/>
    <w:rsid w:val="00043119"/>
    <w:rsid w:val="00047125"/>
    <w:rsid w:val="000519EC"/>
    <w:rsid w:val="00060DD6"/>
    <w:rsid w:val="000623A0"/>
    <w:rsid w:val="00064F56"/>
    <w:rsid w:val="00076C69"/>
    <w:rsid w:val="000805D6"/>
    <w:rsid w:val="000820DC"/>
    <w:rsid w:val="00086D71"/>
    <w:rsid w:val="000907CD"/>
    <w:rsid w:val="0009111C"/>
    <w:rsid w:val="00097C09"/>
    <w:rsid w:val="000A318E"/>
    <w:rsid w:val="000B2250"/>
    <w:rsid w:val="000B2E7A"/>
    <w:rsid w:val="000B4F7A"/>
    <w:rsid w:val="000B61B8"/>
    <w:rsid w:val="000D1A18"/>
    <w:rsid w:val="000D2BDE"/>
    <w:rsid w:val="000E5A75"/>
    <w:rsid w:val="000E5B06"/>
    <w:rsid w:val="000F6686"/>
    <w:rsid w:val="000F6783"/>
    <w:rsid w:val="000F7E36"/>
    <w:rsid w:val="00102688"/>
    <w:rsid w:val="00103E23"/>
    <w:rsid w:val="00112A26"/>
    <w:rsid w:val="001136C6"/>
    <w:rsid w:val="00113D6F"/>
    <w:rsid w:val="00120A08"/>
    <w:rsid w:val="00126C9E"/>
    <w:rsid w:val="001324B8"/>
    <w:rsid w:val="00140D08"/>
    <w:rsid w:val="0014125F"/>
    <w:rsid w:val="0014186E"/>
    <w:rsid w:val="00144B8C"/>
    <w:rsid w:val="0014508F"/>
    <w:rsid w:val="0014604A"/>
    <w:rsid w:val="0015047B"/>
    <w:rsid w:val="00150BDE"/>
    <w:rsid w:val="00155FAA"/>
    <w:rsid w:val="001573D8"/>
    <w:rsid w:val="0016179C"/>
    <w:rsid w:val="0016272B"/>
    <w:rsid w:val="00163A7A"/>
    <w:rsid w:val="00167194"/>
    <w:rsid w:val="001726A7"/>
    <w:rsid w:val="00176CBA"/>
    <w:rsid w:val="00182334"/>
    <w:rsid w:val="00186961"/>
    <w:rsid w:val="00186BD5"/>
    <w:rsid w:val="00190243"/>
    <w:rsid w:val="00191DC4"/>
    <w:rsid w:val="001956AD"/>
    <w:rsid w:val="00196068"/>
    <w:rsid w:val="001A4EB3"/>
    <w:rsid w:val="001A52DF"/>
    <w:rsid w:val="001C0C53"/>
    <w:rsid w:val="001C5863"/>
    <w:rsid w:val="001C7993"/>
    <w:rsid w:val="001D0794"/>
    <w:rsid w:val="001D45F6"/>
    <w:rsid w:val="001E42BE"/>
    <w:rsid w:val="001E702E"/>
    <w:rsid w:val="001F0294"/>
    <w:rsid w:val="001F0E0C"/>
    <w:rsid w:val="001F36DD"/>
    <w:rsid w:val="001F4137"/>
    <w:rsid w:val="001F65D0"/>
    <w:rsid w:val="001F7852"/>
    <w:rsid w:val="00201A5A"/>
    <w:rsid w:val="0020740C"/>
    <w:rsid w:val="0021128C"/>
    <w:rsid w:val="0021241E"/>
    <w:rsid w:val="002143D1"/>
    <w:rsid w:val="002208AE"/>
    <w:rsid w:val="002212AE"/>
    <w:rsid w:val="00222BC0"/>
    <w:rsid w:val="002248DC"/>
    <w:rsid w:val="00225038"/>
    <w:rsid w:val="00225F6B"/>
    <w:rsid w:val="0023577A"/>
    <w:rsid w:val="00241B64"/>
    <w:rsid w:val="00246119"/>
    <w:rsid w:val="00261BA6"/>
    <w:rsid w:val="0027476A"/>
    <w:rsid w:val="00276C70"/>
    <w:rsid w:val="0028073E"/>
    <w:rsid w:val="00282F5A"/>
    <w:rsid w:val="002842E4"/>
    <w:rsid w:val="0028490A"/>
    <w:rsid w:val="00287356"/>
    <w:rsid w:val="00290A40"/>
    <w:rsid w:val="0029423E"/>
    <w:rsid w:val="002969C5"/>
    <w:rsid w:val="002A0D03"/>
    <w:rsid w:val="002A2210"/>
    <w:rsid w:val="002A40C3"/>
    <w:rsid w:val="002A584E"/>
    <w:rsid w:val="002A69CF"/>
    <w:rsid w:val="002B0F3B"/>
    <w:rsid w:val="002B4777"/>
    <w:rsid w:val="002B56E0"/>
    <w:rsid w:val="002B571A"/>
    <w:rsid w:val="002B5EC5"/>
    <w:rsid w:val="002C41DE"/>
    <w:rsid w:val="002C5F00"/>
    <w:rsid w:val="002C71E2"/>
    <w:rsid w:val="002D1970"/>
    <w:rsid w:val="002D465D"/>
    <w:rsid w:val="002D7E4C"/>
    <w:rsid w:val="002E0806"/>
    <w:rsid w:val="002E5CC5"/>
    <w:rsid w:val="002E5EBC"/>
    <w:rsid w:val="002F1399"/>
    <w:rsid w:val="002F4948"/>
    <w:rsid w:val="002F5F95"/>
    <w:rsid w:val="00304983"/>
    <w:rsid w:val="003062C9"/>
    <w:rsid w:val="00313241"/>
    <w:rsid w:val="003144A4"/>
    <w:rsid w:val="0031644E"/>
    <w:rsid w:val="00320F1C"/>
    <w:rsid w:val="00325DE2"/>
    <w:rsid w:val="00327F06"/>
    <w:rsid w:val="00331402"/>
    <w:rsid w:val="00331FFE"/>
    <w:rsid w:val="003353E7"/>
    <w:rsid w:val="003356D9"/>
    <w:rsid w:val="00336E58"/>
    <w:rsid w:val="00343154"/>
    <w:rsid w:val="003439CF"/>
    <w:rsid w:val="00344DAA"/>
    <w:rsid w:val="00352704"/>
    <w:rsid w:val="0036356F"/>
    <w:rsid w:val="003663B8"/>
    <w:rsid w:val="003708CF"/>
    <w:rsid w:val="00370F14"/>
    <w:rsid w:val="003730DE"/>
    <w:rsid w:val="003763D8"/>
    <w:rsid w:val="0037722C"/>
    <w:rsid w:val="003832EF"/>
    <w:rsid w:val="00387EEF"/>
    <w:rsid w:val="003A00AB"/>
    <w:rsid w:val="003A5F97"/>
    <w:rsid w:val="003A6407"/>
    <w:rsid w:val="003B23C3"/>
    <w:rsid w:val="003C269E"/>
    <w:rsid w:val="003E166F"/>
    <w:rsid w:val="003E45C6"/>
    <w:rsid w:val="004004B2"/>
    <w:rsid w:val="00403663"/>
    <w:rsid w:val="00405200"/>
    <w:rsid w:val="004074D9"/>
    <w:rsid w:val="0041217A"/>
    <w:rsid w:val="00412C3F"/>
    <w:rsid w:val="00412E8B"/>
    <w:rsid w:val="00413CBB"/>
    <w:rsid w:val="0041627D"/>
    <w:rsid w:val="004204E3"/>
    <w:rsid w:val="00420B46"/>
    <w:rsid w:val="00423CA0"/>
    <w:rsid w:val="00424C5A"/>
    <w:rsid w:val="00426FA6"/>
    <w:rsid w:val="0043228C"/>
    <w:rsid w:val="004338F8"/>
    <w:rsid w:val="00437F82"/>
    <w:rsid w:val="004410DA"/>
    <w:rsid w:val="00441B94"/>
    <w:rsid w:val="00442183"/>
    <w:rsid w:val="00444EDC"/>
    <w:rsid w:val="00450DDD"/>
    <w:rsid w:val="0045259F"/>
    <w:rsid w:val="0045261B"/>
    <w:rsid w:val="00453FB0"/>
    <w:rsid w:val="004541ED"/>
    <w:rsid w:val="00457129"/>
    <w:rsid w:val="00460F0B"/>
    <w:rsid w:val="004616A4"/>
    <w:rsid w:val="004635C1"/>
    <w:rsid w:val="00472B80"/>
    <w:rsid w:val="004743E0"/>
    <w:rsid w:val="00474C9E"/>
    <w:rsid w:val="00475238"/>
    <w:rsid w:val="004852E7"/>
    <w:rsid w:val="004900DC"/>
    <w:rsid w:val="0049179B"/>
    <w:rsid w:val="00492730"/>
    <w:rsid w:val="00495CA7"/>
    <w:rsid w:val="004A19A0"/>
    <w:rsid w:val="004A1A6F"/>
    <w:rsid w:val="004B0771"/>
    <w:rsid w:val="004B3F27"/>
    <w:rsid w:val="004B44BE"/>
    <w:rsid w:val="004C4412"/>
    <w:rsid w:val="004D61ED"/>
    <w:rsid w:val="004E2C17"/>
    <w:rsid w:val="004E3A18"/>
    <w:rsid w:val="004E3F60"/>
    <w:rsid w:val="004E45E6"/>
    <w:rsid w:val="004E613A"/>
    <w:rsid w:val="004F02B2"/>
    <w:rsid w:val="004F1D3F"/>
    <w:rsid w:val="004F2D25"/>
    <w:rsid w:val="0050055B"/>
    <w:rsid w:val="00501C0D"/>
    <w:rsid w:val="0050667C"/>
    <w:rsid w:val="0050757C"/>
    <w:rsid w:val="005121CA"/>
    <w:rsid w:val="00523E52"/>
    <w:rsid w:val="005267B8"/>
    <w:rsid w:val="0053440F"/>
    <w:rsid w:val="00535221"/>
    <w:rsid w:val="00540806"/>
    <w:rsid w:val="005412FE"/>
    <w:rsid w:val="00541543"/>
    <w:rsid w:val="00542517"/>
    <w:rsid w:val="0054389D"/>
    <w:rsid w:val="0054451C"/>
    <w:rsid w:val="00545E10"/>
    <w:rsid w:val="005511AF"/>
    <w:rsid w:val="00551454"/>
    <w:rsid w:val="005569C9"/>
    <w:rsid w:val="005612A7"/>
    <w:rsid w:val="00563911"/>
    <w:rsid w:val="005657BD"/>
    <w:rsid w:val="00570952"/>
    <w:rsid w:val="00570EE4"/>
    <w:rsid w:val="00574AA5"/>
    <w:rsid w:val="0057516A"/>
    <w:rsid w:val="005766E0"/>
    <w:rsid w:val="00582170"/>
    <w:rsid w:val="00583C8F"/>
    <w:rsid w:val="00584B47"/>
    <w:rsid w:val="00585190"/>
    <w:rsid w:val="005879B2"/>
    <w:rsid w:val="00590A56"/>
    <w:rsid w:val="0059360E"/>
    <w:rsid w:val="005A0D07"/>
    <w:rsid w:val="005A3728"/>
    <w:rsid w:val="005C1439"/>
    <w:rsid w:val="005C31FF"/>
    <w:rsid w:val="005C3A85"/>
    <w:rsid w:val="005D46FC"/>
    <w:rsid w:val="005E000B"/>
    <w:rsid w:val="005E6707"/>
    <w:rsid w:val="005F52D4"/>
    <w:rsid w:val="005F6842"/>
    <w:rsid w:val="006001EB"/>
    <w:rsid w:val="0060102E"/>
    <w:rsid w:val="00607941"/>
    <w:rsid w:val="00616561"/>
    <w:rsid w:val="00617F55"/>
    <w:rsid w:val="00620C86"/>
    <w:rsid w:val="00622DC5"/>
    <w:rsid w:val="006269EC"/>
    <w:rsid w:val="00627595"/>
    <w:rsid w:val="00642F38"/>
    <w:rsid w:val="00643090"/>
    <w:rsid w:val="00651210"/>
    <w:rsid w:val="00653A2B"/>
    <w:rsid w:val="00654B78"/>
    <w:rsid w:val="006608C3"/>
    <w:rsid w:val="0066183C"/>
    <w:rsid w:val="00664E4E"/>
    <w:rsid w:val="00666CAE"/>
    <w:rsid w:val="00677857"/>
    <w:rsid w:val="0068333B"/>
    <w:rsid w:val="00686130"/>
    <w:rsid w:val="006867CD"/>
    <w:rsid w:val="00695611"/>
    <w:rsid w:val="006976E6"/>
    <w:rsid w:val="006A3BF5"/>
    <w:rsid w:val="006A6123"/>
    <w:rsid w:val="006B2A8B"/>
    <w:rsid w:val="006B2C60"/>
    <w:rsid w:val="006B3BC7"/>
    <w:rsid w:val="006C205D"/>
    <w:rsid w:val="006C2750"/>
    <w:rsid w:val="006C3B56"/>
    <w:rsid w:val="006D0B6B"/>
    <w:rsid w:val="006D3034"/>
    <w:rsid w:val="006E0039"/>
    <w:rsid w:val="006E0FA0"/>
    <w:rsid w:val="006E49F4"/>
    <w:rsid w:val="006E525E"/>
    <w:rsid w:val="006F15E8"/>
    <w:rsid w:val="006F1C3C"/>
    <w:rsid w:val="006F2091"/>
    <w:rsid w:val="006F7BE1"/>
    <w:rsid w:val="00703D56"/>
    <w:rsid w:val="00704ABA"/>
    <w:rsid w:val="0070511D"/>
    <w:rsid w:val="0070517D"/>
    <w:rsid w:val="00715A1B"/>
    <w:rsid w:val="00716470"/>
    <w:rsid w:val="00722385"/>
    <w:rsid w:val="00723764"/>
    <w:rsid w:val="00723E76"/>
    <w:rsid w:val="00727E3B"/>
    <w:rsid w:val="00730241"/>
    <w:rsid w:val="00730A68"/>
    <w:rsid w:val="00731BB6"/>
    <w:rsid w:val="007341ED"/>
    <w:rsid w:val="00734676"/>
    <w:rsid w:val="0074393F"/>
    <w:rsid w:val="00745AF0"/>
    <w:rsid w:val="00746D6D"/>
    <w:rsid w:val="00753CEB"/>
    <w:rsid w:val="00757A4B"/>
    <w:rsid w:val="007637C4"/>
    <w:rsid w:val="00764B22"/>
    <w:rsid w:val="00767567"/>
    <w:rsid w:val="00770FD2"/>
    <w:rsid w:val="0077168A"/>
    <w:rsid w:val="00773835"/>
    <w:rsid w:val="00775977"/>
    <w:rsid w:val="00775CCC"/>
    <w:rsid w:val="00777CDA"/>
    <w:rsid w:val="0078334A"/>
    <w:rsid w:val="00790CBB"/>
    <w:rsid w:val="0079755F"/>
    <w:rsid w:val="007A3BCD"/>
    <w:rsid w:val="007A5640"/>
    <w:rsid w:val="007A7250"/>
    <w:rsid w:val="007B3278"/>
    <w:rsid w:val="007B5677"/>
    <w:rsid w:val="007B7E8F"/>
    <w:rsid w:val="007C0F8A"/>
    <w:rsid w:val="007C1EA6"/>
    <w:rsid w:val="007C66E3"/>
    <w:rsid w:val="007C71B4"/>
    <w:rsid w:val="007D1397"/>
    <w:rsid w:val="007D4529"/>
    <w:rsid w:val="007D725E"/>
    <w:rsid w:val="007E00B7"/>
    <w:rsid w:val="007F3F56"/>
    <w:rsid w:val="0080348E"/>
    <w:rsid w:val="00805B3A"/>
    <w:rsid w:val="00810287"/>
    <w:rsid w:val="00810A01"/>
    <w:rsid w:val="00811040"/>
    <w:rsid w:val="00815293"/>
    <w:rsid w:val="00822D6A"/>
    <w:rsid w:val="00823365"/>
    <w:rsid w:val="00824E03"/>
    <w:rsid w:val="00830BDC"/>
    <w:rsid w:val="00833506"/>
    <w:rsid w:val="00834368"/>
    <w:rsid w:val="00834546"/>
    <w:rsid w:val="00843095"/>
    <w:rsid w:val="00846787"/>
    <w:rsid w:val="00850B76"/>
    <w:rsid w:val="00851A92"/>
    <w:rsid w:val="00851FB1"/>
    <w:rsid w:val="00852ACB"/>
    <w:rsid w:val="00856FC5"/>
    <w:rsid w:val="0086138D"/>
    <w:rsid w:val="00867C4D"/>
    <w:rsid w:val="00873C43"/>
    <w:rsid w:val="00876F62"/>
    <w:rsid w:val="00880DC2"/>
    <w:rsid w:val="008A44A0"/>
    <w:rsid w:val="008A5276"/>
    <w:rsid w:val="008A7D6F"/>
    <w:rsid w:val="008B2DAC"/>
    <w:rsid w:val="008B3541"/>
    <w:rsid w:val="008B456D"/>
    <w:rsid w:val="008C0E16"/>
    <w:rsid w:val="008C404E"/>
    <w:rsid w:val="008D026A"/>
    <w:rsid w:val="008D0C5F"/>
    <w:rsid w:val="008D4D80"/>
    <w:rsid w:val="008D6703"/>
    <w:rsid w:val="008E360F"/>
    <w:rsid w:val="008E5E10"/>
    <w:rsid w:val="008F0E51"/>
    <w:rsid w:val="008F2853"/>
    <w:rsid w:val="008F4DC9"/>
    <w:rsid w:val="008F690E"/>
    <w:rsid w:val="009014D3"/>
    <w:rsid w:val="0090502E"/>
    <w:rsid w:val="00915749"/>
    <w:rsid w:val="00916EDA"/>
    <w:rsid w:val="00917224"/>
    <w:rsid w:val="00920FD4"/>
    <w:rsid w:val="0092105F"/>
    <w:rsid w:val="009219BE"/>
    <w:rsid w:val="0092664E"/>
    <w:rsid w:val="00931A93"/>
    <w:rsid w:val="00945CA1"/>
    <w:rsid w:val="00945E7B"/>
    <w:rsid w:val="00950C14"/>
    <w:rsid w:val="00961AF5"/>
    <w:rsid w:val="00961AF6"/>
    <w:rsid w:val="00965436"/>
    <w:rsid w:val="009675F0"/>
    <w:rsid w:val="00973F50"/>
    <w:rsid w:val="00980DAC"/>
    <w:rsid w:val="009816AA"/>
    <w:rsid w:val="00982F5D"/>
    <w:rsid w:val="009853F5"/>
    <w:rsid w:val="009901F4"/>
    <w:rsid w:val="0099301E"/>
    <w:rsid w:val="009A41EE"/>
    <w:rsid w:val="009A743E"/>
    <w:rsid w:val="009B0ABF"/>
    <w:rsid w:val="009B2F85"/>
    <w:rsid w:val="009B381F"/>
    <w:rsid w:val="009B4CA4"/>
    <w:rsid w:val="009B564F"/>
    <w:rsid w:val="009B639F"/>
    <w:rsid w:val="009B7360"/>
    <w:rsid w:val="009B74D6"/>
    <w:rsid w:val="009B7CF6"/>
    <w:rsid w:val="009C1802"/>
    <w:rsid w:val="009C2819"/>
    <w:rsid w:val="009C47FC"/>
    <w:rsid w:val="009C6C49"/>
    <w:rsid w:val="009D33F1"/>
    <w:rsid w:val="009E0CD3"/>
    <w:rsid w:val="009E3035"/>
    <w:rsid w:val="009F11C1"/>
    <w:rsid w:val="009F2426"/>
    <w:rsid w:val="009F7B61"/>
    <w:rsid w:val="00A020F0"/>
    <w:rsid w:val="00A0322B"/>
    <w:rsid w:val="00A076CF"/>
    <w:rsid w:val="00A12B55"/>
    <w:rsid w:val="00A13543"/>
    <w:rsid w:val="00A1407F"/>
    <w:rsid w:val="00A21497"/>
    <w:rsid w:val="00A22E7C"/>
    <w:rsid w:val="00A24180"/>
    <w:rsid w:val="00A3034D"/>
    <w:rsid w:val="00A30533"/>
    <w:rsid w:val="00A37B01"/>
    <w:rsid w:val="00A402B7"/>
    <w:rsid w:val="00A51F18"/>
    <w:rsid w:val="00A55265"/>
    <w:rsid w:val="00A55515"/>
    <w:rsid w:val="00A56D8A"/>
    <w:rsid w:val="00A66C58"/>
    <w:rsid w:val="00A67F86"/>
    <w:rsid w:val="00A77C62"/>
    <w:rsid w:val="00A8013A"/>
    <w:rsid w:val="00A93AA3"/>
    <w:rsid w:val="00A94B57"/>
    <w:rsid w:val="00A961EA"/>
    <w:rsid w:val="00AA094E"/>
    <w:rsid w:val="00AA1E55"/>
    <w:rsid w:val="00AC0969"/>
    <w:rsid w:val="00AD2AA5"/>
    <w:rsid w:val="00AD5ACA"/>
    <w:rsid w:val="00AE09F2"/>
    <w:rsid w:val="00AE1B65"/>
    <w:rsid w:val="00AE1D46"/>
    <w:rsid w:val="00AE4415"/>
    <w:rsid w:val="00AF77C0"/>
    <w:rsid w:val="00B00308"/>
    <w:rsid w:val="00B03CDF"/>
    <w:rsid w:val="00B13888"/>
    <w:rsid w:val="00B150AB"/>
    <w:rsid w:val="00B15270"/>
    <w:rsid w:val="00B17823"/>
    <w:rsid w:val="00B253A1"/>
    <w:rsid w:val="00B31146"/>
    <w:rsid w:val="00B31E65"/>
    <w:rsid w:val="00B3386C"/>
    <w:rsid w:val="00B34234"/>
    <w:rsid w:val="00B3490C"/>
    <w:rsid w:val="00B421FA"/>
    <w:rsid w:val="00B425AC"/>
    <w:rsid w:val="00B42D61"/>
    <w:rsid w:val="00B440D1"/>
    <w:rsid w:val="00B53116"/>
    <w:rsid w:val="00B54021"/>
    <w:rsid w:val="00B61BA0"/>
    <w:rsid w:val="00B62609"/>
    <w:rsid w:val="00B63173"/>
    <w:rsid w:val="00B66A19"/>
    <w:rsid w:val="00B67C1C"/>
    <w:rsid w:val="00B7376D"/>
    <w:rsid w:val="00B744F4"/>
    <w:rsid w:val="00B8414E"/>
    <w:rsid w:val="00B875EA"/>
    <w:rsid w:val="00BA3203"/>
    <w:rsid w:val="00BA3D4B"/>
    <w:rsid w:val="00BA47A1"/>
    <w:rsid w:val="00BA534F"/>
    <w:rsid w:val="00BA585F"/>
    <w:rsid w:val="00BA6583"/>
    <w:rsid w:val="00BB10A4"/>
    <w:rsid w:val="00BB2EED"/>
    <w:rsid w:val="00BB5FC9"/>
    <w:rsid w:val="00BB6AB3"/>
    <w:rsid w:val="00BD311C"/>
    <w:rsid w:val="00BD4D52"/>
    <w:rsid w:val="00BD50AA"/>
    <w:rsid w:val="00BE2AAF"/>
    <w:rsid w:val="00BE3A82"/>
    <w:rsid w:val="00BF0E94"/>
    <w:rsid w:val="00BF1A25"/>
    <w:rsid w:val="00BF3FDA"/>
    <w:rsid w:val="00C00D87"/>
    <w:rsid w:val="00C04DB3"/>
    <w:rsid w:val="00C05204"/>
    <w:rsid w:val="00C06A89"/>
    <w:rsid w:val="00C1608C"/>
    <w:rsid w:val="00C2194E"/>
    <w:rsid w:val="00C21B30"/>
    <w:rsid w:val="00C23701"/>
    <w:rsid w:val="00C2374C"/>
    <w:rsid w:val="00C24B52"/>
    <w:rsid w:val="00C26CE4"/>
    <w:rsid w:val="00C272AE"/>
    <w:rsid w:val="00C279F0"/>
    <w:rsid w:val="00C27A36"/>
    <w:rsid w:val="00C326E0"/>
    <w:rsid w:val="00C35803"/>
    <w:rsid w:val="00C368F1"/>
    <w:rsid w:val="00C4001D"/>
    <w:rsid w:val="00C44A80"/>
    <w:rsid w:val="00C50DF2"/>
    <w:rsid w:val="00C630A6"/>
    <w:rsid w:val="00C63D74"/>
    <w:rsid w:val="00C674FC"/>
    <w:rsid w:val="00C843EC"/>
    <w:rsid w:val="00C908DC"/>
    <w:rsid w:val="00C90A3A"/>
    <w:rsid w:val="00C90DAF"/>
    <w:rsid w:val="00C96107"/>
    <w:rsid w:val="00CA0A22"/>
    <w:rsid w:val="00CA2C00"/>
    <w:rsid w:val="00CB2A0E"/>
    <w:rsid w:val="00CB3D82"/>
    <w:rsid w:val="00CB6DA8"/>
    <w:rsid w:val="00CC0F6C"/>
    <w:rsid w:val="00CE3DD0"/>
    <w:rsid w:val="00CE532A"/>
    <w:rsid w:val="00CE783F"/>
    <w:rsid w:val="00CF3227"/>
    <w:rsid w:val="00D04803"/>
    <w:rsid w:val="00D053C5"/>
    <w:rsid w:val="00D10BAD"/>
    <w:rsid w:val="00D1695B"/>
    <w:rsid w:val="00D2407C"/>
    <w:rsid w:val="00D30EDF"/>
    <w:rsid w:val="00D33D1E"/>
    <w:rsid w:val="00D33FDB"/>
    <w:rsid w:val="00D34736"/>
    <w:rsid w:val="00D40611"/>
    <w:rsid w:val="00D413C5"/>
    <w:rsid w:val="00D41A31"/>
    <w:rsid w:val="00D4573C"/>
    <w:rsid w:val="00D503B8"/>
    <w:rsid w:val="00D6491D"/>
    <w:rsid w:val="00D6504B"/>
    <w:rsid w:val="00D6763D"/>
    <w:rsid w:val="00D72118"/>
    <w:rsid w:val="00D8618C"/>
    <w:rsid w:val="00D864F3"/>
    <w:rsid w:val="00D865FA"/>
    <w:rsid w:val="00D87AB3"/>
    <w:rsid w:val="00D93813"/>
    <w:rsid w:val="00DA1117"/>
    <w:rsid w:val="00DA587C"/>
    <w:rsid w:val="00DA5E88"/>
    <w:rsid w:val="00DA714A"/>
    <w:rsid w:val="00DB0136"/>
    <w:rsid w:val="00DB1E90"/>
    <w:rsid w:val="00DB7366"/>
    <w:rsid w:val="00DC43BF"/>
    <w:rsid w:val="00DC4F9D"/>
    <w:rsid w:val="00DC5136"/>
    <w:rsid w:val="00DD450A"/>
    <w:rsid w:val="00DD5528"/>
    <w:rsid w:val="00DD7EC9"/>
    <w:rsid w:val="00DE4B43"/>
    <w:rsid w:val="00DE6F76"/>
    <w:rsid w:val="00DF171A"/>
    <w:rsid w:val="00E01D5A"/>
    <w:rsid w:val="00E05A94"/>
    <w:rsid w:val="00E07578"/>
    <w:rsid w:val="00E1031D"/>
    <w:rsid w:val="00E17C6D"/>
    <w:rsid w:val="00E2212B"/>
    <w:rsid w:val="00E22265"/>
    <w:rsid w:val="00E225C8"/>
    <w:rsid w:val="00E226DC"/>
    <w:rsid w:val="00E23171"/>
    <w:rsid w:val="00E340FC"/>
    <w:rsid w:val="00E357F6"/>
    <w:rsid w:val="00E4269A"/>
    <w:rsid w:val="00E44B4F"/>
    <w:rsid w:val="00E472EA"/>
    <w:rsid w:val="00E53BBE"/>
    <w:rsid w:val="00E54625"/>
    <w:rsid w:val="00E546E9"/>
    <w:rsid w:val="00E6380F"/>
    <w:rsid w:val="00E64E5D"/>
    <w:rsid w:val="00E70DC2"/>
    <w:rsid w:val="00E73C01"/>
    <w:rsid w:val="00E74622"/>
    <w:rsid w:val="00E81366"/>
    <w:rsid w:val="00E91000"/>
    <w:rsid w:val="00E9128A"/>
    <w:rsid w:val="00E9195F"/>
    <w:rsid w:val="00E92967"/>
    <w:rsid w:val="00E944A5"/>
    <w:rsid w:val="00E95D30"/>
    <w:rsid w:val="00EA2C61"/>
    <w:rsid w:val="00EA358D"/>
    <w:rsid w:val="00EA563E"/>
    <w:rsid w:val="00EA5F8E"/>
    <w:rsid w:val="00EB129E"/>
    <w:rsid w:val="00EB1623"/>
    <w:rsid w:val="00EB3BD0"/>
    <w:rsid w:val="00EB69B8"/>
    <w:rsid w:val="00EC212D"/>
    <w:rsid w:val="00EC33AB"/>
    <w:rsid w:val="00EC48A8"/>
    <w:rsid w:val="00EC4946"/>
    <w:rsid w:val="00EC603F"/>
    <w:rsid w:val="00EC613A"/>
    <w:rsid w:val="00ED06CC"/>
    <w:rsid w:val="00ED5692"/>
    <w:rsid w:val="00ED60BD"/>
    <w:rsid w:val="00ED6271"/>
    <w:rsid w:val="00ED72C7"/>
    <w:rsid w:val="00EE03B2"/>
    <w:rsid w:val="00EE2813"/>
    <w:rsid w:val="00EE3A60"/>
    <w:rsid w:val="00EF0F6C"/>
    <w:rsid w:val="00EF1A54"/>
    <w:rsid w:val="00F05078"/>
    <w:rsid w:val="00F058B5"/>
    <w:rsid w:val="00F11C36"/>
    <w:rsid w:val="00F1479F"/>
    <w:rsid w:val="00F1700F"/>
    <w:rsid w:val="00F222A6"/>
    <w:rsid w:val="00F23836"/>
    <w:rsid w:val="00F25378"/>
    <w:rsid w:val="00F264DD"/>
    <w:rsid w:val="00F3047B"/>
    <w:rsid w:val="00F30C25"/>
    <w:rsid w:val="00F35EF9"/>
    <w:rsid w:val="00F379F0"/>
    <w:rsid w:val="00F44E52"/>
    <w:rsid w:val="00F465F4"/>
    <w:rsid w:val="00F51876"/>
    <w:rsid w:val="00F53D82"/>
    <w:rsid w:val="00F604A4"/>
    <w:rsid w:val="00F61FED"/>
    <w:rsid w:val="00F63183"/>
    <w:rsid w:val="00F63C59"/>
    <w:rsid w:val="00F66B14"/>
    <w:rsid w:val="00F67538"/>
    <w:rsid w:val="00F711B2"/>
    <w:rsid w:val="00F71C9A"/>
    <w:rsid w:val="00F72200"/>
    <w:rsid w:val="00F73259"/>
    <w:rsid w:val="00F73AF8"/>
    <w:rsid w:val="00F76183"/>
    <w:rsid w:val="00F81E49"/>
    <w:rsid w:val="00F82483"/>
    <w:rsid w:val="00F82D94"/>
    <w:rsid w:val="00F909BA"/>
    <w:rsid w:val="00F90A49"/>
    <w:rsid w:val="00F93803"/>
    <w:rsid w:val="00FA2496"/>
    <w:rsid w:val="00FC1299"/>
    <w:rsid w:val="00FC24DC"/>
    <w:rsid w:val="00FC2B61"/>
    <w:rsid w:val="00FC58CE"/>
    <w:rsid w:val="00FD0781"/>
    <w:rsid w:val="00FE01E7"/>
    <w:rsid w:val="00FE072C"/>
    <w:rsid w:val="00FE177F"/>
    <w:rsid w:val="00FE1A32"/>
    <w:rsid w:val="00FE576C"/>
    <w:rsid w:val="00FF083C"/>
    <w:rsid w:val="00FF1062"/>
    <w:rsid w:val="00FF233B"/>
    <w:rsid w:val="00FF3153"/>
    <w:rsid w:val="00FF4B3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F222A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769858">
      <w:bodyDiv w:val="1"/>
      <w:marLeft w:val="0"/>
      <w:marRight w:val="0"/>
      <w:marTop w:val="0"/>
      <w:marBottom w:val="0"/>
      <w:divBdr>
        <w:top w:val="none" w:sz="0" w:space="0" w:color="auto"/>
        <w:left w:val="none" w:sz="0" w:space="0" w:color="auto"/>
        <w:bottom w:val="none" w:sz="0" w:space="0" w:color="auto"/>
        <w:right w:val="none" w:sz="0" w:space="0" w:color="auto"/>
      </w:divBdr>
    </w:div>
    <w:div w:id="506603430">
      <w:bodyDiv w:val="1"/>
      <w:marLeft w:val="0"/>
      <w:marRight w:val="0"/>
      <w:marTop w:val="0"/>
      <w:marBottom w:val="0"/>
      <w:divBdr>
        <w:top w:val="none" w:sz="0" w:space="0" w:color="auto"/>
        <w:left w:val="none" w:sz="0" w:space="0" w:color="auto"/>
        <w:bottom w:val="none" w:sz="0" w:space="0" w:color="auto"/>
        <w:right w:val="none" w:sz="0" w:space="0" w:color="auto"/>
      </w:divBdr>
    </w:div>
    <w:div w:id="1203058977">
      <w:bodyDiv w:val="1"/>
      <w:marLeft w:val="0"/>
      <w:marRight w:val="0"/>
      <w:marTop w:val="0"/>
      <w:marBottom w:val="0"/>
      <w:divBdr>
        <w:top w:val="none" w:sz="0" w:space="0" w:color="auto"/>
        <w:left w:val="none" w:sz="0" w:space="0" w:color="auto"/>
        <w:bottom w:val="none" w:sz="0" w:space="0" w:color="auto"/>
        <w:right w:val="none" w:sz="0" w:space="0" w:color="auto"/>
      </w:divBdr>
    </w:div>
    <w:div w:id="1813906187">
      <w:bodyDiv w:val="1"/>
      <w:marLeft w:val="0"/>
      <w:marRight w:val="0"/>
      <w:marTop w:val="0"/>
      <w:marBottom w:val="0"/>
      <w:divBdr>
        <w:top w:val="none" w:sz="0" w:space="0" w:color="auto"/>
        <w:left w:val="none" w:sz="0" w:space="0" w:color="auto"/>
        <w:bottom w:val="none" w:sz="0" w:space="0" w:color="auto"/>
        <w:right w:val="none" w:sz="0" w:space="0" w:color="auto"/>
      </w:divBdr>
    </w:div>
    <w:div w:id="1853378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4E1B69-C8BF-4C13-AFC6-E7CA45296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7586</Words>
  <Characters>41725</Characters>
  <Application>Microsoft Office Word</Application>
  <DocSecurity>0</DocSecurity>
  <Lines>347</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dc:creator>
  <cp:lastModifiedBy>OSCARTORRES</cp:lastModifiedBy>
  <cp:revision>2</cp:revision>
  <cp:lastPrinted>2020-02-06T20:40:00Z</cp:lastPrinted>
  <dcterms:created xsi:type="dcterms:W3CDTF">2025-09-30T19:34:00Z</dcterms:created>
  <dcterms:modified xsi:type="dcterms:W3CDTF">2025-09-30T19:34:00Z</dcterms:modified>
</cp:coreProperties>
</file>