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CB9" w:rsidRDefault="00C47CB9"/>
    <w:p w:rsidR="00F650DF" w:rsidRPr="00F650DF" w:rsidRDefault="00F650DF" w:rsidP="00F650DF">
      <w:pPr>
        <w:spacing w:after="160" w:line="259" w:lineRule="auto"/>
        <w:rPr>
          <w:rFonts w:ascii="Arial" w:hAnsi="Arial" w:cs="Arial"/>
          <w:sz w:val="28"/>
          <w:szCs w:val="28"/>
          <w:lang w:val="es-ES"/>
        </w:rPr>
      </w:pPr>
      <w:r w:rsidRPr="00F650DF">
        <w:rPr>
          <w:noProof/>
          <w:lang w:val="en-US"/>
        </w:rPr>
        <w:drawing>
          <wp:inline distT="0" distB="0" distL="0" distR="0" wp14:anchorId="63DD631E" wp14:editId="3F306637">
            <wp:extent cx="1844040" cy="1109345"/>
            <wp:effectExtent l="0" t="0" r="381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50DF">
        <w:rPr>
          <w:noProof/>
          <w:lang w:val="es-ES"/>
        </w:rPr>
        <w:t xml:space="preserve">                  </w:t>
      </w:r>
      <w:r w:rsidRPr="00F650DF">
        <w:rPr>
          <w:noProof/>
          <w:lang w:val="en-US"/>
        </w:rPr>
        <w:drawing>
          <wp:inline distT="0" distB="0" distL="0" distR="0" wp14:anchorId="3ECE3089" wp14:editId="0728C879">
            <wp:extent cx="1393825" cy="1079500"/>
            <wp:effectExtent l="0" t="0" r="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50DF">
        <w:rPr>
          <w:noProof/>
          <w:lang w:val="es-ES"/>
        </w:rPr>
        <w:t xml:space="preserve">                   </w:t>
      </w:r>
      <w:r w:rsidRPr="00F650DF">
        <w:rPr>
          <w:noProof/>
          <w:lang w:val="en-US"/>
        </w:rPr>
        <w:drawing>
          <wp:inline distT="0" distB="0" distL="0" distR="0" wp14:anchorId="429F6F1F" wp14:editId="7976D5B2">
            <wp:extent cx="1529080" cy="11093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0DF" w:rsidRPr="00F650DF" w:rsidRDefault="00F650DF" w:rsidP="00F650DF">
      <w:pPr>
        <w:spacing w:after="160" w:line="259" w:lineRule="auto"/>
        <w:rPr>
          <w:rFonts w:ascii="Arial" w:hAnsi="Arial" w:cs="Arial"/>
          <w:sz w:val="28"/>
          <w:szCs w:val="28"/>
          <w:lang w:val="es-ES"/>
        </w:rPr>
      </w:pPr>
    </w:p>
    <w:p w:rsidR="00F650DF" w:rsidRPr="00F650DF" w:rsidRDefault="00F650DF" w:rsidP="00F650DF">
      <w:pPr>
        <w:spacing w:after="160" w:line="259" w:lineRule="auto"/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  <w:r w:rsidRPr="00F650DF">
        <w:rPr>
          <w:rFonts w:ascii="Bradley Hand ITC" w:hAnsi="Bradley Hand ITC" w:cs="Arial"/>
          <w:b/>
          <w:sz w:val="28"/>
          <w:szCs w:val="28"/>
          <w:lang w:val="es-ES"/>
        </w:rPr>
        <w:t>“Año de la innovación y el fortalecimiento educativo “</w:t>
      </w:r>
    </w:p>
    <w:p w:rsidR="00F650DF" w:rsidRPr="00F650DF" w:rsidRDefault="00F650DF" w:rsidP="00F650DF">
      <w:pPr>
        <w:spacing w:after="160" w:line="259" w:lineRule="auto"/>
        <w:rPr>
          <w:rFonts w:ascii="Arial" w:hAnsi="Arial" w:cs="Arial"/>
          <w:sz w:val="28"/>
          <w:szCs w:val="28"/>
          <w:lang w:val="es-ES"/>
        </w:rPr>
      </w:pPr>
    </w:p>
    <w:p w:rsidR="00F650DF" w:rsidRPr="00F650DF" w:rsidRDefault="00F650DF" w:rsidP="00F650DF">
      <w:pPr>
        <w:spacing w:after="160" w:line="259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F650DF">
        <w:rPr>
          <w:rFonts w:ascii="Arial" w:hAnsi="Arial" w:cs="Arial"/>
          <w:sz w:val="28"/>
          <w:szCs w:val="28"/>
          <w:lang w:val="es-ES"/>
        </w:rPr>
        <w:t>De acuerdo a la ley de trasparencia y Acceso a la información pública del estado de San Luis Potosí. Con artículo 85 capítulo III De las Obligaciones de Transparencia Espec</w:t>
      </w:r>
      <w:r>
        <w:rPr>
          <w:rFonts w:ascii="Arial" w:hAnsi="Arial" w:cs="Arial"/>
          <w:sz w:val="28"/>
          <w:szCs w:val="28"/>
          <w:lang w:val="es-ES"/>
        </w:rPr>
        <w:t>íficas de los Sujetos Obligados.</w:t>
      </w:r>
    </w:p>
    <w:p w:rsidR="00F650DF" w:rsidRP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hAnsi="Arial" w:cs="Arial"/>
          <w:sz w:val="28"/>
          <w:szCs w:val="28"/>
        </w:rPr>
        <w:t xml:space="preserve">Referente a el apartado </w:t>
      </w: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Listado de activos y unidades económicas de pesca y acuacultura.</w:t>
      </w:r>
    </w:p>
    <w:p w:rsidR="00F650DF" w:rsidRP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tiende a bien informar que dentro del Municipio de Mexquitic de Carmona esta actividad no es llevada a cabo, si bien se cuentan con varias presas y represas se desconoce que en alguna de ellas se realice dicha </w:t>
      </w:r>
      <w:bookmarkStart w:id="0" w:name="_GoBack"/>
      <w:bookmarkEnd w:id="0"/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actividad y</w:t>
      </w: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que exista un listado de activos y unidades económicas de pesca y acuacultura.</w:t>
      </w:r>
    </w:p>
    <w:p w:rsidR="00F650DF" w:rsidRP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En lo referente al listado de Embarcaciones, se informa que en el municipio no se cuentan con puertos mucho menos alguna actividad relacionada a este parámetro. </w:t>
      </w: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Hipervínculo al listado de Granjas se desconoce existencias </w:t>
      </w: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Hipervínculo al listado de laboratorios no se tiene conocimiento y no aplica en el Municipio. </w:t>
      </w:r>
    </w:p>
    <w:p w:rsidR="00F650DF" w:rsidRP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F650DF" w:rsidRDefault="00F650DF"/>
    <w:sectPr w:rsidR="00F650DF" w:rsidSect="00F650DF">
      <w:pgSz w:w="12240" w:h="15840"/>
      <w:pgMar w:top="1418" w:right="170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0DF"/>
    <w:rsid w:val="00702F3F"/>
    <w:rsid w:val="00C47CB9"/>
    <w:rsid w:val="00F6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93488"/>
  <w15:chartTrackingRefBased/>
  <w15:docId w15:val="{E79035A4-C174-467C-B075-2E54B0D8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50DF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92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ThinkCentre</dc:creator>
  <cp:keywords/>
  <dc:description/>
  <cp:lastModifiedBy>Lenovo ThinkCentre</cp:lastModifiedBy>
  <cp:revision>1</cp:revision>
  <dcterms:created xsi:type="dcterms:W3CDTF">2025-10-02T17:14:00Z</dcterms:created>
  <dcterms:modified xsi:type="dcterms:W3CDTF">2025-10-02T17:16:00Z</dcterms:modified>
</cp:coreProperties>
</file>