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572426">
        <w:rPr>
          <w:rFonts w:ascii="Arial" w:hAnsi="Arial" w:cs="Arial"/>
          <w:b/>
        </w:rPr>
        <w:t>seis</w:t>
      </w:r>
      <w:r w:rsidR="007F24DE">
        <w:rPr>
          <w:rFonts w:ascii="Arial" w:hAnsi="Arial" w:cs="Arial"/>
        </w:rPr>
        <w:t xml:space="preserve"> días del mes de </w:t>
      </w:r>
      <w:r w:rsidR="00E70EB4">
        <w:rPr>
          <w:rFonts w:ascii="Arial" w:hAnsi="Arial" w:cs="Arial"/>
          <w:b/>
        </w:rPr>
        <w:t>noviembre</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572426">
        <w:rPr>
          <w:rFonts w:ascii="Arial" w:hAnsi="Arial" w:cs="Arial"/>
          <w:b/>
        </w:rPr>
        <w:t>décima</w:t>
      </w:r>
      <w:r w:rsidR="00E70EB4">
        <w:rPr>
          <w:rFonts w:ascii="Arial" w:hAnsi="Arial" w:cs="Arial"/>
          <w:b/>
        </w:rPr>
        <w:t xml:space="preserve"> primera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DB0920">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743D1E" w:rsidRDefault="00743D1E" w:rsidP="00C57509">
      <w:pPr>
        <w:jc w:val="center"/>
        <w:rPr>
          <w:rFonts w:ascii="Arial" w:hAnsi="Arial" w:cs="Arial"/>
          <w:b/>
        </w:rPr>
      </w:pPr>
    </w:p>
    <w:p w:rsidR="005D6470" w:rsidRPr="0090066D" w:rsidRDefault="009819AE" w:rsidP="005A5C66">
      <w:pPr>
        <w:pStyle w:val="Prrafodelista"/>
        <w:numPr>
          <w:ilvl w:val="0"/>
          <w:numId w:val="15"/>
        </w:numPr>
        <w:ind w:left="284" w:hanging="77"/>
        <w:jc w:val="both"/>
        <w:rPr>
          <w:rFonts w:ascii="Arial" w:hAnsi="Arial" w:cs="Arial"/>
        </w:rPr>
      </w:pPr>
      <w:r w:rsidRPr="0090066D">
        <w:rPr>
          <w:rFonts w:ascii="Arial" w:hAnsi="Arial" w:cs="Arial"/>
        </w:rPr>
        <w:t>El</w:t>
      </w:r>
      <w:r w:rsidR="008D7FD6" w:rsidRPr="0090066D">
        <w:rPr>
          <w:rFonts w:ascii="Arial" w:hAnsi="Arial" w:cs="Arial"/>
        </w:rPr>
        <w:t xml:space="preserve"> contador público Cesar Isidro Cruz, director </w:t>
      </w:r>
      <w:r w:rsidR="00F824BC" w:rsidRPr="0090066D">
        <w:rPr>
          <w:rFonts w:ascii="Arial" w:hAnsi="Arial" w:cs="Arial"/>
        </w:rPr>
        <w:t>G</w:t>
      </w:r>
      <w:r w:rsidR="008D7FD6" w:rsidRPr="0090066D">
        <w:rPr>
          <w:rFonts w:ascii="Arial" w:hAnsi="Arial" w:cs="Arial"/>
        </w:rPr>
        <w:t xml:space="preserve">eneral de </w:t>
      </w:r>
      <w:r w:rsidR="00F824BC" w:rsidRPr="0090066D">
        <w:rPr>
          <w:rFonts w:ascii="Arial" w:hAnsi="Arial" w:cs="Arial"/>
        </w:rPr>
        <w:t>A</w:t>
      </w:r>
      <w:r w:rsidR="008D7FD6" w:rsidRPr="0090066D">
        <w:rPr>
          <w:rFonts w:ascii="Arial" w:hAnsi="Arial" w:cs="Arial"/>
        </w:rPr>
        <w:t>dministración</w:t>
      </w:r>
      <w:r w:rsidR="00376B01" w:rsidRPr="0090066D">
        <w:rPr>
          <w:rFonts w:ascii="Arial" w:hAnsi="Arial" w:cs="Arial"/>
        </w:rPr>
        <w:t>,</w:t>
      </w:r>
      <w:r w:rsidRPr="0090066D">
        <w:rPr>
          <w:rFonts w:ascii="Arial" w:hAnsi="Arial" w:cs="Arial"/>
        </w:rPr>
        <w:t xml:space="preserve"> mediante oficio </w:t>
      </w:r>
      <w:r w:rsidR="00032961" w:rsidRPr="009F3053">
        <w:rPr>
          <w:rFonts w:ascii="Arial" w:hAnsi="Arial" w:cs="Arial"/>
          <w:b/>
        </w:rPr>
        <w:t>DGA/</w:t>
      </w:r>
      <w:r w:rsidR="00E91B4D" w:rsidRPr="009F3053">
        <w:rPr>
          <w:rFonts w:ascii="Arial" w:hAnsi="Arial" w:cs="Arial"/>
          <w:b/>
        </w:rPr>
        <w:t>DRH/</w:t>
      </w:r>
      <w:r w:rsidR="00E70EB4">
        <w:rPr>
          <w:rFonts w:ascii="Arial" w:hAnsi="Arial" w:cs="Arial"/>
          <w:b/>
        </w:rPr>
        <w:t>4147</w:t>
      </w:r>
      <w:r w:rsidR="00032961" w:rsidRPr="009F3053">
        <w:rPr>
          <w:rFonts w:ascii="Arial" w:hAnsi="Arial" w:cs="Arial"/>
          <w:b/>
        </w:rPr>
        <w:t>/2025</w:t>
      </w:r>
      <w:r w:rsidRPr="009F3053">
        <w:rPr>
          <w:rFonts w:ascii="Arial" w:hAnsi="Arial" w:cs="Arial"/>
        </w:rPr>
        <w:t xml:space="preserve"> manifiesta </w:t>
      </w:r>
      <w:r w:rsidR="00E22117" w:rsidRPr="009F3053">
        <w:rPr>
          <w:rFonts w:ascii="Arial" w:hAnsi="Arial" w:cs="Arial"/>
        </w:rPr>
        <w:t>adjuntar el acuerdo de reserva</w:t>
      </w:r>
      <w:r w:rsidR="00E91B4D" w:rsidRPr="009F3053">
        <w:rPr>
          <w:rFonts w:ascii="Arial" w:hAnsi="Arial" w:cs="Arial"/>
        </w:rPr>
        <w:t xml:space="preserve"> </w:t>
      </w:r>
      <w:r w:rsidR="0017048A" w:rsidRPr="009F3053">
        <w:rPr>
          <w:rFonts w:ascii="Arial" w:hAnsi="Arial" w:cs="Arial"/>
          <w:b/>
        </w:rPr>
        <w:t>parcial</w:t>
      </w:r>
      <w:r w:rsidR="00E91B4D" w:rsidRPr="009F3053">
        <w:rPr>
          <w:rFonts w:ascii="Arial" w:hAnsi="Arial" w:cs="Arial"/>
        </w:rPr>
        <w:t xml:space="preserve"> </w:t>
      </w:r>
      <w:r w:rsidR="00E91B4D" w:rsidRPr="009F3053">
        <w:rPr>
          <w:rFonts w:ascii="Arial" w:hAnsi="Arial" w:cs="Arial"/>
          <w:b/>
        </w:rPr>
        <w:t>AR/</w:t>
      </w:r>
      <w:r w:rsidR="00E70EB4">
        <w:rPr>
          <w:rFonts w:ascii="Arial" w:hAnsi="Arial" w:cs="Arial"/>
          <w:b/>
        </w:rPr>
        <w:t>74</w:t>
      </w:r>
      <w:r w:rsidR="00E91B4D" w:rsidRPr="006A523B">
        <w:rPr>
          <w:rFonts w:ascii="Arial" w:hAnsi="Arial" w:cs="Arial"/>
          <w:b/>
        </w:rPr>
        <w:t>/</w:t>
      </w:r>
      <w:r w:rsidR="00E91B4D" w:rsidRPr="009F3053">
        <w:rPr>
          <w:rFonts w:ascii="Arial" w:hAnsi="Arial" w:cs="Arial"/>
          <w:b/>
        </w:rPr>
        <w:t>2025</w:t>
      </w:r>
      <w:r w:rsidR="00E91B4D" w:rsidRPr="009F3053">
        <w:rPr>
          <w:rFonts w:ascii="Arial" w:hAnsi="Arial" w:cs="Arial"/>
        </w:rPr>
        <w:t xml:space="preserve"> </w:t>
      </w:r>
      <w:r w:rsidR="00E22117" w:rsidRPr="009F3053">
        <w:rPr>
          <w:rFonts w:ascii="Arial" w:hAnsi="Arial" w:cs="Arial"/>
        </w:rPr>
        <w:t>que</w:t>
      </w:r>
      <w:r w:rsidR="00E22117" w:rsidRPr="0090066D">
        <w:rPr>
          <w:rFonts w:ascii="Arial" w:hAnsi="Arial" w:cs="Arial"/>
        </w:rPr>
        <w:t xml:space="preserve"> emite por </w:t>
      </w:r>
      <w:r w:rsidRPr="0090066D">
        <w:rPr>
          <w:rFonts w:ascii="Arial" w:hAnsi="Arial" w:cs="Arial"/>
        </w:rPr>
        <w:t xml:space="preserve">encontrarse en el supuesto del artículo </w:t>
      </w:r>
      <w:r w:rsidR="00376B01" w:rsidRPr="0090066D">
        <w:rPr>
          <w:rFonts w:ascii="Arial" w:hAnsi="Arial" w:cs="Arial"/>
        </w:rPr>
        <w:t>120</w:t>
      </w:r>
      <w:r w:rsidRPr="0090066D">
        <w:rPr>
          <w:rFonts w:ascii="Arial" w:hAnsi="Arial" w:cs="Arial"/>
        </w:rPr>
        <w:t xml:space="preserve"> fracción</w:t>
      </w:r>
      <w:r w:rsidR="00376B01" w:rsidRPr="0090066D">
        <w:rPr>
          <w:rFonts w:ascii="Arial" w:hAnsi="Arial" w:cs="Arial"/>
        </w:rPr>
        <w:t xml:space="preserve"> </w:t>
      </w:r>
      <w:r w:rsidR="0017048A" w:rsidRPr="0090066D">
        <w:rPr>
          <w:rFonts w:ascii="Arial" w:hAnsi="Arial" w:cs="Arial"/>
        </w:rPr>
        <w:t>II</w:t>
      </w:r>
      <w:r w:rsidR="00376B01" w:rsidRPr="0090066D">
        <w:rPr>
          <w:rFonts w:ascii="Arial" w:hAnsi="Arial" w:cs="Arial"/>
        </w:rPr>
        <w:t>I</w:t>
      </w:r>
      <w:r w:rsidRPr="0090066D">
        <w:rPr>
          <w:rFonts w:ascii="Arial" w:hAnsi="Arial" w:cs="Arial"/>
        </w:rPr>
        <w:t xml:space="preserve"> de la LTAIPSLP, es decir, </w:t>
      </w:r>
      <w:r w:rsidR="0017048A" w:rsidRPr="0090066D">
        <w:rPr>
          <w:rFonts w:ascii="Arial" w:hAnsi="Arial" w:cs="Arial"/>
        </w:rPr>
        <w:t>publicar la información relacionada con</w:t>
      </w:r>
      <w:r w:rsidR="005D6470" w:rsidRPr="0090066D">
        <w:rPr>
          <w:rFonts w:ascii="Arial" w:hAnsi="Arial" w:cs="Arial"/>
        </w:rPr>
        <w:t>:</w:t>
      </w:r>
      <w:r w:rsidR="0090066D" w:rsidRPr="0090066D">
        <w:rPr>
          <w:rFonts w:ascii="Arial" w:hAnsi="Arial" w:cs="Arial"/>
        </w:rPr>
        <w:t xml:space="preserve"> </w:t>
      </w:r>
      <w:r w:rsidR="0090066D" w:rsidRPr="00894EB5">
        <w:rPr>
          <w:rFonts w:ascii="Arial" w:hAnsi="Arial" w:cs="Arial"/>
          <w:b/>
        </w:rPr>
        <w:t>nombres, primer apellido, segundo apellido, sexo y área de adscripción</w:t>
      </w:r>
      <w:r w:rsidR="0090066D" w:rsidRPr="0090066D">
        <w:rPr>
          <w:rFonts w:ascii="Arial" w:hAnsi="Arial" w:cs="Arial"/>
        </w:rPr>
        <w:t xml:space="preserve"> que se requieren para la publicación de información en la Plataforma Estatal de Transparencia en el formato LTAIPSLP84XI, relativo a las </w:t>
      </w:r>
      <w:r w:rsidR="0090066D" w:rsidRPr="00894EB5">
        <w:rPr>
          <w:rFonts w:ascii="Arial" w:hAnsi="Arial" w:cs="Arial"/>
          <w:b/>
        </w:rPr>
        <w:t>remuneraciones brutas y netas</w:t>
      </w:r>
      <w:r w:rsidR="0090066D" w:rsidRPr="0090066D">
        <w:rPr>
          <w:rFonts w:ascii="Arial" w:hAnsi="Arial" w:cs="Arial"/>
        </w:rPr>
        <w:t xml:space="preserve">, del mes de </w:t>
      </w:r>
      <w:r w:rsidR="00E70EB4">
        <w:rPr>
          <w:rFonts w:ascii="Arial" w:hAnsi="Arial" w:cs="Arial"/>
          <w:b/>
        </w:rPr>
        <w:t>octubre</w:t>
      </w:r>
      <w:r w:rsidR="00F57BEF">
        <w:rPr>
          <w:rFonts w:ascii="Arial" w:hAnsi="Arial" w:cs="Arial"/>
          <w:b/>
        </w:rPr>
        <w:t xml:space="preserve"> </w:t>
      </w:r>
      <w:r w:rsidR="0090066D" w:rsidRPr="00894EB5">
        <w:rPr>
          <w:rFonts w:ascii="Arial" w:hAnsi="Arial" w:cs="Arial"/>
          <w:b/>
        </w:rPr>
        <w:t>2025</w:t>
      </w:r>
      <w:r w:rsidR="0090066D" w:rsidRPr="0090066D">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DB0920">
        <w:rPr>
          <w:rFonts w:ascii="Arial" w:hAnsi="Arial" w:cs="Arial"/>
        </w:rPr>
        <w:t>5</w:t>
      </w:r>
      <w:r w:rsidR="0090066D" w:rsidRPr="0090066D">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743D1E" w:rsidRDefault="00743D1E"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8D7FD6" w:rsidRPr="005A5C66">
        <w:rPr>
          <w:rFonts w:ascii="Arial" w:hAnsi="Arial" w:cs="Arial"/>
        </w:rPr>
        <w:t>,</w:t>
      </w:r>
      <w:r w:rsidR="00590B9B" w:rsidRPr="005A5C66">
        <w:rPr>
          <w:rFonts w:ascii="Arial" w:hAnsi="Arial" w:cs="Arial"/>
        </w:rPr>
        <w:t xml:space="preserve"> </w:t>
      </w:r>
      <w:r w:rsidR="009819AE" w:rsidRPr="005A5C66">
        <w:rPr>
          <w:rFonts w:ascii="Arial" w:hAnsi="Arial" w:cs="Arial"/>
        </w:rPr>
        <w:t xml:space="preserve">al realizar el estudio de la información </w:t>
      </w:r>
      <w:r w:rsidR="0090066D" w:rsidRPr="005A5C66">
        <w:rPr>
          <w:rFonts w:ascii="Arial" w:hAnsi="Arial" w:cs="Arial"/>
        </w:rPr>
        <w:t xml:space="preserve">que debe de publicar, </w:t>
      </w:r>
      <w:r w:rsidR="009819AE" w:rsidRPr="005A5C66">
        <w:rPr>
          <w:rFonts w:ascii="Arial" w:hAnsi="Arial" w:cs="Arial"/>
        </w:rPr>
        <w:t>es susceptible de clasificar</w:t>
      </w:r>
      <w:r w:rsidR="008D7FD6" w:rsidRPr="005A5C66">
        <w:rPr>
          <w:rFonts w:ascii="Arial" w:hAnsi="Arial" w:cs="Arial"/>
        </w:rPr>
        <w:t>se</w:t>
      </w:r>
      <w:r w:rsidR="009819AE" w:rsidRPr="005A5C66">
        <w:rPr>
          <w:rFonts w:ascii="Arial" w:hAnsi="Arial" w:cs="Arial"/>
        </w:rPr>
        <w:t xml:space="preserve"> como reservada, de conformidad con el ar</w:t>
      </w:r>
      <w:r w:rsidR="007D4996" w:rsidRPr="005A5C66">
        <w:rPr>
          <w:rFonts w:ascii="Arial" w:hAnsi="Arial" w:cs="Arial"/>
        </w:rPr>
        <w:t xml:space="preserve">tículo 129 </w:t>
      </w:r>
      <w:r w:rsidR="005B0E50" w:rsidRPr="005A5C66">
        <w:rPr>
          <w:rFonts w:ascii="Arial" w:hAnsi="Arial" w:cs="Arial"/>
        </w:rPr>
        <w:t>fracci</w:t>
      </w:r>
      <w:r w:rsidR="00032961" w:rsidRPr="005A5C66">
        <w:rPr>
          <w:rFonts w:ascii="Arial" w:hAnsi="Arial" w:cs="Arial"/>
        </w:rPr>
        <w:t>ón I</w:t>
      </w:r>
      <w:r w:rsidRPr="005A5C66">
        <w:rPr>
          <w:rFonts w:ascii="Arial" w:hAnsi="Arial" w:cs="Arial"/>
        </w:rPr>
        <w:t xml:space="preserve">, </w:t>
      </w:r>
      <w:r w:rsidR="00894EB5" w:rsidRPr="005A5C66">
        <w:rPr>
          <w:rFonts w:ascii="Arial" w:hAnsi="Arial" w:cs="Arial"/>
        </w:rPr>
        <w:t xml:space="preserve">IV, XI </w:t>
      </w:r>
      <w:r w:rsidRPr="005A5C66">
        <w:rPr>
          <w:rFonts w:ascii="Arial" w:hAnsi="Arial" w:cs="Arial"/>
        </w:rPr>
        <w:t>y XII</w:t>
      </w:r>
      <w:r w:rsidR="009819AE" w:rsidRPr="005A5C66">
        <w:rPr>
          <w:rFonts w:ascii="Arial" w:hAnsi="Arial" w:cs="Arial"/>
        </w:rPr>
        <w:t xml:space="preserve"> de la LTAIPSLP.</w:t>
      </w:r>
    </w:p>
    <w:p w:rsidR="00B51013" w:rsidRDefault="00B51013"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376B01" w:rsidRPr="005A5C66">
        <w:rPr>
          <w:rFonts w:ascii="Arial" w:hAnsi="Arial" w:cs="Arial"/>
        </w:rPr>
        <w:t xml:space="preserve">, emite el acuerdo de reserva </w:t>
      </w:r>
      <w:r w:rsidR="005D6470" w:rsidRPr="005A5C66">
        <w:rPr>
          <w:rFonts w:ascii="Arial" w:hAnsi="Arial" w:cs="Arial"/>
          <w:b/>
        </w:rPr>
        <w:t xml:space="preserve">parcial </w:t>
      </w:r>
      <w:r w:rsidR="00376B01" w:rsidRPr="005A5C66">
        <w:rPr>
          <w:rFonts w:ascii="Arial" w:hAnsi="Arial" w:cs="Arial"/>
        </w:rPr>
        <w:t xml:space="preserve">número </w:t>
      </w:r>
      <w:r w:rsidR="008D7FD6" w:rsidRPr="009F3053">
        <w:rPr>
          <w:rFonts w:ascii="Arial" w:hAnsi="Arial" w:cs="Arial"/>
          <w:b/>
        </w:rPr>
        <w:t>AR/</w:t>
      </w:r>
      <w:r w:rsidR="00E70EB4">
        <w:rPr>
          <w:rFonts w:ascii="Arial" w:hAnsi="Arial" w:cs="Arial"/>
          <w:b/>
        </w:rPr>
        <w:t>74</w:t>
      </w:r>
      <w:r w:rsidR="00590B9B" w:rsidRPr="009F3053">
        <w:rPr>
          <w:rFonts w:ascii="Arial" w:hAnsi="Arial" w:cs="Arial"/>
          <w:b/>
        </w:rPr>
        <w:t>/202</w:t>
      </w:r>
      <w:r w:rsidR="00745B52" w:rsidRPr="009F3053">
        <w:rPr>
          <w:rFonts w:ascii="Arial" w:hAnsi="Arial" w:cs="Arial"/>
          <w:b/>
        </w:rPr>
        <w:t>5</w:t>
      </w:r>
      <w:r w:rsidR="00376B01" w:rsidRPr="009F3053">
        <w:rPr>
          <w:rFonts w:ascii="Arial" w:hAnsi="Arial" w:cs="Arial"/>
        </w:rPr>
        <w:t>,</w:t>
      </w:r>
      <w:r w:rsidR="00376B01" w:rsidRPr="005A5C66">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743D1E" w:rsidRDefault="00743D1E"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número </w:t>
      </w:r>
      <w:r w:rsidR="006F7D0F" w:rsidRPr="009F3053">
        <w:rPr>
          <w:rFonts w:ascii="Arial" w:hAnsi="Arial" w:cs="Arial"/>
          <w:b/>
        </w:rPr>
        <w:t>AR/</w:t>
      </w:r>
      <w:r w:rsidR="00E70EB4">
        <w:rPr>
          <w:rFonts w:ascii="Arial" w:hAnsi="Arial" w:cs="Arial"/>
          <w:b/>
        </w:rPr>
        <w:t>74</w:t>
      </w:r>
      <w:r w:rsidR="006F7D0F" w:rsidRPr="006A523B">
        <w:rPr>
          <w:rFonts w:ascii="Arial" w:hAnsi="Arial" w:cs="Arial"/>
          <w:b/>
        </w:rPr>
        <w:t>/</w:t>
      </w:r>
      <w:r w:rsidR="006F7D0F" w:rsidRPr="009F3053">
        <w:rPr>
          <w:rFonts w:ascii="Arial" w:hAnsi="Arial" w:cs="Arial"/>
          <w:b/>
        </w:rPr>
        <w:t>202</w:t>
      </w:r>
      <w:r w:rsidR="00745B52" w:rsidRPr="009F3053">
        <w:rPr>
          <w:rFonts w:ascii="Arial" w:hAnsi="Arial" w:cs="Arial"/>
          <w:b/>
        </w:rPr>
        <w:t>5</w:t>
      </w:r>
      <w:r w:rsidRPr="009F3053">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w:t>
      </w:r>
      <w:r>
        <w:rPr>
          <w:rFonts w:ascii="Arial" w:hAnsi="Arial" w:cs="Arial"/>
        </w:rPr>
        <w:lastRenderedPageBreak/>
        <w:t xml:space="preserve">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9F251B">
        <w:rPr>
          <w:rFonts w:ascii="Arial" w:hAnsi="Arial" w:cs="Arial"/>
        </w:rPr>
        <w:t xml:space="preserve">número </w:t>
      </w:r>
      <w:r w:rsidR="006F7D0F" w:rsidRPr="009F3053">
        <w:rPr>
          <w:rFonts w:ascii="Arial" w:hAnsi="Arial" w:cs="Arial"/>
          <w:b/>
        </w:rPr>
        <w:t>AR</w:t>
      </w:r>
      <w:r w:rsidR="006F7D0F" w:rsidRPr="006A523B">
        <w:rPr>
          <w:rFonts w:ascii="Arial" w:hAnsi="Arial" w:cs="Arial"/>
          <w:b/>
        </w:rPr>
        <w:t>/</w:t>
      </w:r>
      <w:r w:rsidR="00E70EB4">
        <w:rPr>
          <w:rFonts w:ascii="Arial" w:hAnsi="Arial" w:cs="Arial"/>
          <w:b/>
        </w:rPr>
        <w:t>74</w:t>
      </w:r>
      <w:r w:rsidR="006F7D0F" w:rsidRPr="009F3053">
        <w:rPr>
          <w:rFonts w:ascii="Arial" w:hAnsi="Arial" w:cs="Arial"/>
          <w:b/>
        </w:rPr>
        <w:t>/202</w:t>
      </w:r>
      <w:r w:rsidR="00745B52" w:rsidRPr="009F3053">
        <w:rPr>
          <w:rFonts w:ascii="Arial" w:hAnsi="Arial" w:cs="Arial"/>
          <w:b/>
        </w:rPr>
        <w:t>5</w:t>
      </w:r>
      <w:r w:rsidRPr="009F3053">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AE4D60" w:rsidRDefault="00AE4D60" w:rsidP="00C57509">
      <w:pPr>
        <w:jc w:val="both"/>
        <w:rPr>
          <w:rFonts w:ascii="Arial" w:hAnsi="Arial" w:cs="Arial"/>
          <w:b/>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E22117"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24235C">
        <w:rPr>
          <w:rFonts w:eastAsiaTheme="minorEastAsia"/>
          <w:color w:val="auto"/>
          <w:lang w:eastAsia="es-ES"/>
        </w:rPr>
        <w:t>r</w:t>
      </w:r>
      <w:r w:rsidR="00E22117" w:rsidRPr="00E22117">
        <w:rPr>
          <w:rFonts w:eastAsiaTheme="minorEastAsia"/>
          <w:color w:val="auto"/>
          <w:lang w:eastAsia="es-ES"/>
        </w:rPr>
        <w:t xml:space="preserve">eserva </w:t>
      </w:r>
      <w:r w:rsidR="0024235C">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90066D" w:rsidRPr="00894EB5">
        <w:rPr>
          <w:rFonts w:eastAsiaTheme="minorEastAsia"/>
          <w:b/>
          <w:color w:val="auto"/>
          <w:lang w:eastAsia="es-ES"/>
        </w:rPr>
        <w:t>nombres, primer apellido, segundo apellido, sexo y área de adscripción</w:t>
      </w:r>
      <w:r w:rsidR="0090066D" w:rsidRPr="0090066D">
        <w:rPr>
          <w:rFonts w:eastAsiaTheme="minorEastAsia"/>
          <w:color w:val="auto"/>
          <w:lang w:eastAsia="es-ES"/>
        </w:rPr>
        <w:t xml:space="preserve"> que se requieren para la publicación de información en la Plataforma Estatal de Transparencia en el formato LTAIPSLP84XI, relativo a las remuneraciones brutas y netas, del mes de </w:t>
      </w:r>
      <w:r w:rsidR="00E70EB4">
        <w:rPr>
          <w:b/>
        </w:rPr>
        <w:t>octubre</w:t>
      </w:r>
      <w:r w:rsidR="0090066D" w:rsidRPr="00894EB5">
        <w:rPr>
          <w:rFonts w:eastAsiaTheme="minorEastAsia"/>
          <w:b/>
          <w:color w:val="auto"/>
          <w:lang w:eastAsia="es-ES"/>
        </w:rPr>
        <w:t xml:space="preserve"> 2025,</w:t>
      </w:r>
      <w:r w:rsidR="0090066D" w:rsidRPr="0090066D">
        <w:rPr>
          <w:rFonts w:eastAsiaTheme="minorEastAsia"/>
          <w:color w:val="auto"/>
          <w:lang w:eastAsia="es-ES"/>
        </w:rPr>
        <w:t xml:space="preserve"> únicamente por lo que corresponde al personal que se describe en el Manual de Remuneraciones para los Servidores Públicos de la Fiscalía General del Estado de San Luis Potosí, aprobado para el Ejercicio Fiscal 202</w:t>
      </w:r>
      <w:r w:rsidR="00CC0518">
        <w:rPr>
          <w:rFonts w:eastAsiaTheme="minorEastAsia"/>
          <w:color w:val="auto"/>
          <w:lang w:eastAsia="es-ES"/>
        </w:rPr>
        <w:t>5</w:t>
      </w:r>
      <w:r w:rsidR="0090066D" w:rsidRPr="0090066D">
        <w:rPr>
          <w:rFonts w:eastAsiaTheme="minorEastAsia"/>
          <w:color w:val="auto"/>
          <w:lang w:eastAsia="es-ES"/>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CB20AA">
        <w:rPr>
          <w:rFonts w:eastAsiaTheme="minorEastAsia"/>
          <w:color w:val="auto"/>
          <w:lang w:eastAsia="es-ES"/>
        </w:rPr>
        <w:t>.</w:t>
      </w:r>
    </w:p>
    <w:bookmarkEnd w:id="2"/>
    <w:p w:rsidR="001A6119" w:rsidRDefault="001A6119" w:rsidP="0090066D">
      <w:pPr>
        <w:autoSpaceDE w:val="0"/>
        <w:autoSpaceDN w:val="0"/>
        <w:adjustRightInd w:val="0"/>
        <w:jc w:val="both"/>
        <w:rPr>
          <w:rFonts w:ascii="Arial" w:hAnsi="Arial" w:cs="Arial"/>
          <w:b/>
        </w:rPr>
      </w:pPr>
    </w:p>
    <w:p w:rsidR="00894EB5" w:rsidRPr="00894EB5" w:rsidRDefault="007336C3" w:rsidP="0090066D">
      <w:pPr>
        <w:autoSpaceDE w:val="0"/>
        <w:autoSpaceDN w:val="0"/>
        <w:adjustRightInd w:val="0"/>
        <w:jc w:val="both"/>
        <w:rPr>
          <w:rFonts w:ascii="Arial" w:hAnsi="Arial" w:cs="Arial"/>
          <w:b/>
        </w:rPr>
      </w:pPr>
      <w:r w:rsidRPr="00894EB5">
        <w:rPr>
          <w:rFonts w:ascii="Arial" w:hAnsi="Arial" w:cs="Arial"/>
          <w:b/>
        </w:rPr>
        <w:t>Motivación.</w:t>
      </w:r>
      <w:r w:rsidR="008565C9" w:rsidRPr="00894EB5">
        <w:rPr>
          <w:rFonts w:ascii="Arial" w:hAnsi="Arial" w:cs="Arial"/>
          <w:b/>
        </w:rPr>
        <w:t xml:space="preserve"> </w:t>
      </w:r>
    </w:p>
    <w:p w:rsidR="00894EB5" w:rsidRDefault="00894EB5"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Pr>
          <w:rFonts w:ascii="Arial" w:hAnsi="Arial" w:cs="Arial"/>
        </w:rPr>
        <w:lastRenderedPageBreak/>
        <w:t>L</w:t>
      </w:r>
      <w:r w:rsidRPr="0090066D">
        <w:rPr>
          <w:rFonts w:ascii="Arial" w:hAnsi="Arial" w:cs="Arial"/>
        </w:rPr>
        <w:t>a información pública de oficio que se reserva respecto a los nombres, primer apellido, segundo apellido, sexo y área de adscripción del personal que se describe en el Manual de Remuneraciones para los Servidores Públicos de la Fiscalía General del Estado de San Luis Potosí, aprobado para el Ejercicio Fiscal 202</w:t>
      </w:r>
      <w:r w:rsidR="00CC0518">
        <w:rPr>
          <w:rFonts w:ascii="Arial" w:hAnsi="Arial" w:cs="Arial"/>
        </w:rPr>
        <w:t>5</w:t>
      </w:r>
      <w:r w:rsidRPr="0090066D">
        <w:rPr>
          <w:rFonts w:ascii="Arial" w:hAnsi="Arial" w:cs="Arial"/>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mes de </w:t>
      </w:r>
      <w:r w:rsidR="00E70EB4">
        <w:rPr>
          <w:rFonts w:ascii="Arial" w:hAnsi="Arial" w:cs="Arial"/>
          <w:b/>
        </w:rPr>
        <w:t>octubre</w:t>
      </w:r>
      <w:r w:rsidRPr="00894EB5">
        <w:rPr>
          <w:rFonts w:ascii="Arial" w:hAnsi="Arial" w:cs="Arial"/>
          <w:b/>
        </w:rPr>
        <w:t xml:space="preserve"> 2025</w:t>
      </w:r>
      <w:r w:rsidRPr="0090066D">
        <w:rPr>
          <w:rFonts w:ascii="Arial" w:hAnsi="Arial" w:cs="Arial"/>
        </w:rPr>
        <w:t>, es procedente puesto que 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I.  El área que lo emite, II. El usuario capturista; y en el Artículo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F531A0" w:rsidRPr="0090066D" w:rsidRDefault="00F531A0" w:rsidP="0090066D">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630"/>
        <w:gridCol w:w="8332"/>
      </w:tblGrid>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Pr>
                <w:rFonts w:ascii="Arial" w:hAnsi="Arial" w:cs="Arial"/>
                <w:b/>
              </w:rPr>
              <w:t>Nombre completo.</w:t>
            </w:r>
          </w:p>
        </w:tc>
        <w:tc>
          <w:tcPr>
            <w:tcW w:w="8549" w:type="dxa"/>
          </w:tcPr>
          <w:p w:rsidR="00F531A0" w:rsidRPr="0041685E" w:rsidRDefault="00F531A0" w:rsidP="00F531A0">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w:t>
            </w:r>
            <w:r w:rsidR="00BC31AA">
              <w:rPr>
                <w:rFonts w:ascii="Arial" w:eastAsia="Times New Roman" w:hAnsi="Arial" w:cs="Arial"/>
                <w:lang w:eastAsia="es-MX"/>
              </w:rPr>
              <w:t>y relacionado</w:t>
            </w:r>
            <w:r w:rsidRPr="007B5A1D">
              <w:rPr>
                <w:rFonts w:ascii="Arial" w:eastAsia="Times New Roman" w:hAnsi="Arial" w:cs="Arial"/>
                <w:lang w:eastAsia="es-MX"/>
              </w:rPr>
              <w:t xml:space="preserve">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F531A0" w:rsidTr="00823F6E">
        <w:tc>
          <w:tcPr>
            <w:tcW w:w="1413" w:type="dxa"/>
          </w:tcPr>
          <w:p w:rsidR="00F531A0" w:rsidRDefault="00F531A0" w:rsidP="00F531A0">
            <w:pPr>
              <w:autoSpaceDE w:val="0"/>
              <w:autoSpaceDN w:val="0"/>
              <w:adjustRightInd w:val="0"/>
              <w:jc w:val="both"/>
              <w:rPr>
                <w:rFonts w:ascii="Arial" w:hAnsi="Arial" w:cs="Arial"/>
                <w:b/>
              </w:rPr>
            </w:pPr>
            <w:r>
              <w:rPr>
                <w:rFonts w:ascii="Arial" w:hAnsi="Arial" w:cs="Arial"/>
                <w:b/>
              </w:rPr>
              <w:t>Sexo</w:t>
            </w:r>
          </w:p>
        </w:tc>
        <w:tc>
          <w:tcPr>
            <w:tcW w:w="8549" w:type="dxa"/>
          </w:tcPr>
          <w:p w:rsidR="00F531A0" w:rsidRPr="007B5A1D" w:rsidRDefault="00823F6E" w:rsidP="00823F6E">
            <w:pPr>
              <w:ind w:left="-38" w:firstLine="38"/>
              <w:jc w:val="both"/>
              <w:rPr>
                <w:rFonts w:ascii="Arial" w:eastAsia="Times New Roman" w:hAnsi="Arial" w:cs="Arial"/>
                <w:lang w:eastAsia="es-MX"/>
              </w:rPr>
            </w:pPr>
            <w:r>
              <w:rPr>
                <w:rFonts w:ascii="Arial" w:eastAsia="Times New Roman" w:hAnsi="Arial" w:cs="Arial"/>
                <w:lang w:eastAsia="es-MX"/>
              </w:rPr>
              <w:t>E</w:t>
            </w:r>
            <w:r w:rsidR="00F531A0" w:rsidRPr="00F531A0">
              <w:rPr>
                <w:rFonts w:ascii="Arial" w:eastAsia="Times New Roman" w:hAnsi="Arial" w:cs="Arial"/>
                <w:lang w:eastAsia="es-MX"/>
              </w:rPr>
              <w:t>l sexo 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w:t>
            </w:r>
            <w:r>
              <w:rPr>
                <w:rFonts w:ascii="Arial" w:eastAsia="Times New Roman" w:hAnsi="Arial" w:cs="Arial"/>
                <w:lang w:eastAsia="es-MX"/>
              </w:rPr>
              <w:t>.</w:t>
            </w:r>
          </w:p>
        </w:tc>
      </w:tr>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sidRPr="00F531A0">
              <w:rPr>
                <w:rFonts w:ascii="Arial" w:hAnsi="Arial" w:cs="Arial"/>
                <w:b/>
              </w:rPr>
              <w:t xml:space="preserve">Área de adscripción. </w:t>
            </w:r>
          </w:p>
          <w:p w:rsidR="00F531A0" w:rsidRDefault="00F531A0" w:rsidP="00F531A0">
            <w:pPr>
              <w:autoSpaceDE w:val="0"/>
              <w:autoSpaceDN w:val="0"/>
              <w:adjustRightInd w:val="0"/>
              <w:jc w:val="both"/>
              <w:rPr>
                <w:rFonts w:ascii="Arial" w:hAnsi="Arial" w:cs="Arial"/>
                <w:b/>
              </w:rPr>
            </w:pPr>
          </w:p>
        </w:tc>
        <w:tc>
          <w:tcPr>
            <w:tcW w:w="8549" w:type="dxa"/>
          </w:tcPr>
          <w:p w:rsidR="00F531A0" w:rsidRPr="007B5A1D" w:rsidRDefault="00F531A0" w:rsidP="00F531A0">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bl>
    <w:p w:rsidR="0090066D" w:rsidRP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Aunado a esto, se atiende lo dispuesto en el artículo 218 Código Nacional de Procedimientos Penales, decretado por el Congreso de la Unión, claramente establece que se considera información reservada:</w:t>
      </w:r>
      <w:r w:rsidR="006A523B">
        <w:rPr>
          <w:rFonts w:ascii="Arial" w:hAnsi="Arial" w:cs="Arial"/>
        </w:rPr>
        <w:t xml:space="preserve"> </w:t>
      </w:r>
      <w:r w:rsidRPr="0090066D">
        <w:rPr>
          <w:rFonts w:ascii="Arial" w:hAnsi="Arial" w:cs="Arial"/>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lastRenderedPageBreak/>
        <w:t xml:space="preserve">Por su parte la Suprema Corte de Justicia emitió una resolución en la que invalida la entrega de información de respecto al del personal administrativo, en el entendido de que se refiere a el personal que realiza funciones distintas a las de Agentes del Ministerio Público, Peritos, y Policías por lo que no forman parte del Servicio Profesional de Carrera. personal que es nombrado y removido libremente por los titulares de las áreas a las que se encuentran adscritos y que si bien no realizan tareas sustantivas, si tiene acceso a información relativa a la realizada por el personal de seguridad y custodia en materia de investigación y persecución de los delitos; además de que este personal, por lo general, es el encargado de realizar los registros, archivar o generar documentación y trámites administrativos relativos al propio personal de seguridad cuya información debe ser resguardada, de acuerdo a la Ley del Sistema de Seguridad Pública del Estado de San Luis Potosí.  Con base a lo anterior es que se considera que tal personal adscrito a los órganos estratégicos: Dirección General de Política de Persecución Penal y Análisis Estratégico y la Dirección General de Análisis Criminal, está en continua vinculación y cercanía al quehacer sustantivo de este sujeto obligado, lo que también los pone en un rango de vulnerabilidad al ser pública la información que los identifique como lo es el nombre, apellidos, sexo y áreas de adscripción.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Derivado de lo anterior se presume que la difusión de la información que aquí se reserva pondría, además, en grave riesgo la integridad física de los elementos involucrados en la indagación, integración, aportaciones de pruebas y vinculaciones a proceso de las diversas carpetas de investigación dado que los imputados u objetivos criminales a capturar y/o enjuiciar continuamente buscan diversas formar de amedrentar, chantajear, sobornar y hasta agredir en su integridad física a los elementos investigadores y/o involucrados en las carpetas de investigación, extendiendo las agresiones a sus familias, eventos de los que ya se ha tenido registro y que ahora también forman parte de las carpetas de investigación. </w:t>
      </w:r>
    </w:p>
    <w:p w:rsid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 xml:space="preserve">Además de que publicar parte de esta información, como lo es el nombre, primer apellido, segundo apellido, sexo y área de adscripción,  permite vincular de formas indirecta o directa la cantidad de personal operativo de seguridad con que cuenta la Fiscalía lo que implicaría de alguna u otra manera el dar a conocer de forma indirecta por un lado su identificación personal de seguridad operativo e incluso familiar; y por el otro lado, su función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Así también, los datos que hacen identificables a quienes participan dejando registro de sus nombres, apellidos y adscripciones en los documentos de las indagatorias y detenciones, </w:t>
      </w:r>
      <w:r w:rsidRPr="0090066D">
        <w:rPr>
          <w:rFonts w:ascii="Arial" w:hAnsi="Arial" w:cs="Arial"/>
        </w:rPr>
        <w:lastRenderedPageBreak/>
        <w:t xml:space="preserve">información que establece como reservada el Código Nacional de Procedimientos Penales en su artículo 218, y los artículos 93, 93 bis, 94, fracciones I y II, 95 fracción VI, 97 fracciones I y II, 99, fracciones I y III,  de la Ley del Sistema de Seguridad Pública Del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los artículos 107 y 126 fracción III de la Ley del Sistema de Seguridad Pública Del Estado de San Luis Potosí y en la Resolución de la Suprema Corte de Justicia de la Nación emitida dentro de la Controversia Constitucional Numero 325/2019;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 De igual manera, la información que sobre la que se emite la reserva,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90066D" w:rsidRDefault="0090066D" w:rsidP="0090066D">
      <w:pPr>
        <w:autoSpaceDE w:val="0"/>
        <w:autoSpaceDN w:val="0"/>
        <w:adjustRightInd w:val="0"/>
        <w:jc w:val="both"/>
        <w:rPr>
          <w:rFonts w:ascii="Arial" w:hAnsi="Arial" w:cs="Arial"/>
        </w:rPr>
      </w:pPr>
    </w:p>
    <w:p w:rsidR="00EC019A" w:rsidRPr="005160BF" w:rsidRDefault="0090066D" w:rsidP="0090066D">
      <w:pPr>
        <w:autoSpaceDE w:val="0"/>
        <w:autoSpaceDN w:val="0"/>
        <w:adjustRightInd w:val="0"/>
        <w:jc w:val="both"/>
        <w:rPr>
          <w:rFonts w:ascii="Arial" w:hAnsi="Arial" w:cs="Arial"/>
        </w:rPr>
      </w:pPr>
      <w:r w:rsidRPr="0090066D">
        <w:rPr>
          <w:rFonts w:ascii="Arial" w:hAnsi="Arial" w:cs="Arial"/>
        </w:rPr>
        <w:t xml:space="preserve">La divulgación de los nombres, primer apellido, segundo apellido, sexo y área de adscripción necesarias para la información pública relativa a la remuneración neta y bruta del mes de </w:t>
      </w:r>
      <w:r w:rsidR="00E70EB4">
        <w:rPr>
          <w:rFonts w:ascii="Arial" w:hAnsi="Arial" w:cs="Arial"/>
          <w:b/>
        </w:rPr>
        <w:t>octubre</w:t>
      </w:r>
      <w:r w:rsidR="00F57BEF">
        <w:rPr>
          <w:rFonts w:ascii="Arial" w:hAnsi="Arial" w:cs="Arial"/>
          <w:b/>
        </w:rPr>
        <w:t xml:space="preserve"> </w:t>
      </w:r>
      <w:r w:rsidRPr="00894EB5">
        <w:rPr>
          <w:rFonts w:ascii="Arial" w:hAnsi="Arial" w:cs="Arial"/>
          <w:b/>
        </w:rPr>
        <w:t>2025</w:t>
      </w:r>
      <w:r w:rsidRPr="0090066D">
        <w:rPr>
          <w:rFonts w:ascii="Arial" w:hAnsi="Arial" w:cs="Arial"/>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914AAD" w:rsidRDefault="00914AAD"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894EB5">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sidR="006B4DD5">
        <w:rPr>
          <w:rFonts w:ascii="Arial" w:hAnsi="Arial" w:cs="Arial"/>
        </w:rPr>
        <w:t xml:space="preserve">fracción </w:t>
      </w:r>
      <w:r w:rsidR="0066700B">
        <w:rPr>
          <w:rFonts w:ascii="Arial" w:hAnsi="Arial" w:cs="Arial"/>
        </w:rPr>
        <w:t>I</w:t>
      </w:r>
      <w:r w:rsidR="006060DC">
        <w:rPr>
          <w:rFonts w:ascii="Arial" w:hAnsi="Arial" w:cs="Arial"/>
        </w:rPr>
        <w:t xml:space="preserve">, </w:t>
      </w:r>
      <w:r w:rsidR="00AE4D60">
        <w:rPr>
          <w:rFonts w:ascii="Arial" w:hAnsi="Arial" w:cs="Arial"/>
        </w:rPr>
        <w:t xml:space="preserve">IV, XI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110, Ley del Sistema de Seguridad Pública del Estado de San Luis Potosí, artículo 56, fracción 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w:t>
      </w:r>
      <w:r w:rsidR="000E4FF6" w:rsidRPr="000E4FF6">
        <w:rPr>
          <w:rFonts w:ascii="Arial" w:hAnsi="Arial" w:cs="Arial"/>
        </w:rPr>
        <w:lastRenderedPageBreak/>
        <w:t xml:space="preserve">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6B4DD5">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Artículo 118.</w:t>
      </w:r>
      <w:r w:rsidRPr="007A1D44">
        <w:rPr>
          <w:rFonts w:ascii="Arial" w:hAnsi="Arial" w:cs="Arial"/>
          <w:i/>
          <w:sz w:val="20"/>
          <w:szCs w:val="20"/>
        </w:rPr>
        <w:t xml:space="preserve"> En la aplicación de la prueba de daño, el sujeto obligado deberá justificar que: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 La divulgación de la información representa un riesgo real, demostrable e identificable de perjuicio significativo al interés público;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 El riesgo de perjuicio que supondría la divulgación supera el interés público general de que se difunda, y</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III. La limitación se adecua al principio de proporcionalidad y representa el medio menos restrictivo disponible para evitar el perjuicio.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Trigésimo tercero</w:t>
      </w:r>
      <w:r w:rsidRPr="007A1D44">
        <w:rPr>
          <w:rFonts w:ascii="Arial" w:hAnsi="Arial" w:cs="Arial"/>
          <w:i/>
          <w:sz w:val="20"/>
          <w:szCs w:val="20"/>
        </w:rPr>
        <w:t>. Para la aplicación de la prueba de daño a la que hace referencia el artículo 104 de la Ley General, los sujetos obligados atenderán lo siguiente: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6119" w:rsidRDefault="001A6119" w:rsidP="00823F6E">
      <w:pPr>
        <w:jc w:val="both"/>
        <w:rPr>
          <w:rFonts w:ascii="Arial" w:hAnsi="Arial" w:cs="Arial"/>
        </w:rPr>
      </w:pPr>
    </w:p>
    <w:p w:rsidR="00823F6E" w:rsidRPr="00A753D0" w:rsidRDefault="00823F6E" w:rsidP="00823F6E">
      <w:pPr>
        <w:jc w:val="both"/>
        <w:rPr>
          <w:rFonts w:ascii="Arial" w:hAnsi="Arial" w:cs="Arial"/>
        </w:rPr>
      </w:pPr>
      <w:r w:rsidRPr="00A753D0">
        <w:rPr>
          <w:rFonts w:ascii="Arial" w:hAnsi="Arial" w:cs="Arial"/>
        </w:rPr>
        <w:t xml:space="preserve">La divulgación de los datos </w:t>
      </w:r>
      <w:r>
        <w:rPr>
          <w:rFonts w:ascii="Arial" w:hAnsi="Arial" w:cs="Arial"/>
        </w:rPr>
        <w:t>que se reservan</w:t>
      </w:r>
      <w:r w:rsidRPr="00A753D0">
        <w:rPr>
          <w:rFonts w:ascii="Arial" w:hAnsi="Arial" w:cs="Arial"/>
        </w:rPr>
        <w:t xml:space="preserve"> podría:</w:t>
      </w:r>
    </w:p>
    <w:p w:rsidR="00823F6E" w:rsidRPr="00A753D0" w:rsidRDefault="00823F6E" w:rsidP="00823F6E">
      <w:pPr>
        <w:jc w:val="both"/>
        <w:rPr>
          <w:rFonts w:ascii="Arial" w:hAnsi="Arial" w:cs="Arial"/>
        </w:rPr>
      </w:pPr>
    </w:p>
    <w:p w:rsidR="00823F6E" w:rsidRPr="00A753D0" w:rsidRDefault="00823F6E" w:rsidP="00BC31AA">
      <w:pPr>
        <w:pStyle w:val="Prrafodelista"/>
        <w:numPr>
          <w:ilvl w:val="0"/>
          <w:numId w:val="14"/>
        </w:numPr>
        <w:jc w:val="both"/>
        <w:rPr>
          <w:rFonts w:ascii="Arial" w:hAnsi="Arial" w:cs="Arial"/>
        </w:rPr>
      </w:pPr>
      <w:r w:rsidRPr="00A753D0">
        <w:rPr>
          <w:rFonts w:ascii="Arial" w:hAnsi="Arial" w:cs="Arial"/>
        </w:rPr>
        <w:t>Identificar de forma plena al personal operativo,</w:t>
      </w:r>
      <w:r>
        <w:rPr>
          <w:rFonts w:ascii="Arial" w:hAnsi="Arial" w:cs="Arial"/>
        </w:rPr>
        <w:t xml:space="preserve"> y o adscrito a </w:t>
      </w:r>
      <w:r w:rsidR="00BC31AA">
        <w:rPr>
          <w:rFonts w:ascii="Arial" w:hAnsi="Arial" w:cs="Arial"/>
        </w:rPr>
        <w:t xml:space="preserve">estas </w:t>
      </w:r>
      <w:r>
        <w:rPr>
          <w:rFonts w:ascii="Arial" w:hAnsi="Arial" w:cs="Arial"/>
        </w:rPr>
        <w:t>áreas,</w:t>
      </w:r>
      <w:r w:rsidRPr="00A753D0">
        <w:rPr>
          <w:rFonts w:ascii="Arial" w:hAnsi="Arial" w:cs="Arial"/>
        </w:rPr>
        <w:t xml:space="preserve"> </w:t>
      </w:r>
      <w:r w:rsidR="00BC31AA">
        <w:rPr>
          <w:rFonts w:ascii="Arial" w:hAnsi="Arial" w:cs="Arial"/>
        </w:rPr>
        <w:t xml:space="preserve">dándole a conocer a apersonas malintencionadas, la </w:t>
      </w:r>
      <w:r>
        <w:rPr>
          <w:rFonts w:ascii="Arial" w:hAnsi="Arial" w:cs="Arial"/>
        </w:rPr>
        <w:t xml:space="preserve">capacidad de reacción de la institución, </w:t>
      </w:r>
      <w:r w:rsidR="00BC31AA">
        <w:rPr>
          <w:rFonts w:ascii="Arial" w:hAnsi="Arial" w:cs="Arial"/>
        </w:rPr>
        <w:t>ya que podrían cuantificar al</w:t>
      </w:r>
      <w:r>
        <w:rPr>
          <w:rFonts w:ascii="Arial" w:hAnsi="Arial" w:cs="Arial"/>
        </w:rPr>
        <w:t xml:space="preserve"> personal sustantivo,</w:t>
      </w:r>
      <w:r w:rsidR="00BC31AA">
        <w:rPr>
          <w:rFonts w:ascii="Arial" w:hAnsi="Arial" w:cs="Arial"/>
        </w:rPr>
        <w:t xml:space="preserve"> desagregándolo por su sexo, </w:t>
      </w:r>
      <w:r>
        <w:rPr>
          <w:rFonts w:ascii="Arial" w:hAnsi="Arial" w:cs="Arial"/>
        </w:rPr>
        <w:t xml:space="preserve"> </w:t>
      </w:r>
      <w:r w:rsidR="002608EC">
        <w:rPr>
          <w:rFonts w:ascii="Arial" w:hAnsi="Arial" w:cs="Arial"/>
        </w:rPr>
        <w:t xml:space="preserve">y con esta </w:t>
      </w:r>
      <w:r w:rsidR="002608EC">
        <w:rPr>
          <w:rFonts w:ascii="Arial" w:hAnsi="Arial" w:cs="Arial"/>
        </w:rPr>
        <w:lastRenderedPageBreak/>
        <w:t>información</w:t>
      </w:r>
      <w:r w:rsidR="00BC31AA">
        <w:rPr>
          <w:rFonts w:ascii="Arial" w:hAnsi="Arial" w:cs="Arial"/>
        </w:rPr>
        <w:t xml:space="preserve">, al relacionarla con su área de adscripción, </w:t>
      </w:r>
      <w:r w:rsidR="002608EC">
        <w:rPr>
          <w:rFonts w:ascii="Arial" w:hAnsi="Arial" w:cs="Arial"/>
        </w:rPr>
        <w:t xml:space="preserve"> podrían </w:t>
      </w:r>
      <w:r>
        <w:rPr>
          <w:rFonts w:ascii="Arial" w:hAnsi="Arial" w:cs="Arial"/>
        </w:rPr>
        <w:t xml:space="preserve">entorpecer los actos de investigación, de inteligencia, e incluso contrainteligencia </w:t>
      </w:r>
      <w:r w:rsidR="002608EC">
        <w:rPr>
          <w:rFonts w:ascii="Arial" w:hAnsi="Arial" w:cs="Arial"/>
        </w:rPr>
        <w:t xml:space="preserve">comprometiendo </w:t>
      </w:r>
      <w:r w:rsidRPr="00823F6E">
        <w:rPr>
          <w:rFonts w:ascii="Arial" w:hAnsi="Arial" w:cs="Arial"/>
        </w:rPr>
        <w:t xml:space="preserve">la seguridad </w:t>
      </w:r>
      <w:r w:rsidR="002608EC">
        <w:rPr>
          <w:rFonts w:ascii="Arial" w:hAnsi="Arial" w:cs="Arial"/>
        </w:rPr>
        <w:t>del Estado,</w:t>
      </w:r>
      <w:r w:rsidRPr="00823F6E">
        <w:rPr>
          <w:rFonts w:ascii="Arial" w:hAnsi="Arial" w:cs="Arial"/>
        </w:rPr>
        <w:t xml:space="preserve"> o la capacidad </w:t>
      </w:r>
      <w:r w:rsidR="002608EC" w:rsidRPr="00823F6E">
        <w:rPr>
          <w:rFonts w:ascii="Arial" w:hAnsi="Arial" w:cs="Arial"/>
        </w:rPr>
        <w:t>ejecutiva</w:t>
      </w:r>
      <w:r w:rsidRPr="00823F6E">
        <w:rPr>
          <w:rFonts w:ascii="Arial" w:hAnsi="Arial" w:cs="Arial"/>
        </w:rPr>
        <w:t xml:space="preserve"> de las fuerzas de seguridad</w:t>
      </w:r>
      <w:r>
        <w:rPr>
          <w:rFonts w:ascii="Arial" w:hAnsi="Arial" w:cs="Arial"/>
        </w:rPr>
        <w:t>.</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Exponer rutas de operación o traslados de personal involucrado en investigaciones, persecución del delito o vigilancia encubierta.</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823F6E" w:rsidRPr="00823F6E" w:rsidRDefault="00823F6E" w:rsidP="00C57509">
      <w:pPr>
        <w:jc w:val="both"/>
        <w:rPr>
          <w:rFonts w:ascii="Arial" w:eastAsia="Times New Roman"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CA6E6A" w:rsidRDefault="00CA6E6A" w:rsidP="00C57509">
      <w:pPr>
        <w:jc w:val="both"/>
        <w:rPr>
          <w:rFonts w:ascii="Arial" w:eastAsia="Times New Roman" w:hAnsi="Arial" w:cs="Arial"/>
          <w:lang w:val="es-ES"/>
        </w:rPr>
      </w:pPr>
    </w:p>
    <w:p w:rsidR="007F6370" w:rsidRPr="007F6370" w:rsidRDefault="007F6370" w:rsidP="00C57509">
      <w:pPr>
        <w:jc w:val="both"/>
        <w:rPr>
          <w:rFonts w:ascii="Arial" w:eastAsia="Times New Roman" w:hAnsi="Arial" w:cs="Arial"/>
          <w:b/>
          <w:lang w:val="es-ES"/>
        </w:rPr>
      </w:pPr>
      <w:r w:rsidRPr="007F6370">
        <w:rPr>
          <w:rFonts w:ascii="Arial" w:eastAsia="Times New Roman" w:hAnsi="Arial" w:cs="Arial"/>
          <w:b/>
          <w:lang w:val="es-ES"/>
        </w:rPr>
        <w:t>Riesgo real, demostrable e identificable.</w:t>
      </w:r>
    </w:p>
    <w:p w:rsidR="007F6370" w:rsidRDefault="007F6370" w:rsidP="00C57509">
      <w:pPr>
        <w:jc w:val="both"/>
        <w:rPr>
          <w:rFonts w:ascii="Arial" w:eastAsia="Times New Roman" w:hAnsi="Arial" w:cs="Arial"/>
          <w:lang w:val="es-ES"/>
        </w:rPr>
      </w:pPr>
    </w:p>
    <w:p w:rsidR="00CA6E6A" w:rsidRDefault="00CA6E6A" w:rsidP="00C57509">
      <w:pPr>
        <w:jc w:val="both"/>
        <w:rPr>
          <w:rFonts w:ascii="Arial" w:eastAsia="Times New Roman" w:hAnsi="Arial" w:cs="Arial"/>
          <w:lang w:val="es-ES"/>
        </w:rPr>
      </w:pPr>
      <w:r>
        <w:rPr>
          <w:rFonts w:ascii="Arial" w:eastAsia="Times New Roman" w:hAnsi="Arial" w:cs="Arial"/>
          <w:lang w:val="es-ES"/>
        </w:rPr>
        <w:t>Qued</w:t>
      </w:r>
      <w:r w:rsidR="007F6370">
        <w:rPr>
          <w:rFonts w:ascii="Arial" w:eastAsia="Times New Roman" w:hAnsi="Arial" w:cs="Arial"/>
          <w:lang w:val="es-ES"/>
        </w:rPr>
        <w:t xml:space="preserve">ó </w:t>
      </w:r>
      <w:r>
        <w:rPr>
          <w:rFonts w:ascii="Arial" w:eastAsia="Times New Roman" w:hAnsi="Arial" w:cs="Arial"/>
          <w:lang w:val="es-ES"/>
        </w:rPr>
        <w:t xml:space="preserve"> debidamente justificada la prueba de daño que causaría el proporcionar la información relacionada al nombre, sexo, y área de adscripción </w:t>
      </w:r>
      <w:r w:rsidR="007F6370">
        <w:rPr>
          <w:rFonts w:ascii="Arial" w:eastAsia="Times New Roman" w:hAnsi="Arial" w:cs="Arial"/>
          <w:lang w:val="es-ES"/>
        </w:rPr>
        <w:t xml:space="preserve">de personas servidoras y/o ex servidoras públicas de </w:t>
      </w:r>
      <w:r w:rsidR="00BC31AA">
        <w:rPr>
          <w:rFonts w:ascii="Arial" w:eastAsia="Times New Roman" w:hAnsi="Arial" w:cs="Arial"/>
          <w:lang w:val="es-ES"/>
        </w:rPr>
        <w:t>F</w:t>
      </w:r>
      <w:r w:rsidR="007F6370">
        <w:rPr>
          <w:rFonts w:ascii="Arial" w:eastAsia="Times New Roman" w:hAnsi="Arial" w:cs="Arial"/>
          <w:lang w:val="es-ES"/>
        </w:rPr>
        <w:t>iscalía General del Estado,  adscrito a áreas sustantivas, incluyendo al personal administrativo</w:t>
      </w:r>
      <w:r>
        <w:rPr>
          <w:rFonts w:ascii="Arial" w:eastAsia="Times New Roman" w:hAnsi="Arial" w:cs="Arial"/>
          <w:lang w:val="es-ES"/>
        </w:rPr>
        <w:t xml:space="preserve">, pues como lo determinó Suprema Corte de Justicia de la Nación en la Controversia constitucional  325/2019, </w:t>
      </w:r>
      <w:r w:rsidR="00E87BD2">
        <w:rPr>
          <w:rFonts w:ascii="Arial" w:eastAsia="Times New Roman" w:hAnsi="Arial" w:cs="Arial"/>
          <w:lang w:val="es-ES"/>
        </w:rPr>
        <w:t>“</w:t>
      </w:r>
      <w:r>
        <w:rPr>
          <w:rFonts w:ascii="Arial" w:eastAsia="Times New Roman" w:hAnsi="Arial" w:cs="Arial"/>
          <w:lang w:val="es-ES"/>
        </w:rPr>
        <w:t>hacer publico cualquier dato o información que haga identificable al personal operativo/sustantivo así como al administrativo que labora en la FGR, representa un riesgo real, demostrable e identificable de perjuicio significativo al interés público y a la seguridad pública nacional</w:t>
      </w:r>
      <w:r w:rsidR="00952B63">
        <w:rPr>
          <w:rFonts w:ascii="Arial" w:eastAsia="Times New Roman" w:hAnsi="Arial" w:cs="Arial"/>
          <w:lang w:val="es-ES"/>
        </w:rPr>
        <w:t>”</w:t>
      </w:r>
      <w:r>
        <w:rPr>
          <w:rFonts w:ascii="Arial" w:eastAsia="Times New Roman" w:hAnsi="Arial" w:cs="Arial"/>
          <w:lang w:val="es-ES"/>
        </w:rPr>
        <w:t>, lo cual debe ser un espejo para las Fiscalía de las distintas Federaciones.</w:t>
      </w:r>
    </w:p>
    <w:p w:rsidR="00CA6E6A" w:rsidRDefault="00CA6E6A" w:rsidP="00C57509">
      <w:pPr>
        <w:jc w:val="both"/>
        <w:rPr>
          <w:rFonts w:ascii="Arial" w:eastAsia="Times New Roman" w:hAnsi="Arial" w:cs="Arial"/>
          <w:lang w:val="es-ES"/>
        </w:rPr>
      </w:pPr>
    </w:p>
    <w:p w:rsidR="00327EA5" w:rsidRDefault="00327EA5" w:rsidP="00327EA5">
      <w:pPr>
        <w:jc w:val="both"/>
        <w:rPr>
          <w:rFonts w:ascii="Arial" w:eastAsia="Times New Roman" w:hAnsi="Arial" w:cs="Arial"/>
          <w:lang w:val="es-ES"/>
        </w:rPr>
      </w:pPr>
      <w:r w:rsidRPr="00952B63">
        <w:rPr>
          <w:rFonts w:ascii="Arial" w:eastAsia="Times New Roman" w:hAnsi="Arial" w:cs="Arial"/>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w:t>
      </w:r>
      <w:r w:rsidR="00EC7365" w:rsidRPr="00952B63">
        <w:rPr>
          <w:rFonts w:ascii="Arial" w:eastAsia="Times New Roman" w:hAnsi="Arial" w:cs="Arial"/>
          <w:lang w:val="es-ES"/>
        </w:rPr>
        <w:t xml:space="preserve">ministerio público, </w:t>
      </w:r>
      <w:r w:rsidRPr="00952B63">
        <w:rPr>
          <w:rFonts w:ascii="Arial" w:eastAsia="Times New Roman" w:hAnsi="Arial" w:cs="Arial"/>
          <w:lang w:val="es-ES"/>
        </w:rPr>
        <w:t>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B735F7" w:rsidRPr="00952B63" w:rsidRDefault="00B735F7" w:rsidP="00327EA5">
      <w:pPr>
        <w:jc w:val="both"/>
        <w:rPr>
          <w:rFonts w:ascii="Arial" w:eastAsia="Times New Roman" w:hAnsi="Arial" w:cs="Arial"/>
          <w:lang w:val="es-ES"/>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52B63" w:rsidRPr="00952B63" w:rsidRDefault="00952B63" w:rsidP="00952B63">
      <w:pPr>
        <w:jc w:val="both"/>
        <w:rPr>
          <w:rFonts w:ascii="Arial" w:eastAsia="Times New Roman" w:hAnsi="Arial" w:cs="Arial"/>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 xml:space="preserve">Al respecto, se debe tomar en cuenta que en la aludida resolución de la Controversia constitucional 325/2019, el Alto Tribunal constitucional sostuvo que </w:t>
      </w:r>
      <w:r w:rsidR="001900BD">
        <w:rPr>
          <w:rFonts w:ascii="Arial" w:eastAsia="Times New Roman" w:hAnsi="Arial" w:cs="Arial"/>
          <w:lang w:val="es-ES"/>
        </w:rPr>
        <w:t>“</w:t>
      </w:r>
      <w:r w:rsidRPr="001900BD">
        <w:rPr>
          <w:rFonts w:ascii="Arial" w:eastAsia="Times New Roman" w:hAnsi="Arial" w:cs="Arial"/>
          <w:i/>
          <w:lang w:val="es-ES"/>
        </w:rPr>
        <w:t>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w:t>
      </w:r>
      <w:r w:rsidR="001900BD" w:rsidRPr="001900BD">
        <w:rPr>
          <w:rFonts w:ascii="Arial" w:eastAsia="Times New Roman" w:hAnsi="Arial" w:cs="Arial"/>
          <w:i/>
          <w:lang w:val="es-ES"/>
        </w:rPr>
        <w:t xml:space="preserve"> </w:t>
      </w:r>
      <w:r w:rsidRPr="001900BD">
        <w:rPr>
          <w:rFonts w:ascii="Arial" w:eastAsia="Times New Roman" w:hAnsi="Arial" w:cs="Arial"/>
          <w:i/>
          <w:lang w:val="es-ES"/>
        </w:rPr>
        <w:t>servidoras públicas de la FGR</w:t>
      </w:r>
      <w:r w:rsidR="001900BD" w:rsidRPr="001900BD">
        <w:rPr>
          <w:rFonts w:ascii="Arial" w:eastAsia="Times New Roman" w:hAnsi="Arial" w:cs="Arial"/>
          <w:i/>
          <w:lang w:val="es-ES"/>
        </w:rPr>
        <w:t>, se permitiría acceder a datos identificativos, académicos, electrónicos, patrimoniales, biométricos y los referentes a sus familiares</w:t>
      </w:r>
      <w:r w:rsidR="001900BD">
        <w:rPr>
          <w:rFonts w:ascii="Arial" w:eastAsia="Times New Roman" w:hAnsi="Arial" w:cs="Arial"/>
          <w:lang w:val="es-ES"/>
        </w:rPr>
        <w:t>”.</w:t>
      </w:r>
      <w:r w:rsidRPr="00952B63">
        <w:rPr>
          <w:rFonts w:ascii="Arial" w:eastAsia="Times New Roman" w:hAnsi="Arial" w:cs="Arial"/>
          <w:lang w:val="es-ES"/>
        </w:rPr>
        <w:t xml:space="preserve">                               </w:t>
      </w:r>
    </w:p>
    <w:p w:rsidR="00952B63" w:rsidRDefault="00952B63" w:rsidP="00952B63">
      <w:pPr>
        <w:jc w:val="both"/>
        <w:rPr>
          <w:rFonts w:ascii="Arial" w:eastAsia="Times New Roman" w:hAnsi="Arial" w:cs="Arial"/>
          <w:lang w:val="es-ES"/>
        </w:rPr>
      </w:pPr>
    </w:p>
    <w:p w:rsidR="00952B63" w:rsidRDefault="00952B63" w:rsidP="00952B63">
      <w:pPr>
        <w:jc w:val="both"/>
        <w:rPr>
          <w:rFonts w:ascii="Arial" w:eastAsia="Times New Roman" w:hAnsi="Arial" w:cs="Arial"/>
          <w:lang w:val="es-ES"/>
        </w:rPr>
      </w:pPr>
      <w:bookmarkStart w:id="3" w:name="_Hlk199496932"/>
      <w:r>
        <w:rPr>
          <w:rFonts w:ascii="Arial" w:eastAsia="Times New Roman" w:hAnsi="Arial" w:cs="Arial"/>
          <w:lang w:val="es-ES"/>
        </w:rPr>
        <w:t xml:space="preserve">Por lo anterior, se </w:t>
      </w:r>
      <w:r w:rsidR="001900BD">
        <w:rPr>
          <w:rFonts w:ascii="Arial" w:eastAsia="Times New Roman" w:hAnsi="Arial" w:cs="Arial"/>
          <w:lang w:val="es-ES"/>
        </w:rPr>
        <w:t>concluye</w:t>
      </w:r>
      <w:r>
        <w:rPr>
          <w:rFonts w:ascii="Arial" w:eastAsia="Times New Roman" w:hAnsi="Arial" w:cs="Arial"/>
          <w:lang w:val="es-ES"/>
        </w:rPr>
        <w:t xml:space="preserve"> que el hacer público la información que se reserva,</w:t>
      </w:r>
      <w:r w:rsidRPr="00C97E2B">
        <w:t xml:space="preserve"> </w:t>
      </w:r>
      <w:r w:rsidRPr="00C97E2B">
        <w:rPr>
          <w:rFonts w:ascii="Arial" w:eastAsia="Times New Roman" w:hAnsi="Arial" w:cs="Arial"/>
          <w:lang w:val="es-ES"/>
        </w:rPr>
        <w:t>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w:t>
      </w:r>
      <w:r>
        <w:rPr>
          <w:rFonts w:ascii="Arial" w:eastAsia="Times New Roman" w:hAnsi="Arial" w:cs="Arial"/>
          <w:lang w:val="es-ES"/>
        </w:rPr>
        <w:t>,</w:t>
      </w:r>
      <w:r w:rsidRPr="00C97E2B">
        <w:rPr>
          <w:rFonts w:ascii="Arial" w:eastAsia="Times New Roman" w:hAnsi="Arial" w:cs="Arial"/>
          <w:lang w:val="es-ES"/>
        </w:rPr>
        <w:t xml:space="preserve"> por lo tanto</w:t>
      </w:r>
      <w:r>
        <w:rPr>
          <w:rFonts w:ascii="Arial" w:eastAsia="Times New Roman" w:hAnsi="Arial" w:cs="Arial"/>
          <w:lang w:val="es-ES"/>
        </w:rPr>
        <w:t>,</w:t>
      </w:r>
      <w:r w:rsidRPr="00C97E2B">
        <w:rPr>
          <w:rFonts w:ascii="Arial" w:eastAsia="Times New Roman" w:hAnsi="Arial" w:cs="Arial"/>
          <w:lang w:val="es-ES"/>
        </w:rPr>
        <w:t xml:space="preserve"> quedar impunes</w:t>
      </w:r>
      <w:r>
        <w:rPr>
          <w:rFonts w:ascii="Arial" w:eastAsia="Times New Roman" w:hAnsi="Arial" w:cs="Arial"/>
          <w:lang w:val="es-ES"/>
        </w:rPr>
        <w:t>,</w:t>
      </w:r>
      <w:r w:rsidRPr="00C97E2B">
        <w:rPr>
          <w:rFonts w:ascii="Arial" w:eastAsia="Times New Roman" w:hAnsi="Arial" w:cs="Arial"/>
          <w:lang w:val="es-ES"/>
        </w:rPr>
        <w:t xml:space="preserve"> aunado a que podrían tomar represalias por las investigaciones instauradas en su contra. </w:t>
      </w:r>
      <w:r>
        <w:rPr>
          <w:rFonts w:ascii="Arial" w:eastAsia="Times New Roman" w:hAnsi="Arial" w:cs="Arial"/>
          <w:lang w:val="es-ES"/>
        </w:rPr>
        <w:t>L</w:t>
      </w:r>
      <w:r w:rsidRPr="00C97E2B">
        <w:rPr>
          <w:rFonts w:ascii="Arial" w:eastAsia="Times New Roman" w:hAnsi="Arial" w:cs="Arial"/>
          <w:lang w:val="es-ES"/>
        </w:rPr>
        <w:t xml:space="preserve">o que impactaría en la capacidad de reacción y en la revelación del estado de fuerza de esta Institución, transgrediendo así lo dispuesto en el artículo </w:t>
      </w:r>
      <w:r>
        <w:rPr>
          <w:rFonts w:ascii="Arial" w:eastAsia="Times New Roman" w:hAnsi="Arial" w:cs="Arial"/>
          <w:lang w:val="es-ES"/>
        </w:rPr>
        <w:t>129 fracciones I, y XII de la Ley de Transparencia en el Estado</w:t>
      </w:r>
      <w:r w:rsidRPr="00C97E2B">
        <w:rPr>
          <w:rFonts w:ascii="Arial" w:eastAsia="Times New Roman" w:hAnsi="Arial" w:cs="Arial"/>
          <w:lang w:val="es-ES"/>
        </w:rPr>
        <w:t xml:space="preserve">. </w:t>
      </w:r>
    </w:p>
    <w:bookmarkEnd w:id="3"/>
    <w:p w:rsidR="00952B63" w:rsidRDefault="00952B63" w:rsidP="00952B63">
      <w:pPr>
        <w:jc w:val="both"/>
        <w:rPr>
          <w:rFonts w:ascii="Arial" w:eastAsia="Times New Roman" w:hAnsi="Arial" w:cs="Arial"/>
          <w:lang w:val="es-ES"/>
        </w:rPr>
      </w:pPr>
    </w:p>
    <w:p w:rsidR="00327EA5" w:rsidRPr="007F6370" w:rsidRDefault="007F6370" w:rsidP="00327EA5">
      <w:pPr>
        <w:jc w:val="both"/>
        <w:rPr>
          <w:b/>
        </w:rPr>
      </w:pPr>
      <w:r w:rsidRPr="007F6370">
        <w:rPr>
          <w:b/>
        </w:rPr>
        <w:t>Perjuicio que supera el interés público.</w:t>
      </w:r>
    </w:p>
    <w:p w:rsidR="007F6370" w:rsidRDefault="007F6370" w:rsidP="00327EA5">
      <w:pPr>
        <w:jc w:val="both"/>
      </w:pPr>
    </w:p>
    <w:p w:rsidR="007F6370" w:rsidRDefault="007F6370" w:rsidP="00327EA5">
      <w:pPr>
        <w:jc w:val="both"/>
        <w:rPr>
          <w:rFonts w:ascii="Arial" w:eastAsia="Times New Roman" w:hAnsi="Arial" w:cs="Arial"/>
          <w:lang w:val="es-ES"/>
        </w:rPr>
      </w:pPr>
      <w:r w:rsidRPr="007F6370">
        <w:rPr>
          <w:rFonts w:ascii="Arial" w:eastAsia="Times New Roman" w:hAnsi="Arial" w:cs="Arial"/>
          <w:lang w:val="es-ES"/>
        </w:rPr>
        <w:t xml:space="preserve">Con la divulgación </w:t>
      </w:r>
      <w:r>
        <w:rPr>
          <w:rFonts w:ascii="Arial" w:eastAsia="Times New Roman" w:hAnsi="Arial" w:cs="Arial"/>
          <w:lang w:val="es-ES"/>
        </w:rPr>
        <w:t xml:space="preserve">de la información relacionada al nombre, sexo, y área de adscripción de personas servidoras y/o ex servidoras públicas de </w:t>
      </w:r>
      <w:r w:rsidR="00D038C9">
        <w:rPr>
          <w:rFonts w:ascii="Arial" w:eastAsia="Times New Roman" w:hAnsi="Arial" w:cs="Arial"/>
          <w:lang w:val="es-ES"/>
        </w:rPr>
        <w:t>F</w:t>
      </w:r>
      <w:r>
        <w:rPr>
          <w:rFonts w:ascii="Arial" w:eastAsia="Times New Roman" w:hAnsi="Arial" w:cs="Arial"/>
          <w:lang w:val="es-ES"/>
        </w:rPr>
        <w:t>iscalía General del Estado, adscrito a áreas sustantivas, incluyendo al personal administrativo,</w:t>
      </w:r>
      <w:r w:rsidR="00421CCE">
        <w:rPr>
          <w:rFonts w:ascii="Arial" w:eastAsia="Times New Roman" w:hAnsi="Arial" w:cs="Arial"/>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w:t>
      </w:r>
      <w:bookmarkStart w:id="4" w:name="_Hlk199497341"/>
      <w:r w:rsidR="00421CCE">
        <w:rPr>
          <w:rFonts w:ascii="Arial" w:eastAsia="Times New Roman" w:hAnsi="Arial" w:cs="Arial"/>
          <w:lang w:val="es-ES"/>
        </w:rPr>
        <w:t>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1A6119" w:rsidRDefault="001A6119" w:rsidP="00327EA5">
      <w:pPr>
        <w:jc w:val="both"/>
        <w:rPr>
          <w:rFonts w:ascii="Arial" w:eastAsia="Times New Roman" w:hAnsi="Arial" w:cs="Arial"/>
          <w:lang w:val="es-ES"/>
        </w:rPr>
      </w:pPr>
    </w:p>
    <w:p w:rsidR="00421CCE" w:rsidRDefault="00421CCE" w:rsidP="00327EA5">
      <w:pPr>
        <w:jc w:val="both"/>
        <w:rPr>
          <w:rFonts w:ascii="Arial" w:eastAsia="Times New Roman" w:hAnsi="Arial" w:cs="Arial"/>
          <w:lang w:val="es-ES"/>
        </w:rPr>
      </w:pPr>
      <w:r>
        <w:rPr>
          <w:rFonts w:ascii="Arial" w:eastAsia="Times New Roman" w:hAnsi="Arial" w:cs="Arial"/>
          <w:lang w:val="es-ES"/>
        </w:rPr>
        <w:t xml:space="preserve">El que los mercados </w:t>
      </w:r>
      <w:r w:rsidR="00F0528C">
        <w:rPr>
          <w:rFonts w:ascii="Arial" w:eastAsia="Times New Roman" w:hAnsi="Arial" w:cs="Arial"/>
          <w:lang w:val="es-ES"/>
        </w:rPr>
        <w:t>criminales</w:t>
      </w:r>
      <w:r>
        <w:rPr>
          <w:rFonts w:ascii="Arial" w:eastAsia="Times New Roman" w:hAnsi="Arial" w:cs="Arial"/>
          <w:lang w:val="es-ES"/>
        </w:rPr>
        <w:t xml:space="preserve"> identifiquen y conozcan plenamente al personal que compone a la Institución y cuenten con </w:t>
      </w:r>
      <w:r w:rsidR="00F0528C">
        <w:rPr>
          <w:rFonts w:ascii="Arial" w:eastAsia="Times New Roman" w:hAnsi="Arial" w:cs="Arial"/>
          <w:lang w:val="es-ES"/>
        </w:rPr>
        <w:t>i</w:t>
      </w:r>
      <w:r>
        <w:rPr>
          <w:rFonts w:ascii="Arial" w:eastAsia="Times New Roman" w:hAnsi="Arial" w:cs="Arial"/>
          <w:lang w:val="es-ES"/>
        </w:rPr>
        <w:t>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w:t>
      </w:r>
      <w:r w:rsidR="00F0528C">
        <w:rPr>
          <w:rFonts w:ascii="Arial" w:eastAsia="Times New Roman" w:hAnsi="Arial" w:cs="Arial"/>
          <w:lang w:val="es-ES"/>
        </w:rPr>
        <w:t xml:space="preserve">, por ello </w:t>
      </w:r>
      <w:bookmarkEnd w:id="4"/>
      <w:r w:rsidR="00F0528C">
        <w:rPr>
          <w:rFonts w:ascii="Arial" w:eastAsia="Times New Roman" w:hAnsi="Arial" w:cs="Arial"/>
          <w:lang w:val="es-ES"/>
        </w:rPr>
        <w:t>el Alto Tribunal concluyo que “</w:t>
      </w:r>
      <w:r w:rsidR="00F0528C" w:rsidRPr="00F0528C">
        <w:rPr>
          <w:rFonts w:ascii="Arial" w:eastAsia="Times New Roman" w:hAnsi="Arial" w:cs="Arial"/>
          <w:i/>
          <w:lang w:val="es-ES"/>
        </w:rPr>
        <w:t xml:space="preserve">conociendo el nombre de las personas físicas que laboran o laboraban en la Fiscalía y recopilando información de internet, es posible identificar plenamente a las personas; de modo que un simple dato que pudiera parecer inofensivo, puede arrojar información relativa a su </w:t>
      </w:r>
      <w:r w:rsidR="00F0528C" w:rsidRPr="00F0528C">
        <w:rPr>
          <w:rFonts w:ascii="Arial" w:eastAsia="Times New Roman" w:hAnsi="Arial" w:cs="Arial"/>
          <w:i/>
          <w:lang w:val="es-ES"/>
        </w:rPr>
        <w:lastRenderedPageBreak/>
        <w:t>edad, sexo, CURP,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w:t>
      </w:r>
      <w:r w:rsidR="00F0528C">
        <w:rPr>
          <w:rFonts w:ascii="Arial" w:eastAsia="Times New Roman" w:hAnsi="Arial" w:cs="Arial"/>
          <w:lang w:val="es-ES"/>
        </w:rPr>
        <w:t xml:space="preserve">”. </w:t>
      </w:r>
    </w:p>
    <w:p w:rsidR="00421CCE" w:rsidRDefault="00421CCE" w:rsidP="00327EA5">
      <w:pPr>
        <w:jc w:val="both"/>
        <w:rPr>
          <w:rFonts w:ascii="Arial" w:eastAsia="Times New Roman" w:hAnsi="Arial" w:cs="Arial"/>
          <w:lang w:val="es-ES"/>
        </w:rPr>
      </w:pPr>
    </w:p>
    <w:p w:rsidR="00F0528C" w:rsidRDefault="00F0528C" w:rsidP="00327EA5">
      <w:pPr>
        <w:jc w:val="both"/>
        <w:rPr>
          <w:rFonts w:ascii="Arial" w:eastAsia="Times New Roman" w:hAnsi="Arial" w:cs="Arial"/>
          <w:lang w:val="es-ES"/>
        </w:rPr>
      </w:pPr>
      <w:r>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A67C07" w:rsidRDefault="00A67C07" w:rsidP="00327EA5">
      <w:pPr>
        <w:jc w:val="both"/>
        <w:rPr>
          <w:rFonts w:ascii="Arial" w:eastAsia="Times New Roman" w:hAnsi="Arial" w:cs="Arial"/>
          <w:lang w:val="es-ES"/>
        </w:rPr>
      </w:pPr>
    </w:p>
    <w:p w:rsidR="00920F7B" w:rsidRDefault="00920F7B" w:rsidP="00327EA5">
      <w:pPr>
        <w:jc w:val="both"/>
        <w:rPr>
          <w:rFonts w:ascii="Arial" w:eastAsia="Times New Roman" w:hAnsi="Arial" w:cs="Arial"/>
          <w:lang w:val="es-ES"/>
        </w:rPr>
      </w:pPr>
      <w:r>
        <w:rPr>
          <w:rFonts w:ascii="Arial" w:eastAsia="Times New Roman" w:hAnsi="Arial" w:cs="Arial"/>
          <w:lang w:val="es-ES"/>
        </w:rPr>
        <w:t>Se concluye que, si bien es un derecho de las personas imputadas, conocer el nombre y datos del servidor público salvo tratándose de delincuencia organizada, lo cierto es que conocer esa información no deriva del ámbito de protección del derecho de acceso a la información</w:t>
      </w:r>
      <w:r w:rsidR="00D038C9">
        <w:rPr>
          <w:rFonts w:ascii="Arial" w:eastAsia="Times New Roman" w:hAnsi="Arial" w:cs="Arial"/>
          <w:lang w:val="es-ES"/>
        </w:rPr>
        <w:t xml:space="preserve">,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F0528C" w:rsidRDefault="00F0528C" w:rsidP="00327EA5">
      <w:pPr>
        <w:jc w:val="both"/>
        <w:rPr>
          <w:rFonts w:ascii="Arial" w:eastAsia="Times New Roman" w:hAnsi="Arial" w:cs="Arial"/>
          <w:lang w:val="es-ES"/>
        </w:rPr>
      </w:pPr>
    </w:p>
    <w:p w:rsidR="00D038C9" w:rsidRDefault="00D038C9" w:rsidP="00327EA5">
      <w:pPr>
        <w:jc w:val="both"/>
        <w:rPr>
          <w:rFonts w:ascii="Arial" w:eastAsia="Times New Roman" w:hAnsi="Arial" w:cs="Arial"/>
          <w:lang w:val="es-ES"/>
        </w:rPr>
      </w:pPr>
      <w:r>
        <w:rPr>
          <w:rFonts w:ascii="Arial" w:eastAsia="Times New Roman" w:hAnsi="Arial" w:cs="Arial"/>
          <w:lang w:val="es-ES"/>
        </w:rPr>
        <w:t>Bajo esta tesitura, la divulgación de la información relacionada con el nombre, sexo, y área de adscripción de personas servidoras y/o ex servidoras públicas de Fiscalía General del Estado, actualiza el riesgo de perjuicio  a la vida, la seguridad o salud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E70EB4" w:rsidRDefault="00E70EB4" w:rsidP="00327EA5">
      <w:pPr>
        <w:jc w:val="both"/>
        <w:rPr>
          <w:rFonts w:ascii="Arial" w:eastAsia="Times New Roman" w:hAnsi="Arial" w:cs="Arial"/>
          <w:b/>
          <w:lang w:val="es-ES"/>
        </w:rPr>
      </w:pPr>
    </w:p>
    <w:p w:rsidR="00421CCE" w:rsidRPr="00916A8C" w:rsidRDefault="00421CCE" w:rsidP="00327EA5">
      <w:pPr>
        <w:jc w:val="both"/>
        <w:rPr>
          <w:rFonts w:ascii="Arial" w:eastAsia="Times New Roman" w:hAnsi="Arial" w:cs="Arial"/>
          <w:b/>
          <w:lang w:val="es-ES"/>
        </w:rPr>
      </w:pPr>
      <w:r w:rsidRPr="00916A8C">
        <w:rPr>
          <w:rFonts w:ascii="Arial" w:eastAsia="Times New Roman" w:hAnsi="Arial" w:cs="Arial"/>
          <w:b/>
          <w:lang w:val="es-ES"/>
        </w:rPr>
        <w:t>Principio de proporcionalidad.</w:t>
      </w:r>
    </w:p>
    <w:p w:rsidR="008070A6" w:rsidRDefault="008070A6" w:rsidP="00327EA5">
      <w:pPr>
        <w:jc w:val="both"/>
        <w:rPr>
          <w:rFonts w:ascii="Arial" w:eastAsia="Times New Roman" w:hAnsi="Arial" w:cs="Arial"/>
          <w:lang w:val="es-ES"/>
        </w:rPr>
      </w:pPr>
      <w:r>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8070A6" w:rsidRDefault="008070A6" w:rsidP="00327EA5">
      <w:pPr>
        <w:jc w:val="both"/>
        <w:rPr>
          <w:rFonts w:ascii="Arial" w:eastAsia="Times New Roman" w:hAnsi="Arial" w:cs="Arial"/>
          <w:lang w:val="es-ES"/>
        </w:rPr>
      </w:pPr>
    </w:p>
    <w:p w:rsidR="008070A6" w:rsidRDefault="008070A6" w:rsidP="00327EA5">
      <w:pPr>
        <w:jc w:val="both"/>
        <w:rPr>
          <w:rFonts w:ascii="Arial" w:eastAsia="Times New Roman" w:hAnsi="Arial" w:cs="Arial"/>
          <w:lang w:val="es-ES"/>
        </w:rPr>
      </w:pPr>
      <w:r>
        <w:rPr>
          <w:rFonts w:ascii="Arial" w:eastAsia="Times New Roman" w:hAnsi="Arial" w:cs="Arial"/>
          <w:lang w:val="es-ES"/>
        </w:rPr>
        <w:lastRenderedPageBreak/>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8070A6" w:rsidRDefault="008070A6" w:rsidP="00327EA5">
      <w:pPr>
        <w:jc w:val="both"/>
        <w:rPr>
          <w:rFonts w:ascii="Arial" w:eastAsia="Times New Roman" w:hAnsi="Arial" w:cs="Arial"/>
          <w:lang w:val="es-ES"/>
        </w:rPr>
      </w:pPr>
    </w:p>
    <w:p w:rsidR="00633915" w:rsidRDefault="008070A6" w:rsidP="00327EA5">
      <w:pPr>
        <w:jc w:val="both"/>
        <w:rPr>
          <w:rFonts w:ascii="Arial" w:eastAsia="Times New Roman" w:hAnsi="Arial" w:cs="Arial"/>
          <w:lang w:val="es-ES"/>
        </w:rPr>
      </w:pPr>
      <w:r>
        <w:rPr>
          <w:rFonts w:ascii="Arial" w:eastAsia="Times New Roman" w:hAnsi="Arial" w:cs="Arial"/>
          <w:lang w:val="es-ES"/>
        </w:rPr>
        <w:t>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w:t>
      </w:r>
      <w:r w:rsidR="00633915">
        <w:rPr>
          <w:rFonts w:ascii="Arial" w:eastAsia="Times New Roman" w:hAnsi="Arial" w:cs="Arial"/>
          <w:lang w:val="es-ES"/>
        </w:rPr>
        <w:t xml:space="preserve"> </w:t>
      </w:r>
    </w:p>
    <w:p w:rsidR="00633915" w:rsidRDefault="00633915" w:rsidP="00327EA5">
      <w:pPr>
        <w:jc w:val="both"/>
        <w:rPr>
          <w:rFonts w:ascii="Arial" w:eastAsia="Times New Roman" w:hAnsi="Arial" w:cs="Arial"/>
          <w:lang w:val="es-ES"/>
        </w:rPr>
      </w:pPr>
    </w:p>
    <w:p w:rsidR="00421CCE" w:rsidRDefault="00633915" w:rsidP="00327EA5">
      <w:pPr>
        <w:jc w:val="both"/>
        <w:rPr>
          <w:rFonts w:ascii="Arial" w:eastAsia="Times New Roman" w:hAnsi="Arial" w:cs="Arial"/>
          <w:lang w:val="es-ES"/>
        </w:rPr>
      </w:pPr>
      <w:r>
        <w:rPr>
          <w:rFonts w:ascii="Arial" w:eastAsia="Times New Roman" w:hAnsi="Arial" w:cs="Arial"/>
          <w:lang w:val="es-ES"/>
        </w:rPr>
        <w:t>Consecuentemente, se concluye que clasificar como reservada la información del nombre, sexo, y área de adscripción de personas servidoras y/o ex servidoras públicas de Fiscalía General del Estado, resulta el medio menos restrictivo frente al derecho de acceso a la información en cualquiera de sus diferentes manifestaciones.</w:t>
      </w:r>
    </w:p>
    <w:p w:rsidR="00AE4D60" w:rsidRPr="00421CCE" w:rsidRDefault="00AE4D60" w:rsidP="00327EA5">
      <w:pPr>
        <w:jc w:val="both"/>
        <w:rPr>
          <w:rFonts w:ascii="Arial" w:eastAsia="Times New Roman" w:hAnsi="Arial" w:cs="Arial"/>
          <w:lang w:val="es-ES"/>
        </w:rPr>
      </w:pPr>
    </w:p>
    <w:p w:rsidR="00743D1E" w:rsidRDefault="00743D1E"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CB20AA" w:rsidRDefault="00CB20AA" w:rsidP="00CB20AA">
      <w:pPr>
        <w:jc w:val="both"/>
        <w:rPr>
          <w:rFonts w:ascii="Arial" w:hAnsi="Arial" w:cs="Arial"/>
        </w:rPr>
      </w:pPr>
    </w:p>
    <w:p w:rsidR="00EC019A" w:rsidRDefault="00CB20AA" w:rsidP="00CB20AA">
      <w:pPr>
        <w:jc w:val="both"/>
        <w:rPr>
          <w:rFonts w:ascii="Arial" w:hAnsi="Arial" w:cs="Arial"/>
        </w:rPr>
      </w:pPr>
      <w:r w:rsidRPr="00914AAD">
        <w:rPr>
          <w:rFonts w:ascii="Arial" w:hAnsi="Arial" w:cs="Arial"/>
          <w:b/>
        </w:rPr>
        <w:t xml:space="preserve">Nombres, primer apellido, segundo apellido, sexo y área de adscripción </w:t>
      </w:r>
      <w:r w:rsidRPr="00CB20AA">
        <w:rPr>
          <w:rFonts w:ascii="Arial" w:hAnsi="Arial" w:cs="Arial"/>
        </w:rPr>
        <w:t xml:space="preserve">que se requieren para la publicación de información en la Plataforma Estatal de Transparencia en el formato LTAIPSLP84XI relativo a las remuneraciones brutas y netas del mes de </w:t>
      </w:r>
      <w:r w:rsidR="00E70EB4">
        <w:rPr>
          <w:rFonts w:ascii="Arial" w:hAnsi="Arial" w:cs="Arial"/>
          <w:b/>
        </w:rPr>
        <w:t>octubre</w:t>
      </w:r>
      <w:r w:rsidR="006B4DD5">
        <w:rPr>
          <w:rFonts w:ascii="Arial" w:hAnsi="Arial" w:cs="Arial"/>
          <w:b/>
        </w:rPr>
        <w:t xml:space="preserve"> </w:t>
      </w:r>
      <w:r w:rsidRPr="00894EB5">
        <w:rPr>
          <w:rFonts w:ascii="Arial" w:hAnsi="Arial" w:cs="Arial"/>
          <w:b/>
        </w:rPr>
        <w:t>2025</w:t>
      </w:r>
      <w:r w:rsidRPr="00CB20AA">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6B4DD5">
        <w:rPr>
          <w:rFonts w:ascii="Arial" w:hAnsi="Arial" w:cs="Arial"/>
        </w:rPr>
        <w:t>5</w:t>
      </w:r>
      <w:r w:rsidRPr="00CB20AA">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w:t>
      </w:r>
    </w:p>
    <w:p w:rsidR="00AE4D60" w:rsidRDefault="00AE4D60" w:rsidP="00CB20AA">
      <w:pPr>
        <w:jc w:val="both"/>
        <w:rPr>
          <w:rFonts w:ascii="Arial" w:hAnsi="Arial" w:cs="Arial"/>
        </w:rPr>
      </w:pPr>
    </w:p>
    <w:p w:rsidR="00CB20AA" w:rsidRDefault="00CB20AA" w:rsidP="00CB20AA">
      <w:pPr>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573B6" w:rsidRDefault="00B573B6"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B573B6" w:rsidRDefault="00B573B6"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572426">
        <w:rPr>
          <w:rFonts w:ascii="Arial" w:eastAsia="Times New Roman" w:hAnsi="Arial" w:cs="Arial"/>
          <w:b/>
        </w:rPr>
        <w:t>6</w:t>
      </w:r>
      <w:r w:rsidR="009F136E" w:rsidRPr="00B11FCD">
        <w:rPr>
          <w:rFonts w:ascii="Arial" w:eastAsia="Times New Roman" w:hAnsi="Arial" w:cs="Arial"/>
          <w:b/>
        </w:rPr>
        <w:t xml:space="preserve"> de </w:t>
      </w:r>
      <w:r w:rsidR="00E70EB4">
        <w:rPr>
          <w:rFonts w:ascii="Arial" w:eastAsia="Times New Roman" w:hAnsi="Arial" w:cs="Arial"/>
          <w:b/>
        </w:rPr>
        <w:t>noviembre</w:t>
      </w:r>
      <w:r w:rsidR="009819AE" w:rsidRPr="00B11FCD">
        <w:rPr>
          <w:rFonts w:ascii="Arial" w:eastAsia="Times New Roman" w:hAnsi="Arial" w:cs="Arial"/>
          <w:b/>
        </w:rPr>
        <w:t xml:space="preserve"> 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24235C" w:rsidRDefault="0024235C" w:rsidP="00C57509">
      <w:pPr>
        <w:jc w:val="both"/>
        <w:rPr>
          <w:rFonts w:ascii="Arial" w:eastAsia="Times New Roman" w:hAnsi="Arial" w:cs="Arial"/>
        </w:rPr>
      </w:pPr>
    </w:p>
    <w:p w:rsidR="00B573B6" w:rsidRDefault="00B573B6" w:rsidP="00C57509">
      <w:pPr>
        <w:jc w:val="both"/>
        <w:rPr>
          <w:rFonts w:ascii="Arial" w:eastAsia="Times New Roman" w:hAnsi="Arial" w:cs="Arial"/>
        </w:rPr>
      </w:pPr>
    </w:p>
    <w:p w:rsidR="00B573B6" w:rsidRDefault="00B573B6"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9F3053">
        <w:rPr>
          <w:rFonts w:ascii="Arial" w:hAnsi="Arial" w:cs="Arial"/>
          <w:b/>
        </w:rPr>
        <w:t>AR</w:t>
      </w:r>
      <w:r w:rsidR="008565C9" w:rsidRPr="006A523B">
        <w:rPr>
          <w:rFonts w:ascii="Arial" w:hAnsi="Arial" w:cs="Arial"/>
          <w:b/>
        </w:rPr>
        <w:t>/</w:t>
      </w:r>
      <w:r w:rsidR="00E70EB4">
        <w:rPr>
          <w:rFonts w:ascii="Arial" w:hAnsi="Arial" w:cs="Arial"/>
          <w:b/>
        </w:rPr>
        <w:t>74</w:t>
      </w:r>
      <w:r w:rsidR="008565C9" w:rsidRPr="006A523B">
        <w:rPr>
          <w:rFonts w:ascii="Arial" w:hAnsi="Arial" w:cs="Arial"/>
          <w:b/>
        </w:rPr>
        <w:t>/20</w:t>
      </w:r>
      <w:r w:rsidR="008565C9" w:rsidRPr="009F3053">
        <w:rPr>
          <w:rFonts w:ascii="Arial" w:hAnsi="Arial" w:cs="Arial"/>
          <w:b/>
        </w:rPr>
        <w:t>2</w:t>
      </w:r>
      <w:r w:rsidR="00F372DF" w:rsidRPr="009F3053">
        <w:rPr>
          <w:rFonts w:ascii="Arial" w:hAnsi="Arial" w:cs="Arial"/>
          <w:b/>
        </w:rPr>
        <w:t>5</w:t>
      </w:r>
      <w:r w:rsidRPr="009F3053">
        <w:rPr>
          <w:rFonts w:ascii="Arial" w:hAnsi="Arial" w:cs="Arial"/>
          <w:b/>
        </w:rPr>
        <w:t xml:space="preserve"> </w:t>
      </w:r>
      <w:r w:rsidRPr="009F3053">
        <w:rPr>
          <w:rFonts w:ascii="Arial" w:hAnsi="Arial" w:cs="Arial"/>
        </w:rPr>
        <w:t>emitido</w:t>
      </w:r>
      <w:r w:rsidRPr="00476EF2">
        <w:rPr>
          <w:rFonts w:ascii="Arial" w:hAnsi="Arial" w:cs="Arial"/>
        </w:rPr>
        <w:t xml:space="preserve">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914AAD" w:rsidRDefault="00914AAD"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w:t>
      </w:r>
      <w:r w:rsidR="00CB20AA">
        <w:rPr>
          <w:rFonts w:ascii="Arial" w:eastAsiaTheme="minorEastAsia" w:hAnsi="Arial" w:cs="Arial"/>
          <w:sz w:val="24"/>
          <w:szCs w:val="24"/>
          <w:lang w:eastAsia="es-ES"/>
        </w:rPr>
        <w:t>XI</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914AAD" w:rsidRDefault="00914AAD"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B573B6" w:rsidRDefault="00B573B6" w:rsidP="00C57509">
      <w:pPr>
        <w:jc w:val="center"/>
        <w:rPr>
          <w:rFonts w:ascii="Arial" w:hAnsi="Arial" w:cs="Arial"/>
          <w:b/>
        </w:rPr>
      </w:pPr>
    </w:p>
    <w:p w:rsidR="00476EF2" w:rsidRDefault="00476EF2" w:rsidP="00C57509">
      <w:pPr>
        <w:jc w:val="both"/>
        <w:rPr>
          <w:rFonts w:ascii="Arial" w:hAnsi="Arial" w:cs="Arial"/>
        </w:rPr>
      </w:pPr>
      <w:bookmarkStart w:id="5"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CC56D7">
        <w:rPr>
          <w:rFonts w:ascii="Arial" w:hAnsi="Arial" w:cs="Arial"/>
          <w:b/>
        </w:rPr>
        <w:t>AR/</w:t>
      </w:r>
      <w:r w:rsidR="00E70EB4">
        <w:rPr>
          <w:rFonts w:ascii="Arial" w:hAnsi="Arial" w:cs="Arial"/>
          <w:b/>
        </w:rPr>
        <w:t>74</w:t>
      </w:r>
      <w:r w:rsidR="008565C9" w:rsidRPr="006A523B">
        <w:rPr>
          <w:rFonts w:ascii="Arial" w:hAnsi="Arial" w:cs="Arial"/>
          <w:b/>
        </w:rPr>
        <w:t>/2</w:t>
      </w:r>
      <w:r w:rsidR="008565C9" w:rsidRPr="00CC56D7">
        <w:rPr>
          <w:rFonts w:ascii="Arial" w:hAnsi="Arial" w:cs="Arial"/>
          <w:b/>
        </w:rPr>
        <w:t>02</w:t>
      </w:r>
      <w:r w:rsidR="00F372DF" w:rsidRPr="00CC56D7">
        <w:rPr>
          <w:rFonts w:ascii="Arial" w:hAnsi="Arial" w:cs="Arial"/>
          <w:b/>
        </w:rPr>
        <w:t>5</w:t>
      </w:r>
      <w:r w:rsidRPr="00CC56D7">
        <w:rPr>
          <w:rFonts w:ascii="Arial" w:hAnsi="Arial" w:cs="Arial"/>
        </w:rPr>
        <w:t>,</w:t>
      </w:r>
      <w:r w:rsidRPr="00AE4D60">
        <w:rPr>
          <w:rFonts w:ascii="Arial" w:hAnsi="Arial" w:cs="Arial"/>
          <w:b/>
        </w:rPr>
        <w:t xml:space="preserve"> </w:t>
      </w:r>
      <w:r w:rsidRPr="00AE4D60">
        <w:rPr>
          <w:rFonts w:ascii="Arial" w:hAnsi="Arial" w:cs="Arial"/>
        </w:rPr>
        <w:t>emitido</w:t>
      </w:r>
      <w:r w:rsidRPr="00476EF2">
        <w:rPr>
          <w:rFonts w:ascii="Arial" w:hAnsi="Arial" w:cs="Arial"/>
        </w:rPr>
        <w:t xml:space="preserve">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743D1E" w:rsidRDefault="00743D1E" w:rsidP="00C57509">
      <w:pPr>
        <w:jc w:val="both"/>
        <w:rPr>
          <w:rFonts w:ascii="Arial" w:hAnsi="Arial" w:cs="Arial"/>
        </w:rPr>
      </w:pPr>
    </w:p>
    <w:p w:rsidR="00B573B6" w:rsidRDefault="00B573B6" w:rsidP="00BD6496">
      <w:pPr>
        <w:jc w:val="both"/>
        <w:rPr>
          <w:rFonts w:ascii="Arial" w:hAnsi="Arial" w:cs="Arial"/>
          <w:b/>
        </w:rPr>
      </w:pPr>
    </w:p>
    <w:p w:rsidR="00BD6496" w:rsidRDefault="00476EF2" w:rsidP="00BD6496">
      <w:pPr>
        <w:jc w:val="both"/>
        <w:rPr>
          <w:rFonts w:ascii="Arial" w:hAnsi="Arial" w:cs="Arial"/>
        </w:rPr>
      </w:pPr>
      <w:r w:rsidRPr="00476EF2">
        <w:rPr>
          <w:rFonts w:ascii="Arial" w:hAnsi="Arial" w:cs="Arial"/>
          <w:b/>
        </w:rPr>
        <w:t xml:space="preserve">SEGUNDO. </w:t>
      </w:r>
      <w:r w:rsidR="00BD6496">
        <w:rPr>
          <w:rFonts w:ascii="Arial" w:hAnsi="Arial" w:cs="Arial"/>
        </w:rPr>
        <w:t>El contador público Cesar Isidro Cruz, director General de Administración</w:t>
      </w:r>
      <w:r w:rsidR="00BD6496" w:rsidRPr="00476EF2">
        <w:rPr>
          <w:rFonts w:ascii="Arial" w:hAnsi="Arial" w:cs="Arial"/>
        </w:rPr>
        <w:t xml:space="preserve">, debe solicitar la desclasificación una vez que hayan fenecido las causas que dieron origen a la reserva o haya concluido el plazo establecido en el </w:t>
      </w:r>
      <w:r w:rsidR="00BD6496">
        <w:rPr>
          <w:rFonts w:ascii="Arial" w:hAnsi="Arial" w:cs="Arial"/>
        </w:rPr>
        <w:t>c</w:t>
      </w:r>
      <w:r w:rsidR="00BD6496" w:rsidRPr="00476EF2">
        <w:rPr>
          <w:rFonts w:ascii="Arial" w:hAnsi="Arial" w:cs="Arial"/>
        </w:rPr>
        <w:t xml:space="preserve">onsiderando </w:t>
      </w:r>
      <w:r w:rsidR="00BD6496" w:rsidRPr="00450A9E">
        <w:rPr>
          <w:rFonts w:ascii="Arial" w:hAnsi="Arial" w:cs="Arial"/>
          <w:i/>
        </w:rPr>
        <w:t>tercero</w:t>
      </w:r>
      <w:r w:rsidR="00BD6496" w:rsidRPr="00476EF2">
        <w:rPr>
          <w:rFonts w:ascii="Arial" w:hAnsi="Arial" w:cs="Arial"/>
        </w:rPr>
        <w:t xml:space="preserve"> </w:t>
      </w:r>
      <w:r w:rsidR="00BD6496">
        <w:rPr>
          <w:rFonts w:ascii="Arial" w:hAnsi="Arial" w:cs="Arial"/>
        </w:rPr>
        <w:t>fracción</w:t>
      </w:r>
      <w:r w:rsidR="00BD6496" w:rsidRPr="00476EF2">
        <w:rPr>
          <w:rFonts w:ascii="Arial" w:hAnsi="Arial" w:cs="Arial"/>
        </w:rPr>
        <w:t xml:space="preserve"> III de la presente resolución.</w:t>
      </w:r>
    </w:p>
    <w:p w:rsidR="00743D1E" w:rsidRDefault="00743D1E" w:rsidP="00C57509">
      <w:pPr>
        <w:jc w:val="both"/>
        <w:rPr>
          <w:rFonts w:ascii="Arial" w:hAnsi="Arial" w:cs="Arial"/>
          <w:color w:val="231F20"/>
        </w:rPr>
      </w:pPr>
    </w:p>
    <w:p w:rsidR="00B573B6" w:rsidRDefault="00B573B6" w:rsidP="00BD6496">
      <w:pPr>
        <w:jc w:val="both"/>
        <w:rPr>
          <w:rFonts w:ascii="Arial" w:hAnsi="Arial" w:cs="Arial"/>
          <w:b/>
        </w:rPr>
      </w:pPr>
    </w:p>
    <w:p w:rsidR="00BD6496" w:rsidRPr="00476EF2" w:rsidRDefault="00476EF2" w:rsidP="00BD6496">
      <w:pPr>
        <w:jc w:val="both"/>
        <w:rPr>
          <w:rFonts w:ascii="Arial" w:hAnsi="Arial" w:cs="Arial"/>
          <w:color w:val="231F20"/>
        </w:rPr>
      </w:pPr>
      <w:r w:rsidRPr="00476EF2">
        <w:rPr>
          <w:rFonts w:ascii="Arial" w:hAnsi="Arial" w:cs="Arial"/>
          <w:b/>
        </w:rPr>
        <w:t xml:space="preserve">TERCERO. </w:t>
      </w:r>
      <w:r w:rsidR="00BD6496" w:rsidRPr="00476EF2">
        <w:rPr>
          <w:rFonts w:ascii="Arial" w:hAnsi="Arial" w:cs="Arial"/>
        </w:rPr>
        <w:t>Se instruye</w:t>
      </w:r>
      <w:r w:rsidR="00BD6496">
        <w:rPr>
          <w:rFonts w:ascii="Arial" w:hAnsi="Arial" w:cs="Arial"/>
        </w:rPr>
        <w:t xml:space="preserve"> al contador público Cesar Isidro Cruz, director General de Administración</w:t>
      </w:r>
      <w:r w:rsidR="00BD6496" w:rsidRPr="00476EF2">
        <w:rPr>
          <w:rFonts w:ascii="Arial" w:hAnsi="Arial" w:cs="Arial"/>
        </w:rPr>
        <w:t xml:space="preserve"> para que dé cumplimiento a los efectos de la presente resolución</w:t>
      </w:r>
      <w:r w:rsidR="00BD6496">
        <w:rPr>
          <w:rFonts w:ascii="Arial" w:hAnsi="Arial" w:cs="Arial"/>
        </w:rPr>
        <w:t xml:space="preserve"> establecidos en el considerando </w:t>
      </w:r>
      <w:r w:rsidR="00BD6496" w:rsidRPr="00450A9E">
        <w:rPr>
          <w:rFonts w:ascii="Arial" w:hAnsi="Arial" w:cs="Arial"/>
          <w:i/>
        </w:rPr>
        <w:t>tercero</w:t>
      </w:r>
      <w:r w:rsidR="00BD6496">
        <w:rPr>
          <w:rFonts w:ascii="Arial" w:hAnsi="Arial" w:cs="Arial"/>
        </w:rPr>
        <w:t xml:space="preserve"> fracción IV</w:t>
      </w:r>
      <w:r w:rsidR="00BD6496" w:rsidRPr="00476EF2">
        <w:rPr>
          <w:rFonts w:ascii="Arial" w:hAnsi="Arial" w:cs="Arial"/>
        </w:rPr>
        <w:t>.</w:t>
      </w:r>
    </w:p>
    <w:p w:rsidR="005E49F0" w:rsidRDefault="00257D8B" w:rsidP="001A6119">
      <w:pPr>
        <w:spacing w:line="276" w:lineRule="auto"/>
        <w:jc w:val="both"/>
        <w:rPr>
          <w:rFonts w:ascii="Arial" w:hAnsi="Arial" w:cs="Arial"/>
          <w:b/>
        </w:rPr>
      </w:pPr>
      <w:r>
        <w:rPr>
          <w:rFonts w:ascii="Arial" w:hAnsi="Arial" w:cs="Arial"/>
        </w:rPr>
        <w:lastRenderedPageBreak/>
        <w:t>Para los registros del Comité</w:t>
      </w:r>
      <w:r w:rsidRPr="00EA6921">
        <w:rPr>
          <w:rFonts w:ascii="Arial" w:hAnsi="Arial" w:cs="Arial"/>
        </w:rPr>
        <w:t xml:space="preserve"> de Transparencia se le asigna </w:t>
      </w:r>
      <w:r>
        <w:rPr>
          <w:rFonts w:ascii="Arial" w:hAnsi="Arial" w:cs="Arial"/>
        </w:rPr>
        <w:t xml:space="preserve">a la presente resolución </w:t>
      </w:r>
      <w:r w:rsidRPr="00EA6921">
        <w:rPr>
          <w:rFonts w:ascii="Arial" w:hAnsi="Arial" w:cs="Arial"/>
        </w:rPr>
        <w:t xml:space="preserve">el consecutivo </w:t>
      </w:r>
      <w:r>
        <w:rPr>
          <w:rFonts w:ascii="Arial" w:hAnsi="Arial" w:cs="Arial"/>
          <w:b/>
        </w:rPr>
        <w:t>FGE-CT-</w:t>
      </w:r>
      <w:r w:rsidR="00C16321">
        <w:rPr>
          <w:rFonts w:ascii="Arial" w:hAnsi="Arial" w:cs="Arial"/>
          <w:b/>
        </w:rPr>
        <w:t>AR</w:t>
      </w:r>
      <w:r w:rsidRPr="006A523B">
        <w:rPr>
          <w:rFonts w:ascii="Arial" w:hAnsi="Arial" w:cs="Arial"/>
          <w:b/>
        </w:rPr>
        <w:t>-</w:t>
      </w:r>
      <w:r w:rsidR="00E70EB4">
        <w:rPr>
          <w:rFonts w:ascii="Arial" w:hAnsi="Arial" w:cs="Arial"/>
          <w:b/>
        </w:rPr>
        <w:t>226</w:t>
      </w:r>
      <w:r w:rsidRPr="006A523B">
        <w:rPr>
          <w:rFonts w:ascii="Arial" w:hAnsi="Arial" w:cs="Arial"/>
          <w:b/>
        </w:rPr>
        <w:t>-2025</w:t>
      </w:r>
      <w:r w:rsidR="001A6119" w:rsidRPr="006A523B">
        <w:rPr>
          <w:rFonts w:ascii="Arial" w:hAnsi="Arial" w:cs="Arial"/>
          <w:b/>
        </w:rPr>
        <w:t>.</w:t>
      </w:r>
      <w:r w:rsidR="001A6119">
        <w:rPr>
          <w:rFonts w:ascii="Arial" w:hAnsi="Arial" w:cs="Arial"/>
          <w:b/>
        </w:rPr>
        <w:t xml:space="preserve"> </w:t>
      </w:r>
    </w:p>
    <w:p w:rsidR="007F63C2" w:rsidRDefault="007F63C2" w:rsidP="00C57509">
      <w:pPr>
        <w:jc w:val="both"/>
        <w:rPr>
          <w:rFonts w:ascii="Arial" w:hAnsi="Arial" w:cs="Arial"/>
          <w:b/>
        </w:rPr>
      </w:pPr>
    </w:p>
    <w:bookmarkEnd w:id="5"/>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694F13" w:rsidRDefault="00694F13" w:rsidP="00C57509">
      <w:pPr>
        <w:rPr>
          <w:rFonts w:ascii="Arial" w:hAnsi="Arial" w:cs="Arial"/>
        </w:rPr>
      </w:pPr>
    </w:p>
    <w:p w:rsidR="006A523B" w:rsidRDefault="006A523B" w:rsidP="00C57509">
      <w:pPr>
        <w:rPr>
          <w:rFonts w:ascii="Arial" w:hAnsi="Arial" w:cs="Arial"/>
        </w:rPr>
      </w:pPr>
    </w:p>
    <w:p w:rsidR="001A6119" w:rsidRDefault="001A6119" w:rsidP="00C57509">
      <w:pPr>
        <w:rPr>
          <w:rFonts w:ascii="Arial" w:hAnsi="Arial" w:cs="Arial"/>
        </w:rPr>
      </w:pPr>
    </w:p>
    <w:p w:rsidR="00AE4D60" w:rsidRPr="00844277" w:rsidRDefault="00AE4D60"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AE4D60" w:rsidRDefault="00AE4D60"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7A1D44" w:rsidRDefault="007A1D44"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C16321" w:rsidRDefault="00C16321" w:rsidP="00C16321">
      <w:pPr>
        <w:rPr>
          <w:rFonts w:ascii="Arial" w:hAnsi="Arial" w:cs="Arial"/>
          <w:b/>
        </w:rPr>
      </w:pPr>
      <w:r>
        <w:rPr>
          <w:rFonts w:ascii="Arial" w:hAnsi="Arial" w:cs="Arial"/>
          <w:b/>
        </w:rPr>
        <w:t>MAESTRO CARLOS ALEJANDRO PONCE RODRÍGUEZ</w:t>
      </w:r>
    </w:p>
    <w:p w:rsidR="00C16321" w:rsidRDefault="00C16321" w:rsidP="00C16321">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AE4D60" w:rsidRDefault="00AE4D60"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914AAD" w:rsidRDefault="00914AAD" w:rsidP="00914AAD">
      <w:pPr>
        <w:rPr>
          <w:rFonts w:ascii="Arial" w:hAnsi="Arial" w:cs="Arial"/>
          <w:b/>
        </w:rPr>
      </w:pPr>
      <w:r>
        <w:rPr>
          <w:rFonts w:ascii="Arial" w:hAnsi="Arial" w:cs="Arial"/>
          <w:b/>
        </w:rPr>
        <w:t xml:space="preserve">DOCTOR JESUS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70EB4">
      <w:headerReference w:type="even" r:id="rId9"/>
      <w:headerReference w:type="default" r:id="rId10"/>
      <w:footerReference w:type="even" r:id="rId11"/>
      <w:footerReference w:type="default" r:id="rId12"/>
      <w:headerReference w:type="first" r:id="rId13"/>
      <w:footerReference w:type="first" r:id="rId14"/>
      <w:pgSz w:w="12240" w:h="15840"/>
      <w:pgMar w:top="2410"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5752" w:rsidRDefault="00BB5752">
      <w:r>
        <w:separator/>
      </w:r>
    </w:p>
  </w:endnote>
  <w:endnote w:type="continuationSeparator" w:id="0">
    <w:p w:rsidR="00BB5752" w:rsidRDefault="00BB5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79D7" w:rsidRDefault="009E79D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79D7" w:rsidRDefault="009E79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5752" w:rsidRDefault="00BB5752">
      <w:r>
        <w:separator/>
      </w:r>
    </w:p>
  </w:footnote>
  <w:footnote w:type="continuationSeparator" w:id="0">
    <w:p w:rsidR="00BB5752" w:rsidRDefault="00BB57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79D7" w:rsidRDefault="009E79D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606172"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E79D7">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606173"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-443188</wp:posOffset>
          </wp:positionV>
          <wp:extent cx="7772400" cy="100457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r w:rsidR="006A523B">
      <w:rPr>
        <w:noProof/>
        <w:lang w:eastAsia="es-MX"/>
      </w:rPr>
      <w:t>1</w:t>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DE0FAB" w:rsidRDefault="00DE0FAB">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E70EB4" w:rsidTr="00E70EB4">
      <w:tc>
        <w:tcPr>
          <w:tcW w:w="9962" w:type="dxa"/>
          <w:shd w:val="clear" w:color="auto" w:fill="000000" w:themeFill="text1"/>
        </w:tcPr>
        <w:p w:rsidR="00E70EB4" w:rsidRPr="00E70EB4" w:rsidRDefault="00E70EB4" w:rsidP="00E70EB4">
          <w:pPr>
            <w:spacing w:line="276" w:lineRule="auto"/>
            <w:jc w:val="both"/>
            <w:rPr>
              <w:lang w:val="es-ES"/>
            </w:rPr>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Décima</w:t>
          </w:r>
          <w:r w:rsidRPr="00D338A0">
            <w:rPr>
              <w:rFonts w:ascii="Arial" w:hAnsi="Arial" w:cs="Arial"/>
              <w:color w:val="FFFFFF" w:themeColor="background1"/>
              <w:sz w:val="18"/>
              <w:szCs w:val="18"/>
            </w:rPr>
            <w:t xml:space="preserve"> </w:t>
          </w:r>
          <w:r>
            <w:rPr>
              <w:rFonts w:ascii="Arial" w:hAnsi="Arial" w:cs="Arial"/>
              <w:color w:val="FFFFFF" w:themeColor="background1"/>
              <w:sz w:val="18"/>
              <w:szCs w:val="18"/>
            </w:rPr>
            <w:t xml:space="preserve">primera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2E1506">
            <w:rPr>
              <w:rFonts w:ascii="Arial" w:hAnsi="Arial" w:cs="Arial"/>
              <w:b/>
              <w:color w:val="FFFFFF" w:themeColor="background1"/>
              <w:sz w:val="18"/>
              <w:szCs w:val="18"/>
              <w:lang w:val="es-ES"/>
            </w:rPr>
            <w:t>AR</w:t>
          </w:r>
          <w:r w:rsidRPr="006A523B">
            <w:rPr>
              <w:rFonts w:ascii="Arial" w:hAnsi="Arial" w:cs="Arial"/>
              <w:b/>
              <w:color w:val="FFFFFF" w:themeColor="background1"/>
              <w:sz w:val="18"/>
              <w:szCs w:val="18"/>
              <w:lang w:val="es-ES"/>
            </w:rPr>
            <w:t>/</w:t>
          </w:r>
          <w:r>
            <w:rPr>
              <w:rFonts w:ascii="Arial" w:hAnsi="Arial" w:cs="Arial"/>
              <w:b/>
              <w:color w:val="FFFFFF" w:themeColor="background1"/>
              <w:sz w:val="18"/>
              <w:szCs w:val="18"/>
              <w:lang w:val="es-ES"/>
            </w:rPr>
            <w:t>74</w:t>
          </w:r>
          <w:r w:rsidRPr="006A523B">
            <w:rPr>
              <w:rFonts w:ascii="Arial" w:hAnsi="Arial" w:cs="Arial"/>
              <w:b/>
              <w:color w:val="FFFFFF" w:themeColor="background1"/>
              <w:sz w:val="18"/>
              <w:szCs w:val="18"/>
              <w:lang w:val="es-ES"/>
            </w:rPr>
            <w:t>/</w:t>
          </w:r>
          <w:r w:rsidRPr="002E1506">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E70EB4" w:rsidRDefault="00E70EB4" w:rsidP="00E70EB4">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79D7" w:rsidRDefault="009E79D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606171"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56866F2"/>
    <w:multiLevelType w:val="hybridMultilevel"/>
    <w:tmpl w:val="0CBE34B2"/>
    <w:lvl w:ilvl="0" w:tplc="FBF0C75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30963"/>
    <w:multiLevelType w:val="hybridMultilevel"/>
    <w:tmpl w:val="A8EA9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4BE05BE0"/>
    <w:lvl w:ilvl="0">
      <w:start w:val="1"/>
      <w:numFmt w:val="upperRoman"/>
      <w:lvlText w:val="%1."/>
      <w:lvlJc w:val="left"/>
      <w:pPr>
        <w:ind w:left="1004"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3B53AB0"/>
    <w:multiLevelType w:val="hybridMultilevel"/>
    <w:tmpl w:val="CF406E96"/>
    <w:lvl w:ilvl="0" w:tplc="E410F14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4"/>
  </w:num>
  <w:num w:numId="3">
    <w:abstractNumId w:val="13"/>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num>
  <w:num w:numId="12">
    <w:abstractNumId w:val="3"/>
  </w:num>
  <w:num w:numId="13">
    <w:abstractNumId w:val="5"/>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2F50"/>
    <w:rsid w:val="000F34F2"/>
    <w:rsid w:val="000F7924"/>
    <w:rsid w:val="00104B37"/>
    <w:rsid w:val="0010725A"/>
    <w:rsid w:val="001112A7"/>
    <w:rsid w:val="001122B3"/>
    <w:rsid w:val="001158F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00BD"/>
    <w:rsid w:val="00192119"/>
    <w:rsid w:val="00196E5A"/>
    <w:rsid w:val="00196E9A"/>
    <w:rsid w:val="001A0FF2"/>
    <w:rsid w:val="001A1BA9"/>
    <w:rsid w:val="001A32B1"/>
    <w:rsid w:val="001A6119"/>
    <w:rsid w:val="001B0330"/>
    <w:rsid w:val="001B3E1B"/>
    <w:rsid w:val="001B45DE"/>
    <w:rsid w:val="001B5915"/>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3F85"/>
    <w:rsid w:val="002161EA"/>
    <w:rsid w:val="00216D37"/>
    <w:rsid w:val="00217409"/>
    <w:rsid w:val="0022103D"/>
    <w:rsid w:val="002224C6"/>
    <w:rsid w:val="00234321"/>
    <w:rsid w:val="00241C03"/>
    <w:rsid w:val="0024235C"/>
    <w:rsid w:val="00244CB1"/>
    <w:rsid w:val="00244E15"/>
    <w:rsid w:val="00244EE4"/>
    <w:rsid w:val="002513CE"/>
    <w:rsid w:val="0025149A"/>
    <w:rsid w:val="00256AE8"/>
    <w:rsid w:val="00257429"/>
    <w:rsid w:val="00257D8B"/>
    <w:rsid w:val="002608EC"/>
    <w:rsid w:val="00262F6F"/>
    <w:rsid w:val="002648E0"/>
    <w:rsid w:val="002652A7"/>
    <w:rsid w:val="00273340"/>
    <w:rsid w:val="00275CAB"/>
    <w:rsid w:val="00276017"/>
    <w:rsid w:val="002777F2"/>
    <w:rsid w:val="00281BD8"/>
    <w:rsid w:val="002825DF"/>
    <w:rsid w:val="00290A2E"/>
    <w:rsid w:val="00290B5E"/>
    <w:rsid w:val="00291A4A"/>
    <w:rsid w:val="002935FF"/>
    <w:rsid w:val="002B5530"/>
    <w:rsid w:val="002B62D5"/>
    <w:rsid w:val="002B7462"/>
    <w:rsid w:val="002C182D"/>
    <w:rsid w:val="002C492F"/>
    <w:rsid w:val="002C4DF5"/>
    <w:rsid w:val="002D0260"/>
    <w:rsid w:val="002E085B"/>
    <w:rsid w:val="002E1506"/>
    <w:rsid w:val="002E1A1F"/>
    <w:rsid w:val="002E1D10"/>
    <w:rsid w:val="002E26A8"/>
    <w:rsid w:val="002E6666"/>
    <w:rsid w:val="002E7CE8"/>
    <w:rsid w:val="002F210D"/>
    <w:rsid w:val="002F2252"/>
    <w:rsid w:val="002F4682"/>
    <w:rsid w:val="002F5BA4"/>
    <w:rsid w:val="002F5CAB"/>
    <w:rsid w:val="002F7281"/>
    <w:rsid w:val="003003C1"/>
    <w:rsid w:val="00303ECE"/>
    <w:rsid w:val="00311032"/>
    <w:rsid w:val="00311B65"/>
    <w:rsid w:val="0032003C"/>
    <w:rsid w:val="00322663"/>
    <w:rsid w:val="00322769"/>
    <w:rsid w:val="00326DD7"/>
    <w:rsid w:val="00327EA5"/>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B3DF4"/>
    <w:rsid w:val="003C1381"/>
    <w:rsid w:val="003C17BE"/>
    <w:rsid w:val="003C2D3B"/>
    <w:rsid w:val="003D24D7"/>
    <w:rsid w:val="003D3322"/>
    <w:rsid w:val="003D379C"/>
    <w:rsid w:val="003D6E37"/>
    <w:rsid w:val="003D721A"/>
    <w:rsid w:val="003D7E0D"/>
    <w:rsid w:val="003D7F94"/>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1CCE"/>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1BBD"/>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2426"/>
    <w:rsid w:val="005753B3"/>
    <w:rsid w:val="005809FF"/>
    <w:rsid w:val="00581A7F"/>
    <w:rsid w:val="0058247A"/>
    <w:rsid w:val="00582BE7"/>
    <w:rsid w:val="00584602"/>
    <w:rsid w:val="00586B10"/>
    <w:rsid w:val="00590B9B"/>
    <w:rsid w:val="00592B3F"/>
    <w:rsid w:val="005962DD"/>
    <w:rsid w:val="00597895"/>
    <w:rsid w:val="005A2227"/>
    <w:rsid w:val="005A5C66"/>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7E7E"/>
    <w:rsid w:val="005F457C"/>
    <w:rsid w:val="005F550E"/>
    <w:rsid w:val="005F7CFE"/>
    <w:rsid w:val="006036CF"/>
    <w:rsid w:val="006046F9"/>
    <w:rsid w:val="006060DC"/>
    <w:rsid w:val="006161FB"/>
    <w:rsid w:val="006208A2"/>
    <w:rsid w:val="00620AA5"/>
    <w:rsid w:val="00620EB9"/>
    <w:rsid w:val="006214A7"/>
    <w:rsid w:val="00622506"/>
    <w:rsid w:val="006235C6"/>
    <w:rsid w:val="00624454"/>
    <w:rsid w:val="00625535"/>
    <w:rsid w:val="006272C3"/>
    <w:rsid w:val="0062770E"/>
    <w:rsid w:val="00627959"/>
    <w:rsid w:val="00631FA4"/>
    <w:rsid w:val="00633915"/>
    <w:rsid w:val="00633FD2"/>
    <w:rsid w:val="00634DF4"/>
    <w:rsid w:val="006356BE"/>
    <w:rsid w:val="00635FB1"/>
    <w:rsid w:val="00636AD6"/>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23B"/>
    <w:rsid w:val="006A570F"/>
    <w:rsid w:val="006B0801"/>
    <w:rsid w:val="006B331C"/>
    <w:rsid w:val="006B4084"/>
    <w:rsid w:val="006B4DD5"/>
    <w:rsid w:val="006B7482"/>
    <w:rsid w:val="006C0831"/>
    <w:rsid w:val="006C25A9"/>
    <w:rsid w:val="006C5FA7"/>
    <w:rsid w:val="006E21D7"/>
    <w:rsid w:val="006E6D1D"/>
    <w:rsid w:val="006F077F"/>
    <w:rsid w:val="006F086E"/>
    <w:rsid w:val="006F1DA3"/>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3BF3"/>
    <w:rsid w:val="00743D1E"/>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D44"/>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7C2"/>
    <w:rsid w:val="007F2DA8"/>
    <w:rsid w:val="007F4E72"/>
    <w:rsid w:val="007F56DE"/>
    <w:rsid w:val="007F6370"/>
    <w:rsid w:val="007F63C2"/>
    <w:rsid w:val="00805047"/>
    <w:rsid w:val="00805092"/>
    <w:rsid w:val="008070A6"/>
    <w:rsid w:val="00812BF7"/>
    <w:rsid w:val="00814012"/>
    <w:rsid w:val="00816E9B"/>
    <w:rsid w:val="008235C2"/>
    <w:rsid w:val="00823D57"/>
    <w:rsid w:val="00823F6E"/>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EB5"/>
    <w:rsid w:val="00896ADA"/>
    <w:rsid w:val="00897CB8"/>
    <w:rsid w:val="008A6D52"/>
    <w:rsid w:val="008B2F16"/>
    <w:rsid w:val="008B3A82"/>
    <w:rsid w:val="008C1FCF"/>
    <w:rsid w:val="008C2B4C"/>
    <w:rsid w:val="008C5A4E"/>
    <w:rsid w:val="008D1E6A"/>
    <w:rsid w:val="008D3B76"/>
    <w:rsid w:val="008D4C6C"/>
    <w:rsid w:val="008D7FD6"/>
    <w:rsid w:val="008F4DEC"/>
    <w:rsid w:val="008F508A"/>
    <w:rsid w:val="008F60DF"/>
    <w:rsid w:val="0090066D"/>
    <w:rsid w:val="009007AA"/>
    <w:rsid w:val="00904454"/>
    <w:rsid w:val="00905A2D"/>
    <w:rsid w:val="009062D3"/>
    <w:rsid w:val="00906987"/>
    <w:rsid w:val="00914AAD"/>
    <w:rsid w:val="00916A8C"/>
    <w:rsid w:val="009202F3"/>
    <w:rsid w:val="00920E6D"/>
    <w:rsid w:val="00920F7B"/>
    <w:rsid w:val="00926017"/>
    <w:rsid w:val="00926C71"/>
    <w:rsid w:val="00927902"/>
    <w:rsid w:val="00930C23"/>
    <w:rsid w:val="009311C4"/>
    <w:rsid w:val="00931B62"/>
    <w:rsid w:val="00932D2B"/>
    <w:rsid w:val="00936591"/>
    <w:rsid w:val="00937045"/>
    <w:rsid w:val="00943A60"/>
    <w:rsid w:val="009445F1"/>
    <w:rsid w:val="00947CF5"/>
    <w:rsid w:val="00952023"/>
    <w:rsid w:val="009527D5"/>
    <w:rsid w:val="00952B63"/>
    <w:rsid w:val="00953594"/>
    <w:rsid w:val="00954944"/>
    <w:rsid w:val="0095660D"/>
    <w:rsid w:val="00961F3B"/>
    <w:rsid w:val="00967709"/>
    <w:rsid w:val="00973D78"/>
    <w:rsid w:val="009773ED"/>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E79D7"/>
    <w:rsid w:val="009F136E"/>
    <w:rsid w:val="009F1F56"/>
    <w:rsid w:val="009F251B"/>
    <w:rsid w:val="009F25F5"/>
    <w:rsid w:val="009F3053"/>
    <w:rsid w:val="009F61A6"/>
    <w:rsid w:val="009F7723"/>
    <w:rsid w:val="00A00378"/>
    <w:rsid w:val="00A016D5"/>
    <w:rsid w:val="00A027E0"/>
    <w:rsid w:val="00A03060"/>
    <w:rsid w:val="00A11177"/>
    <w:rsid w:val="00A1332F"/>
    <w:rsid w:val="00A142C3"/>
    <w:rsid w:val="00A14DD5"/>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C07"/>
    <w:rsid w:val="00A67F68"/>
    <w:rsid w:val="00A720FD"/>
    <w:rsid w:val="00A7533A"/>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014"/>
    <w:rsid w:val="00AD79A6"/>
    <w:rsid w:val="00AE4C4A"/>
    <w:rsid w:val="00AE4D60"/>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3B6"/>
    <w:rsid w:val="00B579E5"/>
    <w:rsid w:val="00B60DD6"/>
    <w:rsid w:val="00B62AAE"/>
    <w:rsid w:val="00B6394A"/>
    <w:rsid w:val="00B66D2F"/>
    <w:rsid w:val="00B70007"/>
    <w:rsid w:val="00B72D93"/>
    <w:rsid w:val="00B7307C"/>
    <w:rsid w:val="00B735F7"/>
    <w:rsid w:val="00B74065"/>
    <w:rsid w:val="00B80027"/>
    <w:rsid w:val="00B82063"/>
    <w:rsid w:val="00B835A7"/>
    <w:rsid w:val="00B8766D"/>
    <w:rsid w:val="00B87A0B"/>
    <w:rsid w:val="00B87F89"/>
    <w:rsid w:val="00B90860"/>
    <w:rsid w:val="00B90A8A"/>
    <w:rsid w:val="00B90AE3"/>
    <w:rsid w:val="00B9390A"/>
    <w:rsid w:val="00B96B8C"/>
    <w:rsid w:val="00BA05C2"/>
    <w:rsid w:val="00BA3E12"/>
    <w:rsid w:val="00BA41D6"/>
    <w:rsid w:val="00BB225B"/>
    <w:rsid w:val="00BB5752"/>
    <w:rsid w:val="00BB6469"/>
    <w:rsid w:val="00BB6845"/>
    <w:rsid w:val="00BC0B10"/>
    <w:rsid w:val="00BC22A8"/>
    <w:rsid w:val="00BC31AA"/>
    <w:rsid w:val="00BC37ED"/>
    <w:rsid w:val="00BD1CA5"/>
    <w:rsid w:val="00BD2550"/>
    <w:rsid w:val="00BD570D"/>
    <w:rsid w:val="00BD6496"/>
    <w:rsid w:val="00BE587C"/>
    <w:rsid w:val="00BE5C2C"/>
    <w:rsid w:val="00BE6BCF"/>
    <w:rsid w:val="00BF2889"/>
    <w:rsid w:val="00BF3665"/>
    <w:rsid w:val="00BF5146"/>
    <w:rsid w:val="00BF5FB4"/>
    <w:rsid w:val="00BF665C"/>
    <w:rsid w:val="00BF7C0E"/>
    <w:rsid w:val="00C01500"/>
    <w:rsid w:val="00C16321"/>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84F5B"/>
    <w:rsid w:val="00C90D83"/>
    <w:rsid w:val="00C96F2F"/>
    <w:rsid w:val="00C97E2B"/>
    <w:rsid w:val="00CA1236"/>
    <w:rsid w:val="00CA32D1"/>
    <w:rsid w:val="00CA6E6A"/>
    <w:rsid w:val="00CB20AA"/>
    <w:rsid w:val="00CB2DB5"/>
    <w:rsid w:val="00CB380F"/>
    <w:rsid w:val="00CB78A0"/>
    <w:rsid w:val="00CB7ADB"/>
    <w:rsid w:val="00CC0518"/>
    <w:rsid w:val="00CC56D7"/>
    <w:rsid w:val="00CD08A9"/>
    <w:rsid w:val="00CD106D"/>
    <w:rsid w:val="00CD259B"/>
    <w:rsid w:val="00CD3222"/>
    <w:rsid w:val="00CD3676"/>
    <w:rsid w:val="00CD7BBA"/>
    <w:rsid w:val="00CE1625"/>
    <w:rsid w:val="00CF11DE"/>
    <w:rsid w:val="00CF5326"/>
    <w:rsid w:val="00CF5772"/>
    <w:rsid w:val="00D01046"/>
    <w:rsid w:val="00D024F4"/>
    <w:rsid w:val="00D0353D"/>
    <w:rsid w:val="00D038C9"/>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9B1"/>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0920"/>
    <w:rsid w:val="00DB2030"/>
    <w:rsid w:val="00DB2978"/>
    <w:rsid w:val="00DB51DB"/>
    <w:rsid w:val="00DC1C7F"/>
    <w:rsid w:val="00DC2367"/>
    <w:rsid w:val="00DC37CD"/>
    <w:rsid w:val="00DD2A4D"/>
    <w:rsid w:val="00DD37DB"/>
    <w:rsid w:val="00DD6DC7"/>
    <w:rsid w:val="00DE0FAB"/>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0EB4"/>
    <w:rsid w:val="00E716B5"/>
    <w:rsid w:val="00E7366C"/>
    <w:rsid w:val="00E74D9F"/>
    <w:rsid w:val="00E75443"/>
    <w:rsid w:val="00E76116"/>
    <w:rsid w:val="00E82FD0"/>
    <w:rsid w:val="00E852E0"/>
    <w:rsid w:val="00E864EA"/>
    <w:rsid w:val="00E8769E"/>
    <w:rsid w:val="00E87BD2"/>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C7365"/>
    <w:rsid w:val="00ED1602"/>
    <w:rsid w:val="00EE1B94"/>
    <w:rsid w:val="00EE2AB2"/>
    <w:rsid w:val="00EE4402"/>
    <w:rsid w:val="00EF0DD3"/>
    <w:rsid w:val="00EF1BD7"/>
    <w:rsid w:val="00EF28B4"/>
    <w:rsid w:val="00EF5541"/>
    <w:rsid w:val="00EF583B"/>
    <w:rsid w:val="00EF6001"/>
    <w:rsid w:val="00F0180B"/>
    <w:rsid w:val="00F02A16"/>
    <w:rsid w:val="00F0528C"/>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1A0"/>
    <w:rsid w:val="00F53DFF"/>
    <w:rsid w:val="00F57BEF"/>
    <w:rsid w:val="00F57D2A"/>
    <w:rsid w:val="00F6015F"/>
    <w:rsid w:val="00F60BAA"/>
    <w:rsid w:val="00F623FE"/>
    <w:rsid w:val="00F64080"/>
    <w:rsid w:val="00F66C46"/>
    <w:rsid w:val="00F678C6"/>
    <w:rsid w:val="00F75336"/>
    <w:rsid w:val="00F76C58"/>
    <w:rsid w:val="00F8233E"/>
    <w:rsid w:val="00F824BC"/>
    <w:rsid w:val="00F83DF1"/>
    <w:rsid w:val="00F85303"/>
    <w:rsid w:val="00F87C0B"/>
    <w:rsid w:val="00F9186B"/>
    <w:rsid w:val="00F9233E"/>
    <w:rsid w:val="00F93544"/>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F53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916470849">
      <w:bodyDiv w:val="1"/>
      <w:marLeft w:val="0"/>
      <w:marRight w:val="0"/>
      <w:marTop w:val="0"/>
      <w:marBottom w:val="0"/>
      <w:divBdr>
        <w:top w:val="none" w:sz="0" w:space="0" w:color="auto"/>
        <w:left w:val="none" w:sz="0" w:space="0" w:color="auto"/>
        <w:bottom w:val="none" w:sz="0" w:space="0" w:color="auto"/>
        <w:right w:val="none" w:sz="0" w:space="0" w:color="auto"/>
      </w:divBdr>
    </w:div>
    <w:div w:id="2095008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786081-78DC-48CA-9125-E2DFB2F5E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392</TotalTime>
  <Pages>12</Pages>
  <Words>4998</Words>
  <Characters>27489</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39</cp:revision>
  <cp:lastPrinted>2025-11-03T20:00:00Z</cp:lastPrinted>
  <dcterms:created xsi:type="dcterms:W3CDTF">2025-03-04T23:21:00Z</dcterms:created>
  <dcterms:modified xsi:type="dcterms:W3CDTF">2025-11-12T20:29:00Z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