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8764AA">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8764AA">
        <w:rPr>
          <w:rFonts w:ascii="Arial" w:hAnsi="Arial" w:cs="Arial"/>
          <w:b/>
          <w:sz w:val="24"/>
          <w:szCs w:val="24"/>
        </w:rPr>
        <w:t>septiembre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8764AA">
        <w:rPr>
          <w:rFonts w:ascii="Arial" w:hAnsi="Arial" w:cs="Arial"/>
          <w:b/>
          <w:sz w:val="24"/>
          <w:szCs w:val="24"/>
        </w:rPr>
        <w:t>novena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BF3665"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E0610B">
        <w:rPr>
          <w:rFonts w:ascii="Arial" w:hAnsi="Arial" w:cs="Arial"/>
          <w:sz w:val="24"/>
          <w:szCs w:val="24"/>
        </w:rPr>
        <w:t xml:space="preserve">El </w:t>
      </w:r>
      <w:r w:rsidR="00672FE8">
        <w:rPr>
          <w:rFonts w:ascii="Arial" w:hAnsi="Arial" w:cs="Arial"/>
          <w:sz w:val="24"/>
          <w:szCs w:val="24"/>
        </w:rPr>
        <w:t>director General de Administración Cesar Isidro Cruz</w:t>
      </w:r>
      <w:r w:rsidR="00D4742A" w:rsidRPr="00115CE3">
        <w:rPr>
          <w:rFonts w:ascii="Arial" w:hAnsi="Arial" w:cs="Arial"/>
          <w:sz w:val="24"/>
          <w:szCs w:val="24"/>
        </w:rPr>
        <w:t>,</w:t>
      </w:r>
      <w:r w:rsidRPr="00115CE3">
        <w:rPr>
          <w:rFonts w:ascii="Arial" w:hAnsi="Arial" w:cs="Arial"/>
          <w:sz w:val="24"/>
          <w:szCs w:val="24"/>
        </w:rPr>
        <w:t xml:space="preserve"> mediante oficio </w:t>
      </w:r>
      <w:r w:rsidR="00CE3272">
        <w:rPr>
          <w:rFonts w:ascii="Arial" w:hAnsi="Arial" w:cs="Arial"/>
          <w:b/>
          <w:sz w:val="24"/>
          <w:szCs w:val="24"/>
        </w:rPr>
        <w:t>DGA/DRH/</w:t>
      </w:r>
      <w:r w:rsidR="00735291">
        <w:rPr>
          <w:rFonts w:ascii="Arial" w:hAnsi="Arial" w:cs="Arial"/>
          <w:b/>
          <w:sz w:val="24"/>
          <w:szCs w:val="24"/>
        </w:rPr>
        <w:t>3400</w:t>
      </w:r>
      <w:r w:rsidR="00D4742A" w:rsidRPr="00115CE3">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F801A9">
        <w:rPr>
          <w:rFonts w:ascii="Arial" w:hAnsi="Arial" w:cs="Arial"/>
          <w:b/>
          <w:sz w:val="24"/>
          <w:szCs w:val="24"/>
        </w:rPr>
        <w:t>total</w:t>
      </w:r>
      <w:r w:rsidR="00A15922">
        <w:rPr>
          <w:rFonts w:ascii="Arial" w:hAnsi="Arial" w:cs="Arial"/>
          <w:b/>
          <w:sz w:val="24"/>
          <w:szCs w:val="24"/>
        </w:rPr>
        <w:t xml:space="preserve"> </w:t>
      </w:r>
      <w:r w:rsidR="00E0610B">
        <w:rPr>
          <w:rFonts w:ascii="Arial" w:hAnsi="Arial" w:cs="Arial"/>
          <w:b/>
          <w:sz w:val="24"/>
          <w:szCs w:val="24"/>
        </w:rPr>
        <w:t>AR/</w:t>
      </w:r>
      <w:r w:rsidR="00CE3272">
        <w:rPr>
          <w:rFonts w:ascii="Arial" w:hAnsi="Arial" w:cs="Arial"/>
          <w:b/>
          <w:sz w:val="24"/>
          <w:szCs w:val="24"/>
        </w:rPr>
        <w:t>0</w:t>
      </w:r>
      <w:r w:rsidR="00735291">
        <w:rPr>
          <w:rFonts w:ascii="Arial" w:hAnsi="Arial" w:cs="Arial"/>
          <w:b/>
          <w:sz w:val="24"/>
          <w:szCs w:val="24"/>
        </w:rPr>
        <w:t>58</w:t>
      </w:r>
      <w:r w:rsidR="00E0610B">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735291">
        <w:rPr>
          <w:rFonts w:ascii="Arial" w:hAnsi="Arial" w:cs="Arial"/>
          <w:b/>
          <w:sz w:val="24"/>
          <w:szCs w:val="24"/>
        </w:rPr>
        <w:t>404</w:t>
      </w:r>
      <w:r w:rsidR="0053156B" w:rsidRPr="00115CE3">
        <w:rPr>
          <w:rFonts w:ascii="Arial" w:hAnsi="Arial" w:cs="Arial"/>
          <w:sz w:val="24"/>
          <w:szCs w:val="24"/>
        </w:rPr>
        <w:t>-240469825000</w:t>
      </w:r>
      <w:r w:rsidR="00735291">
        <w:rPr>
          <w:rFonts w:ascii="Arial" w:hAnsi="Arial" w:cs="Arial"/>
          <w:b/>
          <w:sz w:val="24"/>
          <w:szCs w:val="24"/>
        </w:rPr>
        <w:t>404</w:t>
      </w:r>
      <w:r w:rsidR="0053156B" w:rsidRPr="00115CE3">
        <w:rPr>
          <w:rFonts w:ascii="Arial" w:hAnsi="Arial" w:cs="Arial"/>
          <w:sz w:val="24"/>
          <w:szCs w:val="24"/>
        </w:rPr>
        <w:t xml:space="preserve">-2025 realizada por </w:t>
      </w:r>
      <w:r w:rsidR="005F0249">
        <w:rPr>
          <w:rFonts w:ascii="Arial" w:hAnsi="Arial" w:cs="Arial"/>
          <w:sz w:val="24"/>
          <w:szCs w:val="24"/>
        </w:rPr>
        <w:t xml:space="preserve">un usuario </w:t>
      </w:r>
      <w:r w:rsidR="00735291">
        <w:rPr>
          <w:rFonts w:ascii="Arial" w:hAnsi="Arial" w:cs="Arial"/>
          <w:b/>
          <w:sz w:val="24"/>
          <w:szCs w:val="24"/>
        </w:rPr>
        <w:t>Luis Alfonso Mora Ruenes</w:t>
      </w:r>
      <w:r w:rsidR="00845C94">
        <w:rPr>
          <w:rFonts w:ascii="Arial" w:hAnsi="Arial" w:cs="Arial"/>
          <w:sz w:val="24"/>
          <w:szCs w:val="24"/>
        </w:rPr>
        <w:t xml:space="preserve"> quien manifiesta su deseo de acceder a la siguiente información:</w:t>
      </w:r>
      <w:r w:rsidR="0053156B" w:rsidRPr="00115CE3">
        <w:rPr>
          <w:rFonts w:ascii="Arial" w:hAnsi="Arial" w:cs="Arial"/>
          <w:sz w:val="24"/>
          <w:szCs w:val="24"/>
        </w:rPr>
        <w:t xml:space="preserve"> </w:t>
      </w:r>
    </w:p>
    <w:p w:rsidR="00735291" w:rsidRDefault="00735291" w:rsidP="005F0249">
      <w:pPr>
        <w:spacing w:line="240" w:lineRule="auto"/>
        <w:jc w:val="both"/>
        <w:rPr>
          <w:rFonts w:ascii="Arial" w:hAnsi="Arial" w:cs="Arial"/>
          <w:sz w:val="24"/>
          <w:szCs w:val="24"/>
        </w:rPr>
      </w:pPr>
      <w:r w:rsidRPr="00735291">
        <w:rPr>
          <w:rFonts w:ascii="Arial" w:hAnsi="Arial" w:cs="Arial"/>
          <w:sz w:val="24"/>
          <w:szCs w:val="24"/>
        </w:rPr>
        <w:t>¿Cuántas personas estuvieron adscritas a la fiscalía o unidad especializada para investigar el delito de tortura durante el año 2024? Requiero esta información desagregada por tipo de personal (MP, personal administrativo, atención a víctimas, etc</w:t>
      </w:r>
      <w:r w:rsidR="00DF085B">
        <w:rPr>
          <w:rFonts w:ascii="Arial" w:hAnsi="Arial" w:cs="Arial"/>
          <w:sz w:val="24"/>
          <w:szCs w:val="24"/>
        </w:rPr>
        <w:t>.</w:t>
      </w:r>
      <w:r w:rsidRPr="00735291">
        <w:rPr>
          <w:rFonts w:ascii="Arial" w:hAnsi="Arial" w:cs="Arial"/>
          <w:sz w:val="24"/>
          <w:szCs w:val="24"/>
        </w:rPr>
        <w:t>) y sexo. Además, que me indique ¿Con cuántos especialistas médicos ginecólogos contó esa Fiscalía o unidad especializada en el año 2024? desglosado por sexo.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E26106">
        <w:rPr>
          <w:rFonts w:ascii="Arial" w:hAnsi="Arial" w:cs="Arial"/>
          <w:sz w:val="24"/>
          <w:szCs w:val="24"/>
        </w:rPr>
        <w:t>ones XI, y</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F801A9">
        <w:rPr>
          <w:rFonts w:ascii="Arial" w:hAnsi="Arial" w:cs="Arial"/>
          <w:b/>
          <w:sz w:val="24"/>
          <w:szCs w:val="24"/>
        </w:rPr>
        <w:t>total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E26106">
        <w:rPr>
          <w:rFonts w:ascii="Arial" w:hAnsi="Arial" w:cs="Arial"/>
          <w:b/>
          <w:sz w:val="24"/>
          <w:szCs w:val="24"/>
        </w:rPr>
        <w:t>AR/</w:t>
      </w:r>
      <w:r w:rsidR="00CE3272">
        <w:rPr>
          <w:rFonts w:ascii="Arial" w:hAnsi="Arial" w:cs="Arial"/>
          <w:b/>
          <w:sz w:val="24"/>
          <w:szCs w:val="24"/>
        </w:rPr>
        <w:t>05</w:t>
      </w:r>
      <w:r w:rsidR="00735291">
        <w:rPr>
          <w:rFonts w:ascii="Arial" w:hAnsi="Arial" w:cs="Arial"/>
          <w:b/>
          <w:sz w:val="24"/>
          <w:szCs w:val="24"/>
        </w:rPr>
        <w:t>8</w:t>
      </w:r>
      <w:r w:rsidR="00E26106">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F801A9">
        <w:rPr>
          <w:rFonts w:ascii="Arial" w:hAnsi="Arial" w:cs="Arial"/>
          <w:b/>
          <w:sz w:val="24"/>
          <w:szCs w:val="24"/>
        </w:rPr>
        <w:t>total</w:t>
      </w:r>
      <w:r w:rsidRPr="00115CE3">
        <w:rPr>
          <w:rFonts w:ascii="Arial" w:hAnsi="Arial" w:cs="Arial"/>
          <w:sz w:val="24"/>
          <w:szCs w:val="24"/>
        </w:rPr>
        <w:t xml:space="preserve"> número </w:t>
      </w:r>
      <w:r w:rsidR="00E26106">
        <w:rPr>
          <w:rFonts w:ascii="Arial" w:hAnsi="Arial" w:cs="Arial"/>
          <w:b/>
          <w:sz w:val="24"/>
          <w:szCs w:val="24"/>
        </w:rPr>
        <w:t>AR/</w:t>
      </w:r>
      <w:r w:rsidR="00CE3272">
        <w:rPr>
          <w:rFonts w:ascii="Arial" w:hAnsi="Arial" w:cs="Arial"/>
          <w:b/>
          <w:sz w:val="24"/>
          <w:szCs w:val="24"/>
        </w:rPr>
        <w:t>05</w:t>
      </w:r>
      <w:r w:rsidR="00735291">
        <w:rPr>
          <w:rFonts w:ascii="Arial" w:hAnsi="Arial" w:cs="Arial"/>
          <w:b/>
          <w:sz w:val="24"/>
          <w:szCs w:val="24"/>
        </w:rPr>
        <w:t>8</w:t>
      </w:r>
      <w:r w:rsidR="00D4742A" w:rsidRPr="00115CE3">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DF085B" w:rsidRDefault="00DF085B" w:rsidP="005F0249">
      <w:pPr>
        <w:spacing w:line="240" w:lineRule="auto"/>
        <w:jc w:val="both"/>
        <w:rPr>
          <w:rFonts w:ascii="Arial" w:hAnsi="Arial" w:cs="Arial"/>
          <w:b/>
          <w:sz w:val="24"/>
          <w:szCs w:val="24"/>
        </w:rPr>
      </w:pP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lastRenderedPageBreak/>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F801A9">
        <w:rPr>
          <w:rFonts w:ascii="Arial" w:hAnsi="Arial" w:cs="Arial"/>
          <w:b/>
          <w:sz w:val="24"/>
          <w:szCs w:val="24"/>
        </w:rPr>
        <w:t>total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AR/</w:t>
      </w:r>
      <w:r w:rsidR="00CE3272">
        <w:rPr>
          <w:rFonts w:ascii="Arial" w:hAnsi="Arial" w:cs="Arial"/>
          <w:b/>
          <w:sz w:val="24"/>
          <w:szCs w:val="24"/>
        </w:rPr>
        <w:t>05</w:t>
      </w:r>
      <w:r w:rsidR="00735291">
        <w:rPr>
          <w:rFonts w:ascii="Arial" w:hAnsi="Arial" w:cs="Arial"/>
          <w:b/>
          <w:sz w:val="24"/>
          <w:szCs w:val="24"/>
        </w:rPr>
        <w:t>8</w:t>
      </w:r>
      <w:r w:rsidR="00D4742A" w:rsidRPr="00115CE3">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CE3272" w:rsidRDefault="00CE3272" w:rsidP="005F0249">
      <w:pPr>
        <w:spacing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DF085B" w:rsidRDefault="00DF085B" w:rsidP="005F0249">
      <w:pPr>
        <w:spacing w:line="240" w:lineRule="auto"/>
        <w:jc w:val="both"/>
        <w:rPr>
          <w:rFonts w:ascii="Arial" w:hAnsi="Arial" w:cs="Arial"/>
          <w:b/>
          <w:sz w:val="24"/>
          <w:szCs w:val="24"/>
        </w:rPr>
      </w:pPr>
    </w:p>
    <w:p w:rsidR="00BF3665" w:rsidRPr="00115CE3"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Pr="00115CE3" w:rsidRDefault="005621F2" w:rsidP="005F0249">
      <w:pPr>
        <w:pStyle w:val="Prrafodelista"/>
        <w:ind w:left="1080"/>
        <w:jc w:val="both"/>
        <w:rPr>
          <w:rFonts w:ascii="Arial" w:hAnsi="Arial" w:cs="Arial"/>
          <w:b/>
        </w:rPr>
      </w:pPr>
    </w:p>
    <w:p w:rsidR="00735291" w:rsidRPr="00735291" w:rsidRDefault="007336C3" w:rsidP="00735291">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735291">
        <w:rPr>
          <w:rFonts w:ascii="Arial" w:hAnsi="Arial" w:cs="Arial"/>
          <w:sz w:val="24"/>
          <w:szCs w:val="24"/>
        </w:rPr>
        <w:t>Da</w:t>
      </w:r>
      <w:r w:rsidR="00735291" w:rsidRPr="00735291">
        <w:rPr>
          <w:rFonts w:ascii="Arial" w:hAnsi="Arial" w:cs="Arial"/>
          <w:sz w:val="24"/>
          <w:szCs w:val="24"/>
        </w:rPr>
        <w:t>r a conocer la información pública solicitada Del periodo del 01 de enero al 31 de diciembre del 2024, del personal adscrito a la Unidad contra los delitos de Trata de Personas y Tortura, de la Fiscalía Especializada en Materia de Derechos Humanos, de la Fiscalía General del Estado de San Luis Potosí, en cuanto a:</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¿Cuántas personas estuvieron adscritas para investigar el delito de tortura el año 2024? Desagregada por MP, personal administrativo, etc., y sexo. ¿Con cuántos especialistas médicos ginecólogos contó en el año 2024? Desglosado por sexo.</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 xml:space="preserve">Representa un riesgo real, ya que se daría a conocer una parte porcentual de la capacidad de reacción de la Fiscalía General del Estado dando a conocer la cantidad de personal del área que conoce del  delito de Tortura, ante la delincuencia organizada, lo que causaría un perjuicio significativo al interés público pues atenta de manera directa contra la seguridad del estado, debido a que miembros de asociaciones delictivas podrían aprovechar esa información para realizar algún ataque o amenaza, ya que con esta información se obtienen datos que además permitiría sustraerse de la acción de la justicia y, por tanto, quedar impunes por la comisión de delitos por los que se les persigue, siendo esta una de las causales de actualización de la </w:t>
      </w:r>
      <w:r w:rsidRPr="00735291">
        <w:rPr>
          <w:rFonts w:ascii="Arial" w:hAnsi="Arial" w:cs="Arial"/>
          <w:sz w:val="24"/>
          <w:szCs w:val="24"/>
        </w:rPr>
        <w:lastRenderedPageBreak/>
        <w:t xml:space="preserve">hipótesis contemplada en el numeral Décimo Octavo de los Lineamientos Generales para la clasificación y desclasificación de la información así como la elaboración de versión Pública. </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Dicho entonces que “control” es un término que se usa como sinónimos de supervisar los actos de gobierno, pero no siempre implican la obligación de los gobernantes para informar de manera periódica sobre sus decisiones y acciones. Por ello, el control y la fiscalización son mecanismos de un sistema global de rendición de cuentas, pero éste abarca además otros instrumentos como la transparencia y los informes periódicos que los gobernantes deben rendir a los ciudadanos.</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Finalmente, el concepto de “transparencia” también se usa en ocasiones como sinónimo de rendición de cuentas. La transparencia es una característica que abre la información de las organizaciones políticas y burocráticas al escrutinio público mediante sistemas de clasificación y difusión que reducen los costos de acceso a la información del gobierno. Sin embargo, la transparencia no implica un acto de rendir cuentas a un destinatario específico, sino la práctica de colocar la información en la “vitrina pública” para que los interesados puedan revisarla, analizarla y, en su caso, usarla como mecanismo para sancionar en caso de que haya anomalías en su interior. Al igual que en el caso de la fiscalización, la transparencia es sólo un instrumento de un sistema global de rendición de cuentas.</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Dicho lo anterior, para el caso en particular la difusión Del periodo del 01 de enero al 31 de diciembre del 2024, del personal adscrito a la Unidad contra los delitos de Trata de Personas y Tortura, de la Fiscalía Especializada en Materia de Derechos Humanos, de la Fiscalía General del Estado de San Luis Potosí, en cuanto a:</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¿Cuántas personas estuvieron adscritas para investigar el delito de tortura el año 2024? Desagregada por MP, personal administrativo, etc., y sexo. ¿Con cuántos especialistas médicos ginecólogos contó en el año 2024? Desglosado por sexo.</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Afectarían los programas de inteligencia y contra inteligencia con los que cuenta la Fiscalía del Estado, dejando en un grave estado de vulnerabilidad a la corporación para cumplir con sus obligaciones constitucionales.</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No debe pasar desapercibido, que la información de interés asignaría un valor de peligrosidad en cada uno de los distintos mercados criminales, pues podría crear mecanismos en que estos se puedan especializar, agrupar o reclutar más individuos, para el desplegar acciones antisociales, que conllevan a una reestructura administrativa y operativa, ante la comisión de delitos.</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 xml:space="preserve">No pasando desapercibido, que la entrega de la información que se derive de esta traería como consecuencias de la individualización de casos y los potenciales riesgos que esto implica son sumamente relevantes, ya que de materializarse pueden propiciar la revictimización, la comisión de nuevos delitos, afectar los flujos de información y entorpecer la investigación (y </w:t>
      </w:r>
      <w:r w:rsidRPr="00735291">
        <w:rPr>
          <w:rFonts w:ascii="Arial" w:hAnsi="Arial" w:cs="Arial"/>
          <w:sz w:val="24"/>
          <w:szCs w:val="24"/>
        </w:rPr>
        <w:lastRenderedPageBreak/>
        <w:t>otros proyectos similares, que son un insumo importante para la investigación criminal), afectar los procesos de procuración de justicia, incrementar la desconfianza de la población en las autoridades de procuración de justicia y generar incentivos negativos para la denuncia de futuros delitos.</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Esto cobra razón, pues entre las atribuciones conferidas a dicha Fiscalía se encuentra, el ejercicio de investigar, perseguir y ejercer sus atribuciones en los delitos contemplados en el Código Penal vigente y aplicable a esta Fiscalía General del Estado, incluso en grado de tentativa.</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Naturaleza que hace perfectamente identificables a los servidores públicos, lo cual, les puede inhibir por el grado de exposición y conforme a las secuelas que cada una tengan, por lo que se les puede afectar de una manera incalculable, por ejemplo, en el sentido de que desistan de sus investigaciones, sea por presión social o por amenazas, lo que no solo conllevaría a la impunidad, sino a que se incrementen los delitos en el corto, mediano y largo plazo.</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De manera específica, su publicación afectaría en el corto plazo, en al menos tres esferas:</w:t>
      </w:r>
    </w:p>
    <w:p w:rsidR="00735291" w:rsidRPr="00735291" w:rsidRDefault="00735291" w:rsidP="00B75033">
      <w:pPr>
        <w:autoSpaceDE w:val="0"/>
        <w:autoSpaceDN w:val="0"/>
        <w:adjustRightInd w:val="0"/>
        <w:spacing w:after="0" w:line="240" w:lineRule="auto"/>
        <w:jc w:val="both"/>
        <w:rPr>
          <w:rFonts w:ascii="Arial" w:hAnsi="Arial" w:cs="Arial"/>
          <w:sz w:val="24"/>
          <w:szCs w:val="24"/>
        </w:rPr>
      </w:pPr>
      <w:r w:rsidRPr="00735291">
        <w:rPr>
          <w:rFonts w:ascii="Arial" w:hAnsi="Arial" w:cs="Arial"/>
          <w:sz w:val="24"/>
          <w:szCs w:val="24"/>
        </w:rPr>
        <w:t>•Individual: vulnera la integridad física y mental de las personas involucradas (víctimas, presunto responsable).</w:t>
      </w:r>
    </w:p>
    <w:p w:rsidR="00735291" w:rsidRPr="00735291" w:rsidRDefault="00735291" w:rsidP="00B75033">
      <w:pPr>
        <w:autoSpaceDE w:val="0"/>
        <w:autoSpaceDN w:val="0"/>
        <w:adjustRightInd w:val="0"/>
        <w:spacing w:after="0" w:line="240" w:lineRule="auto"/>
        <w:jc w:val="both"/>
        <w:rPr>
          <w:rFonts w:ascii="Arial" w:hAnsi="Arial" w:cs="Arial"/>
          <w:sz w:val="24"/>
          <w:szCs w:val="24"/>
        </w:rPr>
      </w:pPr>
      <w:r w:rsidRPr="00735291">
        <w:rPr>
          <w:rFonts w:ascii="Arial" w:hAnsi="Arial" w:cs="Arial"/>
          <w:sz w:val="24"/>
          <w:szCs w:val="24"/>
        </w:rPr>
        <w:t>•Investigación: puede afectar los procesos de investigación criminal.</w:t>
      </w:r>
    </w:p>
    <w:p w:rsidR="00735291" w:rsidRPr="00735291" w:rsidRDefault="00735291" w:rsidP="00B75033">
      <w:pPr>
        <w:autoSpaceDE w:val="0"/>
        <w:autoSpaceDN w:val="0"/>
        <w:adjustRightInd w:val="0"/>
        <w:spacing w:after="0" w:line="240" w:lineRule="auto"/>
        <w:jc w:val="both"/>
        <w:rPr>
          <w:rFonts w:ascii="Arial" w:hAnsi="Arial" w:cs="Arial"/>
          <w:sz w:val="24"/>
          <w:szCs w:val="24"/>
        </w:rPr>
      </w:pPr>
      <w:r w:rsidRPr="00735291">
        <w:rPr>
          <w:rFonts w:ascii="Arial" w:hAnsi="Arial" w:cs="Arial"/>
          <w:sz w:val="24"/>
          <w:szCs w:val="24"/>
        </w:rPr>
        <w:t>•Institucional: pone en riesgo la procuración de justicia.</w:t>
      </w:r>
    </w:p>
    <w:p w:rsidR="00B75033" w:rsidRDefault="00B75033" w:rsidP="00735291">
      <w:pPr>
        <w:autoSpaceDE w:val="0"/>
        <w:autoSpaceDN w:val="0"/>
        <w:adjustRightInd w:val="0"/>
        <w:spacing w:line="240" w:lineRule="auto"/>
        <w:jc w:val="both"/>
        <w:rPr>
          <w:rFonts w:ascii="Arial" w:hAnsi="Arial" w:cs="Arial"/>
          <w:sz w:val="24"/>
          <w:szCs w:val="24"/>
        </w:rPr>
      </w:pP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Lo anterior cobra lógica, pues, como lo manifiesta el Lineamiento Trigésimo Segundo la normativa que exime el acceso a la información, lo contemplan los artículos 93, 93 bis, 99, fracciones I y III de la Ley del Sistema Estatal de Seguridad Pública, así como en observancia a la Controversia Constitucional número 325/2019.</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Bajo el preámbulo de ser información generada por esta autoridad en ejercicio de sus funciones y con recursos públicos, es, desde luego, información gubernamental a la que todos los ciudadanos deberían tener acceso. No obstante, al ser información que de forma paralela engloba a investigaciones de tipo criminal, se actualiza la excepción que dicta que parte de esta información puede ser reservada por las autoridades para que no sea conocida por el público hasta pasado un lapso de tiempo y bajo ciertas modalidades, ya que exponer determinados datos de manera anticipada puede llevar al fracaso las investigaciones que persiguen delitos.</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 xml:space="preserve">Cabe resaltar que es muy comprensible que las autoridades encargadas de investigar hechos ilícitos guarden sigilo y secrecía sobre sus actuaciones, pues no debe perderse de vista que, en muchos casos, el éxito de las investigaciones de este tipo depende de que sean oportunas y discretamente conducidas, a fin de que no se destruyan los indicios del delito y se evadan responsabilidades. Sin embargo, algunas investigaciones penales demandan un conocimiento </w:t>
      </w:r>
      <w:r w:rsidRPr="00735291">
        <w:rPr>
          <w:rFonts w:ascii="Arial" w:hAnsi="Arial" w:cs="Arial"/>
          <w:sz w:val="24"/>
          <w:szCs w:val="24"/>
        </w:rPr>
        <w:lastRenderedPageBreak/>
        <w:t>público cuando se relacionan con hechos relevantes para la vida nacional, como puede ser la persecución de delitos de corrupción o de delincuencia organizada, y exigen que las autoridades rindan cuentas de manera constante sobre los avances que esas investigaciones presentan.</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 xml:space="preserve">De lo anteriormente citado, robustece que la revelación de información del personal que tiene a su cargo el desarrollo o ejercicio de la función pública en materia de seguridad pública y procuración de justicia, pondría en conocimiento de la sociedad y más grave aún de los grupos criminales una parte porcentual de la capacidad de reacción de esta Institución, dejando en estado de indefensión a la sociedad y todos los ejes participes para el cumplimiento de la ley en toda su expresión. Daño que resultaría de imposible reparación, y en la que el Estado tiene la calidad de velador de un bien jurídico tutelado. </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 xml:space="preserve">Concierne señalar que la Fiscalía General del Estado, conoce de los asuntos conexos o relacionados con el ámbito de su competencia, cuidando su integridad y no fragmentación, aun aquellos que versen sobre delincuencia organizada; establece planes y programas para detectar, informar y fomentar la cultura de la denuncia de cualquier hechos delictivo; diseña e </w:t>
      </w:r>
      <w:r w:rsidR="00B75033" w:rsidRPr="00735291">
        <w:rPr>
          <w:rFonts w:ascii="Arial" w:hAnsi="Arial" w:cs="Arial"/>
          <w:sz w:val="24"/>
          <w:szCs w:val="24"/>
        </w:rPr>
        <w:t>implementar</w:t>
      </w:r>
      <w:r w:rsidRPr="00735291">
        <w:rPr>
          <w:rFonts w:ascii="Arial" w:hAnsi="Arial" w:cs="Arial"/>
          <w:sz w:val="24"/>
          <w:szCs w:val="24"/>
        </w:rPr>
        <w:t xml:space="preserve"> mecanismos de colaboración con autoridades que ejercen facultades de fiscalización, con el fin de fortalecer el desarrollo de sus investigaciones, y tramita.</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Por su alta complejidad, importancia y trascendencia, relevancia o especialización, esta información podría permitir a los miembros de la delincuencia organizada identificar no solo a los servidores públicos, sino sus actividades concretas, hecho delictivo e incluso la efectividad de la amenaza real y eminente en el entorno social, desde la perspectiva de la Procuración de Justicia, como una expresión de la impericia de la delincuencia organizada y sus alcances hacia la capacidad de respuesta ante las acciones realizadas para abatir actos delictivos, lo que podría poner en riesgo las acciones concretas de la persecución delictiva, tal como lo provee la Suprema Corte de Justicia de la Nación, en su resolución emitida el 12 de mayo de 2022, dentro de la controversia constitucional número 325/2019:</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“b) con dicha información se revelarían a detalle las características funcionales del personal y con ello, su organización para el cumplimiento de sus funciones;”</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En cuanto al inciso C) de la misma resolución en comento: “c) los Ministerios Públicos de la Federación están sujetos a cambios de adscripción”. De igual forma los agentes del Ministerio Público, además de los Policías, Peritos, inclusive el personal de administrativo y de apoyo, están sujetos a cambios de adscripción, acorde a las necesidades del servicio.</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 xml:space="preserve">En concreto advierto que los rubros que se reservan, de manera razonable genera vulnerabilidad a la Seguridad Pública y la Paz social de la entidad. Así como a las acciones de procuración de justicia en materia de investigación y persecución de un delito de modo que entorpece diligencias tendientes al cumplimiento de mandamientos judiciales dentro de su competencia, lo que resulta en detrimento de la seguridad pública y la conducción jurídica de </w:t>
      </w:r>
      <w:r w:rsidRPr="00735291">
        <w:rPr>
          <w:rFonts w:ascii="Arial" w:hAnsi="Arial" w:cs="Arial"/>
          <w:sz w:val="24"/>
          <w:szCs w:val="24"/>
        </w:rPr>
        <w:lastRenderedPageBreak/>
        <w:t>investigaciones y el ejercicio de la acción penal, funciones preponderantes de la fiscalía General del Estado.</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La Suprema Corte de Justicia contempla, en su resolución emitida el 12 de mayo de 2022, dentro de la Controversia Constitucional número 325/2019, que “la entrega de información a un particular referente al nombre y cargo de todo el personal que realiza tareas sustantivas de investigación y persecución de delitos, podría comprometer el ejercicio de sus facultades constitucionales y, con ello, la seguridad pública del país, en virtud de que: a) la información podría ser aprovechada por los grupos criminales para conocer la capacidad de reacción de la FGR…” Partiendo de esta premisa, se estima que a través de la información correspondiente a “cuantas personas estuvieron adscritas” a la Unidad contra los delitos de Trata de Personas y Tortura, revela el número total de personal vinculado en las labores de procuración de justicia de un área específica y de un porcentaje del total del personal asignado a las áreas táctico operativas,  por lo cual resultaría en la revelación concreta de la capacidad de respuesta y capacidad operativa de la Fiscalía, así como establecería una brecha en la que el servidor público pueda ser corrompido para llevar sus actuaciones a directrices en donde no se garantice el Estado de Derecho, lo cual sería aprovechada por la delincuencia organizada, para impedir las acciones de procuración de justicia poniendo en riesgo, la seguridad pública del estado, el orden público, la seguridad de la institución, la seguridad y la vida de los propios servidores públicos, y en casos extremos la seguridad y vida de la ciudadanía, derivado de la posibilidad de que se generen enfrentamientos abiertamente violentos causando daños colaterales, además de la afectación directa en los procesos de investigación y persecución de los actos delictivos.</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El objeto de la clasificación es preservar la capacidad y con ello se pudiera inferir la fuerza de la corporación, sus funciones operativas en el desarrollo de las competencias de la Fiscalía General del Estado.</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Consecuentemente, se busca proteger los preceptos normativos que establecen que, para el ejercicio del derecho humano a la seguridad pública, la prevención, investigación y persecución de los delitos que son materia de su competencia.</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 xml:space="preserve">Lineamiento Trigésimo tercero fracción II.- “Se deberá motivar la clasificación, señalando las circunstancias de modo, tiempo y lugar que acrediten el vínculo entre la difusión de la información y la afectación al interés público o a la seguridad nacional” se expone lo siguiente respecto a: </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 xml:space="preserve">Circunstancia de modo: </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 xml:space="preserve">Otorgar la información señalada para dar atención a la Solicitud de Acceso a la Información No. UT-SI-P-404-240469825000404-2025, referente Del periodo del 01 de enero al 31 de diciembre del 2024, del personal adscrito a la Unidad contra los delitos de Trata de Personas </w:t>
      </w:r>
      <w:r w:rsidRPr="00735291">
        <w:rPr>
          <w:rFonts w:ascii="Arial" w:hAnsi="Arial" w:cs="Arial"/>
          <w:sz w:val="24"/>
          <w:szCs w:val="24"/>
        </w:rPr>
        <w:lastRenderedPageBreak/>
        <w:t>y Tortura, de la Fiscalía Especializada en Materia de Derechos Humanos, de la Fiscalía General del Estado de San Luis Potosí, en cuanto a:</w:t>
      </w:r>
    </w:p>
    <w:p w:rsidR="00735291" w:rsidRPr="00735291" w:rsidRDefault="00735291" w:rsidP="00735291">
      <w:pPr>
        <w:autoSpaceDE w:val="0"/>
        <w:autoSpaceDN w:val="0"/>
        <w:adjustRightInd w:val="0"/>
        <w:spacing w:line="240" w:lineRule="auto"/>
        <w:jc w:val="both"/>
        <w:rPr>
          <w:rFonts w:ascii="Arial" w:hAnsi="Arial" w:cs="Arial"/>
          <w:sz w:val="24"/>
          <w:szCs w:val="24"/>
        </w:rPr>
      </w:pP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¿Cuántas personas estuvieron adscritas para investigar el delito de tortura el año 2024? Desagregada por MP, personal administrativo, etc., y sexo. ¿Con cuántos especialistas médicos ginecólogos contó en el año 2024? Desglosado por sexo.</w:t>
      </w:r>
    </w:p>
    <w:p w:rsidR="00735291" w:rsidRPr="00735291"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 xml:space="preserve">Al ser información que pudiera transparentar funciones públicas, también es cierto, que la naturaleza de la misma contiene datos que si bien pudieran ser meramente estadísticos, seccionaría la localización y concentraría, aun cuando no realicen tareas operativas, a quienes tienen acceso a información privilegiada de las partes, tales como los imputados y víctimas que se encuentran vinculados en las investigaciones de actos delictivos como son: carpetas de investigación, registros de base de datos de la Fiscalía General del Estado como ente de seguridad, documentos judiciales y/o administrativos vinculados en la planeación, estrategia y concreción de operativos de investigación, persecución o detención de presuntos responsables de actos delictivos,  análisis criminal, documentos judiciales y/o administrativos de los registros de armas, archivos de documentación relacionada al manejo de evidencias, entre otros documentos de índole judicial o administrativo vinculados a procesos de integración, indagación o persecución delictiva, constituye un acto de desacato a la leyes rectoras de la Procuración de Justicia, dado que se estaría otorgando información con la que se puede vincular a quienes participan en los procesos de investigación, poniendo en riesgo no solo el debido proceso, sino al personal en su integridad física. </w:t>
      </w:r>
    </w:p>
    <w:p w:rsidR="007359E9" w:rsidRPr="009E1D25" w:rsidRDefault="00735291" w:rsidP="00735291">
      <w:pPr>
        <w:autoSpaceDE w:val="0"/>
        <w:autoSpaceDN w:val="0"/>
        <w:adjustRightInd w:val="0"/>
        <w:spacing w:line="240" w:lineRule="auto"/>
        <w:jc w:val="both"/>
        <w:rPr>
          <w:rFonts w:ascii="Arial" w:hAnsi="Arial" w:cs="Arial"/>
          <w:sz w:val="24"/>
          <w:szCs w:val="24"/>
        </w:rPr>
      </w:pPr>
      <w:r w:rsidRPr="00735291">
        <w:rPr>
          <w:rFonts w:ascii="Arial" w:hAnsi="Arial" w:cs="Arial"/>
          <w:sz w:val="24"/>
          <w:szCs w:val="24"/>
        </w:rPr>
        <w:t>Misma que deja en evidencia las acciones emprendidas en materia de Seguridad Ciudadana, la cual tiene como eje central a la persona y sus derechos humanos, observando y respetando el ejercicio de los derechos de ciudadanía con perspectiva de género, las libertades y los derechos fundamentales, así como el fomento de una cultura de paz.</w:t>
      </w:r>
    </w:p>
    <w:p w:rsidR="00DF085B" w:rsidRDefault="00DF085B" w:rsidP="003474AB">
      <w:pPr>
        <w:autoSpaceDE w:val="0"/>
        <w:autoSpaceDN w:val="0"/>
        <w:adjustRightInd w:val="0"/>
        <w:spacing w:line="240" w:lineRule="auto"/>
        <w:jc w:val="both"/>
        <w:rPr>
          <w:rFonts w:ascii="Arial" w:hAnsi="Arial" w:cs="Arial"/>
          <w:sz w:val="24"/>
          <w:szCs w:val="24"/>
          <w:u w:val="single"/>
        </w:rPr>
      </w:pP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I y 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9E1D25">
        <w:rPr>
          <w:rFonts w:ascii="Arial" w:hAnsi="Arial" w:cs="Arial"/>
          <w:sz w:val="24"/>
          <w:szCs w:val="24"/>
        </w:rPr>
        <w:t>primero</w:t>
      </w:r>
      <w:r w:rsidR="005F0249">
        <w:rPr>
          <w:rFonts w:ascii="Arial" w:hAnsi="Arial" w:cs="Arial"/>
          <w:sz w:val="24"/>
          <w:szCs w:val="24"/>
        </w:rPr>
        <w:t>,</w:t>
      </w:r>
      <w:r w:rsidR="009E1D25">
        <w:rPr>
          <w:rFonts w:ascii="Arial" w:hAnsi="Arial" w:cs="Arial"/>
          <w:sz w:val="24"/>
          <w:szCs w:val="24"/>
        </w:rPr>
        <w:t xml:space="preserve"> y </w:t>
      </w:r>
      <w:r w:rsidR="00551990" w:rsidRPr="00115CE3">
        <w:rPr>
          <w:rFonts w:ascii="Arial" w:hAnsi="Arial" w:cs="Arial"/>
          <w:sz w:val="24"/>
          <w:szCs w:val="24"/>
        </w:rPr>
        <w:t>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DF085B" w:rsidRDefault="00DF085B" w:rsidP="003474AB">
      <w:pPr>
        <w:spacing w:line="240" w:lineRule="auto"/>
        <w:jc w:val="both"/>
        <w:rPr>
          <w:rFonts w:ascii="Arial" w:hAnsi="Arial" w:cs="Arial"/>
          <w:sz w:val="24"/>
          <w:szCs w:val="24"/>
          <w:u w:val="single"/>
        </w:rPr>
      </w:pP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Artículo 118.</w:t>
      </w:r>
      <w:r w:rsidRPr="00604782">
        <w:rPr>
          <w:rFonts w:ascii="Arial" w:hAnsi="Arial" w:cs="Arial"/>
          <w:i/>
        </w:rPr>
        <w:t xml:space="preserve"> En la aplicación de la prueba de daño, el sujeto obligado deberá justificar que:</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 La divulgación de la información representa un riesgo real, demostrable e identificable de perjuicio significativo al interés público;</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 El riesgo de perjuicio que supondría la divulgación supera el interés público general de que se difunda, y</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III. La limitación se adecua al principio de proporcionalidad y representa el medio menos restrictivo disponible para evitar el perjuicio.</w:t>
      </w:r>
    </w:p>
    <w:p w:rsidR="003474AB" w:rsidRPr="00604782" w:rsidRDefault="003474AB" w:rsidP="003474AB">
      <w:pPr>
        <w:spacing w:after="0" w:line="240" w:lineRule="auto"/>
        <w:ind w:left="142" w:right="-93"/>
        <w:jc w:val="both"/>
        <w:rPr>
          <w:rFonts w:ascii="Arial" w:hAnsi="Arial" w:cs="Arial"/>
          <w:b/>
          <w:i/>
        </w:rPr>
      </w:pP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Trigésimo tercero</w:t>
      </w:r>
      <w:r w:rsidRPr="00604782">
        <w:rPr>
          <w:rFonts w:ascii="Arial" w:hAnsi="Arial" w:cs="Arial"/>
          <w:i/>
        </w:rPr>
        <w:t>. Para la aplicación de la prueba de daño a la que hace referencia el artículo 104 de la Ley General, los sujetos obligados atenderán lo siguiente: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81523E" w:rsidRDefault="0081523E"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lastRenderedPageBreak/>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el </w:t>
      </w:r>
      <w:r w:rsidR="0080577A">
        <w:rPr>
          <w:rFonts w:ascii="Arial" w:hAnsi="Arial" w:cs="Arial"/>
          <w:sz w:val="24"/>
          <w:szCs w:val="24"/>
        </w:rPr>
        <w:t xml:space="preserve">director General de Administración Cesar Isidro Cruz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75033" w:rsidRPr="00C42F42" w:rsidRDefault="00B75033"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b/>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DF085B" w:rsidRDefault="00DF085B" w:rsidP="005F0249">
      <w:pPr>
        <w:spacing w:line="240" w:lineRule="auto"/>
        <w:ind w:left="284"/>
        <w:jc w:val="both"/>
        <w:rPr>
          <w:rFonts w:ascii="Arial" w:hAnsi="Arial" w:cs="Arial"/>
          <w:b/>
          <w:sz w:val="24"/>
          <w:szCs w:val="24"/>
        </w:rPr>
      </w:pP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B75033" w:rsidRPr="00B75033" w:rsidRDefault="00B75033" w:rsidP="00B75033">
      <w:pPr>
        <w:jc w:val="both"/>
        <w:rPr>
          <w:rFonts w:ascii="Arial" w:eastAsiaTheme="minorHAnsi" w:hAnsi="Arial" w:cs="Arial"/>
          <w:color w:val="000000"/>
          <w:sz w:val="23"/>
          <w:szCs w:val="23"/>
          <w:lang w:eastAsia="en-US"/>
        </w:rPr>
      </w:pPr>
      <w:r w:rsidRPr="00B75033">
        <w:rPr>
          <w:rFonts w:ascii="Arial" w:eastAsiaTheme="minorHAnsi" w:hAnsi="Arial" w:cs="Arial"/>
          <w:color w:val="000000"/>
          <w:sz w:val="23"/>
          <w:szCs w:val="23"/>
          <w:lang w:eastAsia="en-US"/>
        </w:rPr>
        <w:t>La Dirección General de Administración procede a acordar la RESERVA TOTAL de la información que se requiere para dar atención a la Solicitud de Acceso a la Información No. UT-SI-P-404-240469825000404-2025, recurrida por LUIS ALFONSO MORA RUENES, consistente en:</w:t>
      </w:r>
    </w:p>
    <w:p w:rsidR="00B75033" w:rsidRPr="00B75033" w:rsidRDefault="00B75033" w:rsidP="00B75033">
      <w:pPr>
        <w:jc w:val="both"/>
        <w:rPr>
          <w:rFonts w:ascii="Arial" w:eastAsiaTheme="minorHAnsi" w:hAnsi="Arial" w:cs="Arial"/>
          <w:color w:val="000000"/>
          <w:sz w:val="23"/>
          <w:szCs w:val="23"/>
          <w:lang w:eastAsia="en-US"/>
        </w:rPr>
      </w:pPr>
      <w:r w:rsidRPr="00B75033">
        <w:rPr>
          <w:rFonts w:ascii="Arial" w:eastAsiaTheme="minorHAnsi" w:hAnsi="Arial" w:cs="Arial"/>
          <w:color w:val="000000"/>
          <w:sz w:val="23"/>
          <w:szCs w:val="23"/>
          <w:lang w:eastAsia="en-US"/>
        </w:rPr>
        <w:t>“… Del periodo del 01 de enero al 31 de diciembre del 2024, del personal adscrito a la Unidad contra los delitos de Trata de Personas y Tortura, de la Fiscalía Especializada en Materia de Derechos Humanos, de la Fiscalía General del Estado de San Luis Potosí, en cuanto a:</w:t>
      </w:r>
    </w:p>
    <w:p w:rsidR="003474AB" w:rsidRDefault="00B75033" w:rsidP="00B75033">
      <w:pPr>
        <w:jc w:val="both"/>
        <w:rPr>
          <w:rFonts w:ascii="Arial" w:eastAsiaTheme="minorHAnsi" w:hAnsi="Arial" w:cs="Arial"/>
          <w:color w:val="000000"/>
          <w:sz w:val="23"/>
          <w:szCs w:val="23"/>
          <w:lang w:eastAsia="en-US"/>
        </w:rPr>
      </w:pPr>
      <w:r w:rsidRPr="00B75033">
        <w:rPr>
          <w:rFonts w:ascii="Arial" w:eastAsiaTheme="minorHAnsi" w:hAnsi="Arial" w:cs="Arial"/>
          <w:color w:val="000000"/>
          <w:sz w:val="23"/>
          <w:szCs w:val="23"/>
          <w:lang w:eastAsia="en-US"/>
        </w:rPr>
        <w:t>¿Cuántas personas estuvieron adscritas para investigar el delito de tortura el año 2024? Desagregada por MP, personal administrativo, etc., y sexo. ¿Con cuántos especialistas médicos ginecólogos contó en el año 2024? Desglosado por sexo.</w:t>
      </w:r>
    </w:p>
    <w:p w:rsidR="00DF085B" w:rsidRPr="008169B6" w:rsidRDefault="00DF085B" w:rsidP="00B75033">
      <w:pPr>
        <w:jc w:val="both"/>
        <w:rPr>
          <w:rFonts w:ascii="Arial" w:eastAsia="Times New Roman" w:hAnsi="Arial" w:cs="Arial"/>
          <w:sz w:val="24"/>
          <w:szCs w:val="24"/>
          <w:lang w:eastAsia="es-ES"/>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427CA6">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427CA6">
        <w:rPr>
          <w:rFonts w:ascii="Arial" w:eastAsia="Times New Roman" w:hAnsi="Arial" w:cs="Arial"/>
          <w:b/>
          <w:sz w:val="24"/>
          <w:szCs w:val="24"/>
        </w:rPr>
        <w:t>septiembre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DF085B" w:rsidRDefault="00DF085B" w:rsidP="005F0249">
      <w:pPr>
        <w:spacing w:line="240" w:lineRule="auto"/>
        <w:jc w:val="both"/>
        <w:rPr>
          <w:rFonts w:ascii="Arial" w:eastAsia="Times New Roman" w:hAnsi="Arial" w:cs="Arial"/>
          <w:sz w:val="24"/>
          <w:szCs w:val="24"/>
        </w:rPr>
      </w:pP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lastRenderedPageBreak/>
        <w:t>El nombre del titular o área encargada de realizar la revisión pública del documento, en su caso.</w:t>
      </w:r>
    </w:p>
    <w:p w:rsidR="00DF085B" w:rsidRDefault="00DF085B" w:rsidP="005F0249">
      <w:pPr>
        <w:spacing w:line="240" w:lineRule="auto"/>
        <w:jc w:val="both"/>
        <w:rPr>
          <w:rFonts w:ascii="Arial" w:hAnsi="Arial" w:cs="Arial"/>
        </w:rPr>
      </w:pPr>
    </w:p>
    <w:p w:rsid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DF085B" w:rsidRDefault="00DF085B" w:rsidP="005F0249">
      <w:pPr>
        <w:spacing w:line="240" w:lineRule="auto"/>
        <w:jc w:val="both"/>
        <w:rPr>
          <w:rFonts w:ascii="Arial" w:hAnsi="Arial" w:cs="Arial"/>
        </w:rPr>
      </w:pP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Pr="00A15922" w:rsidRDefault="00FF1B19" w:rsidP="005F0249">
      <w:pPr>
        <w:spacing w:line="240" w:lineRule="auto"/>
        <w:jc w:val="both"/>
        <w:rPr>
          <w:rFonts w:ascii="Arial" w:hAnsi="Arial" w:cs="Arial"/>
          <w:b/>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F801A9">
        <w:rPr>
          <w:rFonts w:ascii="Arial" w:hAnsi="Arial" w:cs="Arial"/>
          <w:b/>
          <w:sz w:val="24"/>
          <w:szCs w:val="24"/>
        </w:rPr>
        <w:t>total</w:t>
      </w:r>
      <w:r w:rsidR="00A15922">
        <w:rPr>
          <w:rFonts w:ascii="Arial" w:hAnsi="Arial" w:cs="Arial"/>
          <w:b/>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AR/</w:t>
      </w:r>
      <w:r w:rsidR="0080577A">
        <w:rPr>
          <w:rFonts w:ascii="Arial" w:hAnsi="Arial" w:cs="Arial"/>
          <w:b/>
          <w:sz w:val="24"/>
          <w:szCs w:val="24"/>
        </w:rPr>
        <w:t>5</w:t>
      </w:r>
      <w:r w:rsidR="00B75033">
        <w:rPr>
          <w:rFonts w:ascii="Arial" w:hAnsi="Arial" w:cs="Arial"/>
          <w:b/>
          <w:sz w:val="24"/>
          <w:szCs w:val="24"/>
        </w:rPr>
        <w:t>8</w:t>
      </w:r>
      <w:r w:rsidR="00D4742A" w:rsidRPr="00115CE3">
        <w:rPr>
          <w:rFonts w:ascii="Arial" w:hAnsi="Arial" w:cs="Arial"/>
          <w:b/>
          <w:sz w:val="24"/>
          <w:szCs w:val="24"/>
        </w:rPr>
        <w:t>/2025</w:t>
      </w:r>
      <w:r w:rsidR="00D4742A"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Pr="00115CE3"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al</w:t>
      </w:r>
      <w:r w:rsidR="00E26106">
        <w:rPr>
          <w:rFonts w:ascii="Arial" w:hAnsi="Arial" w:cs="Arial"/>
          <w:sz w:val="24"/>
          <w:szCs w:val="24"/>
        </w:rPr>
        <w:t xml:space="preserve"> </w:t>
      </w:r>
      <w:r w:rsidR="00672FE8">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a</w:t>
      </w:r>
      <w:r w:rsidR="00375ED0">
        <w:rPr>
          <w:rFonts w:ascii="Arial" w:hAnsi="Arial" w:cs="Arial"/>
          <w:sz w:val="24"/>
          <w:szCs w:val="24"/>
        </w:rPr>
        <w:t xml:space="preserve">l </w:t>
      </w:r>
      <w:r w:rsidR="00672FE8">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DF085B" w:rsidRDefault="00DF085B"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DF085B" w:rsidRDefault="00DF085B" w:rsidP="005F0249">
      <w:pPr>
        <w:spacing w:line="240" w:lineRule="auto"/>
        <w:jc w:val="center"/>
        <w:rPr>
          <w:rFonts w:ascii="Arial" w:hAnsi="Arial" w:cs="Arial"/>
          <w:b/>
          <w:sz w:val="24"/>
          <w:szCs w:val="24"/>
        </w:rPr>
      </w:pPr>
    </w:p>
    <w:p w:rsidR="00476EF2" w:rsidRDefault="00476EF2" w:rsidP="005F0249">
      <w:pPr>
        <w:spacing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F801A9">
        <w:rPr>
          <w:rFonts w:ascii="Arial" w:hAnsi="Arial" w:cs="Arial"/>
          <w:b/>
          <w:sz w:val="24"/>
          <w:szCs w:val="24"/>
        </w:rPr>
        <w:t xml:space="preserve">total </w:t>
      </w:r>
      <w:r w:rsidRPr="00115CE3">
        <w:rPr>
          <w:rFonts w:ascii="Arial" w:hAnsi="Arial" w:cs="Arial"/>
          <w:sz w:val="24"/>
          <w:szCs w:val="24"/>
        </w:rPr>
        <w:t xml:space="preserve">número </w:t>
      </w:r>
      <w:r w:rsidR="00375ED0">
        <w:rPr>
          <w:rFonts w:ascii="Arial" w:hAnsi="Arial" w:cs="Arial"/>
          <w:b/>
          <w:sz w:val="24"/>
          <w:szCs w:val="24"/>
        </w:rPr>
        <w:t>AR/</w:t>
      </w:r>
      <w:r w:rsidR="0080577A">
        <w:rPr>
          <w:rFonts w:ascii="Arial" w:hAnsi="Arial" w:cs="Arial"/>
          <w:b/>
          <w:sz w:val="24"/>
          <w:szCs w:val="24"/>
        </w:rPr>
        <w:t>5</w:t>
      </w:r>
      <w:r w:rsidR="00B75033">
        <w:rPr>
          <w:rFonts w:ascii="Arial" w:hAnsi="Arial" w:cs="Arial"/>
          <w:b/>
          <w:sz w:val="24"/>
          <w:szCs w:val="24"/>
        </w:rPr>
        <w:t>8</w:t>
      </w:r>
      <w:r w:rsidR="00D4742A" w:rsidRPr="00115CE3">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375ED0">
        <w:rPr>
          <w:rFonts w:ascii="Arial" w:hAnsi="Arial" w:cs="Arial"/>
          <w:sz w:val="24"/>
          <w:szCs w:val="24"/>
        </w:rPr>
        <w:t xml:space="preserve">el </w:t>
      </w:r>
      <w:r w:rsidR="00672FE8">
        <w:rPr>
          <w:rFonts w:ascii="Arial" w:hAnsi="Arial" w:cs="Arial"/>
          <w:sz w:val="24"/>
          <w:szCs w:val="24"/>
        </w:rPr>
        <w:t>director General de Administración Cesar Isidro Cruz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DF085B" w:rsidRDefault="00DF085B" w:rsidP="005F0249">
      <w:pPr>
        <w:spacing w:line="240" w:lineRule="auto"/>
        <w:jc w:val="both"/>
        <w:rPr>
          <w:rFonts w:ascii="Arial" w:hAnsi="Arial" w:cs="Arial"/>
          <w:sz w:val="24"/>
          <w:szCs w:val="24"/>
        </w:rPr>
      </w:pPr>
    </w:p>
    <w:p w:rsidR="00845C94" w:rsidRDefault="00476EF2" w:rsidP="00845C94">
      <w:pPr>
        <w:spacing w:line="240" w:lineRule="auto"/>
        <w:jc w:val="both"/>
        <w:rPr>
          <w:rFonts w:ascii="Arial" w:hAnsi="Arial" w:cs="Arial"/>
          <w:sz w:val="24"/>
          <w:szCs w:val="24"/>
        </w:rPr>
      </w:pPr>
      <w:r w:rsidRPr="00115CE3">
        <w:rPr>
          <w:rFonts w:ascii="Arial" w:hAnsi="Arial" w:cs="Arial"/>
          <w:b/>
          <w:sz w:val="24"/>
          <w:szCs w:val="24"/>
        </w:rPr>
        <w:t xml:space="preserve">SEGUNDO. </w:t>
      </w:r>
      <w:r w:rsidR="00845C94">
        <w:rPr>
          <w:rFonts w:ascii="Arial" w:hAnsi="Arial" w:cs="Arial"/>
          <w:sz w:val="24"/>
          <w:szCs w:val="24"/>
        </w:rPr>
        <w:t>El director General de Administración Cesar Isidro Cruz</w:t>
      </w:r>
      <w:r w:rsidR="00845C94"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845C94" w:rsidRPr="00115CE3">
        <w:rPr>
          <w:rFonts w:ascii="Arial" w:hAnsi="Arial" w:cs="Arial"/>
          <w:i/>
          <w:sz w:val="24"/>
          <w:szCs w:val="24"/>
        </w:rPr>
        <w:t>tercero</w:t>
      </w:r>
      <w:r w:rsidR="00845C94" w:rsidRPr="00115CE3">
        <w:rPr>
          <w:rFonts w:ascii="Arial" w:hAnsi="Arial" w:cs="Arial"/>
          <w:sz w:val="24"/>
          <w:szCs w:val="24"/>
        </w:rPr>
        <w:t xml:space="preserve"> fracción III de la presente resolución.</w:t>
      </w:r>
    </w:p>
    <w:p w:rsidR="00DF085B" w:rsidRDefault="00DF085B" w:rsidP="00845C94">
      <w:pPr>
        <w:spacing w:line="240" w:lineRule="auto"/>
        <w:jc w:val="both"/>
        <w:rPr>
          <w:rFonts w:ascii="Arial" w:hAnsi="Arial" w:cs="Arial"/>
          <w:sz w:val="24"/>
          <w:szCs w:val="24"/>
        </w:rPr>
      </w:pPr>
    </w:p>
    <w:p w:rsidR="00845C94" w:rsidRDefault="00476EF2" w:rsidP="00845C94">
      <w:pPr>
        <w:spacing w:line="240" w:lineRule="auto"/>
        <w:jc w:val="both"/>
        <w:rPr>
          <w:rFonts w:ascii="Arial" w:hAnsi="Arial" w:cs="Arial"/>
          <w:sz w:val="24"/>
          <w:szCs w:val="24"/>
        </w:rPr>
      </w:pPr>
      <w:r w:rsidRPr="00115CE3">
        <w:rPr>
          <w:rFonts w:ascii="Arial" w:hAnsi="Arial" w:cs="Arial"/>
          <w:b/>
          <w:sz w:val="24"/>
          <w:szCs w:val="24"/>
        </w:rPr>
        <w:t xml:space="preserve">TERCERO. </w:t>
      </w:r>
      <w:bookmarkEnd w:id="1"/>
      <w:r w:rsidR="00845C94" w:rsidRPr="00115CE3">
        <w:rPr>
          <w:rFonts w:ascii="Arial" w:hAnsi="Arial" w:cs="Arial"/>
          <w:sz w:val="24"/>
          <w:szCs w:val="24"/>
        </w:rPr>
        <w:t xml:space="preserve">Se instruye </w:t>
      </w:r>
      <w:r w:rsidR="00845C94">
        <w:rPr>
          <w:rFonts w:ascii="Arial" w:hAnsi="Arial" w:cs="Arial"/>
          <w:sz w:val="24"/>
          <w:szCs w:val="24"/>
        </w:rPr>
        <w:t>al director General de Administración Cesar Isidro Cruz</w:t>
      </w:r>
      <w:r w:rsidR="00845C94" w:rsidRPr="00115CE3">
        <w:rPr>
          <w:rFonts w:ascii="Arial" w:hAnsi="Arial" w:cs="Arial"/>
          <w:sz w:val="24"/>
          <w:szCs w:val="24"/>
        </w:rPr>
        <w:t xml:space="preserve">, para que dé cumplimiento a los efectos de la presente resolución establecidos en el considerando </w:t>
      </w:r>
      <w:r w:rsidR="00845C94" w:rsidRPr="00115CE3">
        <w:rPr>
          <w:rFonts w:ascii="Arial" w:hAnsi="Arial" w:cs="Arial"/>
          <w:i/>
          <w:sz w:val="24"/>
          <w:szCs w:val="24"/>
        </w:rPr>
        <w:t>tercero</w:t>
      </w:r>
      <w:r w:rsidR="00845C94" w:rsidRPr="00115CE3">
        <w:rPr>
          <w:rFonts w:ascii="Arial" w:hAnsi="Arial" w:cs="Arial"/>
          <w:sz w:val="24"/>
          <w:szCs w:val="24"/>
        </w:rPr>
        <w:t xml:space="preserve"> fracción V.</w:t>
      </w:r>
    </w:p>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lastRenderedPageBreak/>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B75033">
        <w:rPr>
          <w:rFonts w:ascii="Arial" w:hAnsi="Arial" w:cs="Arial"/>
          <w:b/>
          <w:sz w:val="24"/>
          <w:szCs w:val="24"/>
        </w:rPr>
        <w:t>80</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p w:rsidR="00DF085B" w:rsidRDefault="00DF085B" w:rsidP="005F0249">
      <w:pPr>
        <w:spacing w:line="240" w:lineRule="auto"/>
        <w:jc w:val="both"/>
        <w:rPr>
          <w:rFonts w:ascii="Arial" w:hAnsi="Arial" w:cs="Arial"/>
          <w:b/>
          <w:sz w:val="24"/>
          <w:szCs w:val="24"/>
        </w:rPr>
      </w:pPr>
    </w:p>
    <w:bookmarkEnd w:id="2"/>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752543" w:rsidRDefault="00752543" w:rsidP="00EF1D58">
      <w:pPr>
        <w:spacing w:after="0"/>
        <w:rPr>
          <w:rFonts w:ascii="Arial" w:hAnsi="Arial" w:cs="Arial"/>
          <w:sz w:val="24"/>
          <w:szCs w:val="24"/>
        </w:rPr>
      </w:pPr>
    </w:p>
    <w:p w:rsidR="004A6229" w:rsidRDefault="004A6229" w:rsidP="00EF1D58">
      <w:pPr>
        <w:spacing w:after="0"/>
        <w:jc w:val="both"/>
        <w:rPr>
          <w:rFonts w:ascii="Arial" w:hAnsi="Arial" w:cs="Arial"/>
          <w:sz w:val="24"/>
          <w:szCs w:val="24"/>
          <w:highlight w:val="yellow"/>
        </w:rPr>
      </w:pPr>
    </w:p>
    <w:p w:rsidR="00845C94" w:rsidRDefault="00845C94" w:rsidP="00EF1D58">
      <w:pPr>
        <w:spacing w:after="0"/>
        <w:jc w:val="both"/>
        <w:rPr>
          <w:rFonts w:ascii="Arial" w:hAnsi="Arial" w:cs="Arial"/>
          <w:sz w:val="24"/>
          <w:szCs w:val="24"/>
          <w:highlight w:val="yellow"/>
        </w:rPr>
      </w:pPr>
    </w:p>
    <w:p w:rsidR="00845C94" w:rsidRPr="00115CE3" w:rsidRDefault="00845C94"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845C94" w:rsidRDefault="00845C94" w:rsidP="00EF1D58">
      <w:pPr>
        <w:tabs>
          <w:tab w:val="left" w:pos="8998"/>
          <w:tab w:val="left" w:pos="9932"/>
        </w:tabs>
        <w:spacing w:before="20" w:after="0"/>
        <w:rPr>
          <w:rFonts w:ascii="Arial" w:eastAsia="Arial" w:hAnsi="Arial" w:cs="Arial"/>
          <w:b/>
          <w:sz w:val="24"/>
          <w:szCs w:val="24"/>
        </w:rPr>
      </w:pPr>
    </w:p>
    <w:p w:rsidR="00845C94" w:rsidRDefault="00845C94" w:rsidP="00EF1D58">
      <w:pPr>
        <w:tabs>
          <w:tab w:val="left" w:pos="8998"/>
          <w:tab w:val="left" w:pos="9932"/>
        </w:tabs>
        <w:spacing w:before="20" w:after="0"/>
        <w:rPr>
          <w:rFonts w:ascii="Arial" w:eastAsia="Arial" w:hAnsi="Arial" w:cs="Arial"/>
          <w:b/>
          <w:sz w:val="24"/>
          <w:szCs w:val="24"/>
        </w:rPr>
      </w:pPr>
    </w:p>
    <w:p w:rsidR="00845C94" w:rsidRDefault="00845C94"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480799" w:rsidP="00EF1D58">
      <w:pPr>
        <w:spacing w:after="0"/>
        <w:rPr>
          <w:rFonts w:ascii="Arial" w:hAnsi="Arial" w:cs="Arial"/>
          <w:b/>
          <w:sz w:val="24"/>
          <w:szCs w:val="24"/>
        </w:rPr>
      </w:pPr>
      <w:r w:rsidRPr="00115CE3">
        <w:rPr>
          <w:rFonts w:ascii="Arial" w:hAnsi="Arial" w:cs="Arial"/>
          <w:b/>
          <w:sz w:val="24"/>
          <w:szCs w:val="24"/>
        </w:rPr>
        <w:t xml:space="preserve">LICENCIADO JOSÉ PEDRO GÓMEZ ÁVILA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845C94" w:rsidRDefault="00845C94" w:rsidP="00EF1D58">
      <w:pPr>
        <w:spacing w:after="0"/>
        <w:rPr>
          <w:rFonts w:ascii="Arial" w:hAnsi="Arial" w:cs="Arial"/>
          <w:b/>
          <w:sz w:val="24"/>
          <w:szCs w:val="24"/>
        </w:rPr>
      </w:pPr>
    </w:p>
    <w:p w:rsidR="00845C94" w:rsidRDefault="00845C94" w:rsidP="00EF1D58">
      <w:pPr>
        <w:spacing w:after="0"/>
        <w:rPr>
          <w:rFonts w:ascii="Arial" w:hAnsi="Arial" w:cs="Arial"/>
          <w:b/>
          <w:sz w:val="24"/>
          <w:szCs w:val="24"/>
        </w:rPr>
      </w:pPr>
    </w:p>
    <w:p w:rsidR="00845C94" w:rsidRDefault="00845C94"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94C05" w:rsidRDefault="00394C05">
      <w:r>
        <w:separator/>
      </w:r>
    </w:p>
  </w:endnote>
  <w:endnote w:type="continuationSeparator" w:id="0">
    <w:p w:rsidR="00394C05" w:rsidRDefault="00394C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F4901" w:rsidRDefault="00CF490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F4901" w:rsidRDefault="00CF490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94C05" w:rsidRDefault="00394C05">
      <w:r>
        <w:separator/>
      </w:r>
    </w:p>
  </w:footnote>
  <w:footnote w:type="continuationSeparator" w:id="0">
    <w:p w:rsidR="00394C05" w:rsidRDefault="00394C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F4901" w:rsidRDefault="00CF490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4022672"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CF4901">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4022673"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764AA">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AR/</w:t>
                          </w:r>
                          <w:r w:rsidR="00CE3272">
                            <w:rPr>
                              <w:rFonts w:ascii="Arial" w:hAnsi="Arial" w:cs="Arial"/>
                              <w:b/>
                              <w:color w:val="FFFFFF" w:themeColor="background1"/>
                              <w:sz w:val="18"/>
                              <w:szCs w:val="18"/>
                              <w:lang w:val="es-ES"/>
                            </w:rPr>
                            <w:t>0</w:t>
                          </w:r>
                          <w:r w:rsidR="00672FE8">
                            <w:rPr>
                              <w:rFonts w:ascii="Arial" w:hAnsi="Arial" w:cs="Arial"/>
                              <w:b/>
                              <w:color w:val="FFFFFF" w:themeColor="background1"/>
                              <w:sz w:val="18"/>
                              <w:szCs w:val="18"/>
                              <w:lang w:val="es-ES"/>
                            </w:rPr>
                            <w:t>5</w:t>
                          </w:r>
                          <w:r w:rsidR="00735291">
                            <w:rPr>
                              <w:rFonts w:ascii="Arial" w:hAnsi="Arial" w:cs="Arial"/>
                              <w:b/>
                              <w:color w:val="FFFFFF" w:themeColor="background1"/>
                              <w:sz w:val="18"/>
                              <w:szCs w:val="18"/>
                              <w:lang w:val="es-ES"/>
                            </w:rPr>
                            <w:t>8</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director General de Administración</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764AA">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AR/</w:t>
                    </w:r>
                    <w:r w:rsidR="00CE3272">
                      <w:rPr>
                        <w:rFonts w:ascii="Arial" w:hAnsi="Arial" w:cs="Arial"/>
                        <w:b/>
                        <w:color w:val="FFFFFF" w:themeColor="background1"/>
                        <w:sz w:val="18"/>
                        <w:szCs w:val="18"/>
                        <w:lang w:val="es-ES"/>
                      </w:rPr>
                      <w:t>0</w:t>
                    </w:r>
                    <w:r w:rsidR="00672FE8">
                      <w:rPr>
                        <w:rFonts w:ascii="Arial" w:hAnsi="Arial" w:cs="Arial"/>
                        <w:b/>
                        <w:color w:val="FFFFFF" w:themeColor="background1"/>
                        <w:sz w:val="18"/>
                        <w:szCs w:val="18"/>
                        <w:lang w:val="es-ES"/>
                      </w:rPr>
                      <w:t>5</w:t>
                    </w:r>
                    <w:r w:rsidR="00735291">
                      <w:rPr>
                        <w:rFonts w:ascii="Arial" w:hAnsi="Arial" w:cs="Arial"/>
                        <w:b/>
                        <w:color w:val="FFFFFF" w:themeColor="background1"/>
                        <w:sz w:val="18"/>
                        <w:szCs w:val="18"/>
                        <w:lang w:val="es-ES"/>
                      </w:rPr>
                      <w:t>8</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director General de Administración</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F4901" w:rsidRDefault="00CF490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4022671"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617AB"/>
    <w:rsid w:val="00364780"/>
    <w:rsid w:val="00374F51"/>
    <w:rsid w:val="00375ED0"/>
    <w:rsid w:val="00376B01"/>
    <w:rsid w:val="0037773A"/>
    <w:rsid w:val="0038167B"/>
    <w:rsid w:val="003834BC"/>
    <w:rsid w:val="00385479"/>
    <w:rsid w:val="0039067D"/>
    <w:rsid w:val="003924E6"/>
    <w:rsid w:val="003930E6"/>
    <w:rsid w:val="00394C05"/>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291"/>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45C94"/>
    <w:rsid w:val="00850661"/>
    <w:rsid w:val="00854CCF"/>
    <w:rsid w:val="008565C9"/>
    <w:rsid w:val="0086255E"/>
    <w:rsid w:val="0086360B"/>
    <w:rsid w:val="008669B5"/>
    <w:rsid w:val="008669E7"/>
    <w:rsid w:val="00870789"/>
    <w:rsid w:val="00871464"/>
    <w:rsid w:val="0087353B"/>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75033"/>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5708"/>
    <w:rsid w:val="00C40442"/>
    <w:rsid w:val="00C42AC3"/>
    <w:rsid w:val="00C42F42"/>
    <w:rsid w:val="00C43AFA"/>
    <w:rsid w:val="00C44251"/>
    <w:rsid w:val="00C4433F"/>
    <w:rsid w:val="00C45988"/>
    <w:rsid w:val="00C5041B"/>
    <w:rsid w:val="00C54B5D"/>
    <w:rsid w:val="00C60803"/>
    <w:rsid w:val="00C61363"/>
    <w:rsid w:val="00C61851"/>
    <w:rsid w:val="00C621B7"/>
    <w:rsid w:val="00C62917"/>
    <w:rsid w:val="00C63027"/>
    <w:rsid w:val="00C65A95"/>
    <w:rsid w:val="00C65C22"/>
    <w:rsid w:val="00C70971"/>
    <w:rsid w:val="00C71829"/>
    <w:rsid w:val="00C75574"/>
    <w:rsid w:val="00C760CF"/>
    <w:rsid w:val="00C76C0B"/>
    <w:rsid w:val="00C8519A"/>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E3272"/>
    <w:rsid w:val="00CF11DE"/>
    <w:rsid w:val="00CF4901"/>
    <w:rsid w:val="00CF5326"/>
    <w:rsid w:val="00CF5772"/>
    <w:rsid w:val="00D01046"/>
    <w:rsid w:val="00D024F4"/>
    <w:rsid w:val="00D0353D"/>
    <w:rsid w:val="00D06E6C"/>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34BA"/>
    <w:rsid w:val="00D550D0"/>
    <w:rsid w:val="00D60FCE"/>
    <w:rsid w:val="00D73BF1"/>
    <w:rsid w:val="00D77002"/>
    <w:rsid w:val="00D7765F"/>
    <w:rsid w:val="00D812EA"/>
    <w:rsid w:val="00D843EF"/>
    <w:rsid w:val="00D855D5"/>
    <w:rsid w:val="00D90F51"/>
    <w:rsid w:val="00D93F6F"/>
    <w:rsid w:val="00D951F0"/>
    <w:rsid w:val="00D96174"/>
    <w:rsid w:val="00DA1553"/>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085B"/>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01A9"/>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DEF5FC-4EF7-4256-9A82-C42A3FE732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12</Pages>
  <Words>4701</Words>
  <Characters>25858</Characters>
  <Application>Microsoft Office Word</Application>
  <DocSecurity>0</DocSecurity>
  <Lines>215</Lines>
  <Paragraphs>60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30499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2025-07-07T16:07:00Z</cp:lastPrinted>
  <dcterms:created xsi:type="dcterms:W3CDTF">2025-09-05T16:01:00Z</dcterms:created>
  <dcterms:modified xsi:type="dcterms:W3CDTF">2025-09-18T17:49:00Z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