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0910A5">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7A1322" w:rsidRDefault="007A1322" w:rsidP="000910A5">
      <w:pPr>
        <w:spacing w:line="240" w:lineRule="auto"/>
        <w:jc w:val="center"/>
        <w:rPr>
          <w:rFonts w:ascii="Arial" w:hAnsi="Arial" w:cs="Arial"/>
          <w:b/>
          <w:sz w:val="24"/>
          <w:szCs w:val="24"/>
        </w:rPr>
      </w:pPr>
    </w:p>
    <w:p w:rsidR="00BF3665" w:rsidRPr="00115CE3" w:rsidRDefault="009819AE" w:rsidP="000910A5">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0910A5">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C946CC">
        <w:rPr>
          <w:rFonts w:ascii="Arial" w:hAnsi="Arial" w:cs="Arial"/>
          <w:b/>
          <w:sz w:val="24"/>
          <w:szCs w:val="24"/>
        </w:rPr>
        <w:t>3</w:t>
      </w:r>
      <w:r w:rsidR="00504A90">
        <w:rPr>
          <w:rFonts w:ascii="Arial" w:hAnsi="Arial" w:cs="Arial"/>
          <w:b/>
          <w:sz w:val="24"/>
          <w:szCs w:val="24"/>
        </w:rPr>
        <w:t>6</w:t>
      </w:r>
      <w:r w:rsidR="004E0AB2">
        <w:rPr>
          <w:rFonts w:ascii="Arial" w:hAnsi="Arial" w:cs="Arial"/>
          <w:b/>
          <w:sz w:val="24"/>
          <w:szCs w:val="24"/>
        </w:rPr>
        <w:t>47</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C946CC">
        <w:rPr>
          <w:rFonts w:ascii="Arial" w:hAnsi="Arial" w:cs="Arial"/>
          <w:b/>
          <w:sz w:val="24"/>
          <w:szCs w:val="24"/>
        </w:rPr>
        <w:t>2</w:t>
      </w:r>
      <w:r w:rsidR="004E0AB2">
        <w:rPr>
          <w:rFonts w:ascii="Arial" w:hAnsi="Arial" w:cs="Arial"/>
          <w:b/>
          <w:sz w:val="24"/>
          <w:szCs w:val="24"/>
        </w:rPr>
        <w:t>7</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4E0AB2">
        <w:rPr>
          <w:rFonts w:ascii="Arial" w:hAnsi="Arial" w:cs="Arial"/>
          <w:b/>
          <w:sz w:val="24"/>
          <w:szCs w:val="24"/>
        </w:rPr>
        <w:t>60</w:t>
      </w:r>
      <w:r w:rsidR="0053156B" w:rsidRPr="00115CE3">
        <w:rPr>
          <w:rFonts w:ascii="Arial" w:hAnsi="Arial" w:cs="Arial"/>
          <w:sz w:val="24"/>
          <w:szCs w:val="24"/>
        </w:rPr>
        <w:t>-240469825000</w:t>
      </w:r>
      <w:r w:rsidR="00C946CC">
        <w:rPr>
          <w:rFonts w:ascii="Arial" w:hAnsi="Arial" w:cs="Arial"/>
          <w:b/>
          <w:sz w:val="24"/>
          <w:szCs w:val="24"/>
        </w:rPr>
        <w:t>4</w:t>
      </w:r>
      <w:r w:rsidR="004E0AB2">
        <w:rPr>
          <w:rFonts w:ascii="Arial" w:hAnsi="Arial" w:cs="Arial"/>
          <w:b/>
          <w:sz w:val="24"/>
          <w:szCs w:val="24"/>
        </w:rPr>
        <w:t>60</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4E0AB2" w:rsidRPr="004E0AB2">
        <w:rPr>
          <w:rFonts w:ascii="Arial" w:hAnsi="Arial" w:cs="Arial"/>
          <w:b/>
          <w:sz w:val="24"/>
          <w:szCs w:val="24"/>
        </w:rPr>
        <w:t xml:space="preserve">Lourdes </w:t>
      </w:r>
      <w:r w:rsidR="000910A5" w:rsidRPr="004E0AB2">
        <w:rPr>
          <w:rFonts w:ascii="Arial" w:hAnsi="Arial" w:cs="Arial"/>
          <w:b/>
          <w:sz w:val="24"/>
          <w:szCs w:val="24"/>
        </w:rPr>
        <w:t>Pérez</w:t>
      </w:r>
      <w:r w:rsidR="000C23C7">
        <w:rPr>
          <w:rFonts w:ascii="Arial" w:hAnsi="Arial" w:cs="Arial"/>
          <w:sz w:val="24"/>
          <w:szCs w:val="24"/>
        </w:rPr>
        <w:t>, quien manifiesta su deseo de acceder a la siguiente información:</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Número total de casos de feminicidio registrados del 01 enero de 2024 al 16 de octubre de 2025.</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Número de homicidios de mujeres, adolescentes y niñas registrados del 01 enero de 2024 al 16 de</w:t>
      </w:r>
      <w:r w:rsidR="006712DE">
        <w:rPr>
          <w:rFonts w:ascii="Arial" w:hAnsi="Arial" w:cs="Arial"/>
          <w:sz w:val="24"/>
          <w:szCs w:val="24"/>
        </w:rPr>
        <w:t xml:space="preserve"> </w:t>
      </w:r>
      <w:r w:rsidRPr="006712DE">
        <w:rPr>
          <w:rFonts w:ascii="Arial" w:hAnsi="Arial" w:cs="Arial"/>
          <w:sz w:val="24"/>
          <w:szCs w:val="24"/>
        </w:rPr>
        <w:t>octubre de 2025.</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De ambos delitos, favor de proporcionar la información desagregada por:</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Edad o rango de edad de cada víctima.</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Municipio en el que ocurrió cada feminicidio.</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Fecha en que se localizó el cuerpo de la víctima.</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Ubicación general del hallazgo (por ejemplo: domicilio, vía pública, paraje, etc.), sin incluir datos</w:t>
      </w:r>
      <w:r w:rsidR="006712DE">
        <w:rPr>
          <w:rFonts w:ascii="Arial" w:hAnsi="Arial" w:cs="Arial"/>
          <w:sz w:val="24"/>
          <w:szCs w:val="24"/>
        </w:rPr>
        <w:t xml:space="preserve"> </w:t>
      </w:r>
      <w:r w:rsidRPr="006712DE">
        <w:rPr>
          <w:rFonts w:ascii="Arial" w:hAnsi="Arial" w:cs="Arial"/>
          <w:sz w:val="24"/>
          <w:szCs w:val="24"/>
        </w:rPr>
        <w:t>personales o de identificación.</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Estatus actual de la carpeta de investigación de cada caso (por ejemplo: en investigación, con imputado</w:t>
      </w:r>
      <w:r w:rsidR="006712DE">
        <w:rPr>
          <w:rFonts w:ascii="Arial" w:hAnsi="Arial" w:cs="Arial"/>
          <w:sz w:val="24"/>
          <w:szCs w:val="24"/>
        </w:rPr>
        <w:t xml:space="preserve"> </w:t>
      </w:r>
      <w:r w:rsidRPr="006712DE">
        <w:rPr>
          <w:rFonts w:ascii="Arial" w:hAnsi="Arial" w:cs="Arial"/>
          <w:sz w:val="24"/>
          <w:szCs w:val="24"/>
        </w:rPr>
        <w:t>vinculado a proceso, con sentencia condenatoria, etc.).</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En caso de existir, estadísticas o bases de datos que sistematicen esta información por año y municipio.</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Indicar si las víctimas tenían reporte de desaparición previo al hallazgo.</w:t>
      </w:r>
    </w:p>
    <w:p w:rsidR="004E0AB2"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Indicar si el feminicidio u homicidio fue vinculado a otro tipo de delito (violencia sexual, desaparición,</w:t>
      </w:r>
      <w:r w:rsidR="006712DE">
        <w:rPr>
          <w:rFonts w:ascii="Arial" w:hAnsi="Arial" w:cs="Arial"/>
          <w:sz w:val="24"/>
          <w:szCs w:val="24"/>
        </w:rPr>
        <w:t xml:space="preserve"> </w:t>
      </w:r>
      <w:r w:rsidRPr="006712DE">
        <w:rPr>
          <w:rFonts w:ascii="Arial" w:hAnsi="Arial" w:cs="Arial"/>
          <w:sz w:val="24"/>
          <w:szCs w:val="24"/>
        </w:rPr>
        <w:t>trata, etc.).</w:t>
      </w:r>
    </w:p>
    <w:p w:rsidR="00F36F63" w:rsidRPr="006712DE" w:rsidRDefault="004E0AB2" w:rsidP="000910A5">
      <w:pPr>
        <w:spacing w:after="0" w:line="240" w:lineRule="auto"/>
        <w:jc w:val="both"/>
        <w:rPr>
          <w:rFonts w:ascii="Arial" w:hAnsi="Arial" w:cs="Arial"/>
          <w:sz w:val="24"/>
          <w:szCs w:val="24"/>
        </w:rPr>
      </w:pPr>
      <w:r w:rsidRPr="006712DE">
        <w:rPr>
          <w:rFonts w:ascii="Arial" w:hAnsi="Arial" w:cs="Arial"/>
          <w:sz w:val="24"/>
          <w:szCs w:val="24"/>
        </w:rPr>
        <w:t>Número total de sentencias condenatorias por feminicidio en el mismo periodo.</w:t>
      </w:r>
      <w:r w:rsidR="00C71D2F" w:rsidRPr="006712DE">
        <w:rPr>
          <w:rFonts w:ascii="Arial" w:hAnsi="Arial" w:cs="Arial"/>
          <w:sz w:val="24"/>
          <w:szCs w:val="24"/>
        </w:rPr>
        <w:t xml:space="preserve"> [SIC]</w:t>
      </w:r>
    </w:p>
    <w:p w:rsidR="00C71D2F" w:rsidRPr="00C71D2F" w:rsidRDefault="00C71D2F" w:rsidP="000910A5">
      <w:pPr>
        <w:spacing w:after="0" w:line="240" w:lineRule="auto"/>
        <w:jc w:val="both"/>
        <w:rPr>
          <w:rFonts w:ascii="Arial" w:hAnsi="Arial" w:cs="Arial"/>
          <w:sz w:val="20"/>
          <w:szCs w:val="20"/>
        </w:rPr>
      </w:pPr>
    </w:p>
    <w:p w:rsidR="00BF3665" w:rsidRDefault="009819AE" w:rsidP="000910A5">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0910A5">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4E0AB2">
        <w:rPr>
          <w:rFonts w:ascii="Arial" w:hAnsi="Arial" w:cs="Arial"/>
          <w:b/>
          <w:sz w:val="24"/>
          <w:szCs w:val="24"/>
        </w:rPr>
        <w:t>7</w:t>
      </w:r>
      <w:r w:rsidR="00D5202E">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0910A5">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0910A5">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0910A5">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C946CC">
        <w:rPr>
          <w:rFonts w:ascii="Arial" w:hAnsi="Arial" w:cs="Arial"/>
          <w:b/>
          <w:sz w:val="24"/>
          <w:szCs w:val="24"/>
        </w:rPr>
        <w:t>2</w:t>
      </w:r>
      <w:r w:rsidR="004E0AB2">
        <w:rPr>
          <w:rFonts w:ascii="Arial" w:hAnsi="Arial" w:cs="Arial"/>
          <w:b/>
          <w:sz w:val="24"/>
          <w:szCs w:val="24"/>
        </w:rPr>
        <w:t>7</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0910A5">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0910A5">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4E0AB2">
        <w:rPr>
          <w:rFonts w:ascii="Arial" w:hAnsi="Arial" w:cs="Arial"/>
          <w:b/>
          <w:sz w:val="24"/>
          <w:szCs w:val="24"/>
        </w:rPr>
        <w:t>7</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0910A5">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0910A5">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0910A5">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0910A5">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0910A5">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0910A5">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0910A5">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0910A5">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0910A5">
      <w:pPr>
        <w:spacing w:after="0" w:line="240" w:lineRule="auto"/>
        <w:jc w:val="both"/>
        <w:rPr>
          <w:rFonts w:ascii="Arial" w:hAnsi="Arial" w:cs="Arial"/>
          <w:sz w:val="24"/>
          <w:szCs w:val="24"/>
        </w:rPr>
      </w:pPr>
    </w:p>
    <w:p w:rsidR="00E17D56" w:rsidRDefault="00842F00" w:rsidP="000910A5">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0910A5">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6712DE" w:rsidRDefault="006712DE" w:rsidP="000910A5">
      <w:pPr>
        <w:spacing w:line="240" w:lineRule="auto"/>
        <w:jc w:val="both"/>
        <w:rPr>
          <w:rFonts w:ascii="Arial" w:hAnsi="Arial" w:cs="Arial"/>
          <w:b/>
          <w:sz w:val="24"/>
          <w:szCs w:val="24"/>
        </w:rPr>
      </w:pPr>
    </w:p>
    <w:p w:rsidR="00BF3665" w:rsidRDefault="009819AE" w:rsidP="000910A5">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0910A5">
      <w:pPr>
        <w:pStyle w:val="Prrafodelista"/>
        <w:ind w:left="1080"/>
        <w:jc w:val="both"/>
        <w:rPr>
          <w:rFonts w:ascii="Arial" w:hAnsi="Arial" w:cs="Arial"/>
          <w:b/>
        </w:rPr>
      </w:pPr>
    </w:p>
    <w:p w:rsidR="004E0AB2" w:rsidRPr="004E0AB2" w:rsidRDefault="007336C3" w:rsidP="000910A5">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4E0AB2">
        <w:rPr>
          <w:rFonts w:ascii="Arial" w:hAnsi="Arial" w:cs="Arial"/>
          <w:sz w:val="24"/>
          <w:szCs w:val="24"/>
        </w:rPr>
        <w:t>La información relativa a “u</w:t>
      </w:r>
      <w:r w:rsidR="004E0AB2" w:rsidRPr="004E0AB2">
        <w:rPr>
          <w:rFonts w:ascii="Arial" w:hAnsi="Arial" w:cs="Arial"/>
          <w:sz w:val="24"/>
          <w:szCs w:val="24"/>
        </w:rPr>
        <w:t>n total de cinco municipios y su ubicación general del hallazgo, en los que se registró el inicio de una sola carpeta de investigación por los delitos de feminicidio y homicidio en agravio de mujeres, adolescentes y niñas, en el periodo comprendido del 01 de enero de 2024 al 16 de octubre de 2025</w:t>
      </w:r>
      <w:r w:rsidR="004E0AB2">
        <w:rPr>
          <w:rFonts w:ascii="Arial" w:hAnsi="Arial" w:cs="Arial"/>
          <w:sz w:val="24"/>
          <w:szCs w:val="24"/>
        </w:rPr>
        <w:t xml:space="preserve">”, de proporcionarla, </w:t>
      </w:r>
      <w:r w:rsidR="004E0AB2" w:rsidRPr="004E0AB2">
        <w:rPr>
          <w:rFonts w:ascii="Arial" w:hAnsi="Arial" w:cs="Arial"/>
          <w:sz w:val="24"/>
          <w:szCs w:val="24"/>
        </w:rPr>
        <w:t xml:space="preserve">se revelaría información contenida en las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así mismo, se contraviene lo establecido en el artículo 218 del Código Nacional de Procedimientos Penales, </w:t>
      </w:r>
      <w:r w:rsidR="004E0AB2" w:rsidRPr="004E0AB2">
        <w:rPr>
          <w:rFonts w:ascii="Arial" w:hAnsi="Arial" w:cs="Arial"/>
          <w:sz w:val="24"/>
          <w:szCs w:val="24"/>
        </w:rPr>
        <w:lastRenderedPageBreak/>
        <w:t xml:space="preserve">el cual refiere que los documentos de la investigación, así como los registros, es información estrictamente reservada. </w:t>
      </w:r>
    </w:p>
    <w:p w:rsidR="00F97B38" w:rsidRDefault="00045C57" w:rsidP="000910A5">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0910A5">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xml:space="preserve">, </w:t>
      </w:r>
      <w:r w:rsidR="004E0AB2">
        <w:rPr>
          <w:rFonts w:ascii="Arial" w:hAnsi="Arial" w:cs="Arial"/>
          <w:sz w:val="24"/>
          <w:szCs w:val="24"/>
        </w:rPr>
        <w:t xml:space="preserve">106, </w:t>
      </w:r>
      <w:r>
        <w:rPr>
          <w:rFonts w:ascii="Arial" w:hAnsi="Arial" w:cs="Arial"/>
          <w:sz w:val="24"/>
          <w:szCs w:val="24"/>
        </w:rPr>
        <w:t>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0910A5">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0910A5">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0910A5">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0910A5">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0910A5">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0910A5">
      <w:pPr>
        <w:spacing w:after="0" w:line="240" w:lineRule="auto"/>
        <w:ind w:right="-93"/>
        <w:jc w:val="both"/>
        <w:rPr>
          <w:rFonts w:ascii="Arial" w:hAnsi="Arial" w:cs="Arial"/>
          <w:b/>
          <w:i/>
          <w:sz w:val="24"/>
          <w:szCs w:val="24"/>
        </w:rPr>
      </w:pPr>
    </w:p>
    <w:p w:rsidR="00BF3665" w:rsidRPr="007E043D" w:rsidRDefault="009819AE" w:rsidP="000910A5">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0910A5">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0910A5">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0910A5">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deberán precisar las razones objetivas por las que la apertura de la información generaría un riesgo de perjuicio real, demostrable e identificable al interés jurídico tutelado de que se trate;</w:t>
      </w:r>
    </w:p>
    <w:p w:rsidR="00BF3665" w:rsidRPr="007E043D" w:rsidRDefault="009819AE" w:rsidP="000910A5">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0910A5">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0910A5">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0910A5">
      <w:pPr>
        <w:spacing w:after="0" w:line="240" w:lineRule="auto"/>
        <w:jc w:val="both"/>
        <w:rPr>
          <w:rFonts w:ascii="Arial" w:eastAsia="Times New Roman" w:hAnsi="Arial" w:cs="Arial"/>
          <w:sz w:val="24"/>
          <w:szCs w:val="24"/>
          <w:lang w:val="es-ES"/>
        </w:rPr>
      </w:pPr>
    </w:p>
    <w:p w:rsidR="000C4F3A" w:rsidRDefault="007336C3" w:rsidP="000910A5">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0910A5">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0910A5">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0910A5">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0910A5">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w:t>
      </w:r>
      <w:r w:rsidRPr="003F7702">
        <w:rPr>
          <w:rFonts w:ascii="Arial" w:hAnsi="Arial" w:cs="Arial"/>
          <w:sz w:val="24"/>
          <w:szCs w:val="24"/>
        </w:rPr>
        <w:lastRenderedPageBreak/>
        <w:t xml:space="preserve">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0910A5">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0910A5">
      <w:pPr>
        <w:spacing w:after="0" w:line="240" w:lineRule="auto"/>
        <w:ind w:right="-93"/>
        <w:jc w:val="both"/>
        <w:rPr>
          <w:rFonts w:ascii="Arial" w:hAnsi="Arial" w:cs="Arial"/>
          <w:sz w:val="24"/>
          <w:szCs w:val="24"/>
        </w:rPr>
      </w:pPr>
    </w:p>
    <w:p w:rsidR="00C42F42" w:rsidRPr="00C42F42" w:rsidRDefault="00C42F42" w:rsidP="000910A5">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0910A5">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6712DE" w:rsidRDefault="006712DE" w:rsidP="000910A5">
      <w:pPr>
        <w:autoSpaceDE w:val="0"/>
        <w:autoSpaceDN w:val="0"/>
        <w:adjustRightInd w:val="0"/>
        <w:spacing w:line="240" w:lineRule="auto"/>
        <w:jc w:val="both"/>
        <w:rPr>
          <w:rFonts w:ascii="Arial" w:hAnsi="Arial" w:cs="Arial"/>
          <w:sz w:val="24"/>
          <w:szCs w:val="24"/>
        </w:rPr>
      </w:pPr>
    </w:p>
    <w:p w:rsidR="00BF3665" w:rsidRPr="001E22D9" w:rsidRDefault="001E22D9" w:rsidP="000910A5">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4E0AB2" w:rsidRPr="004E0AB2" w:rsidRDefault="004E0AB2" w:rsidP="000910A5">
      <w:pPr>
        <w:pStyle w:val="Textoindependiente"/>
        <w:jc w:val="both"/>
        <w:rPr>
          <w:rFonts w:ascii="Arial" w:hAnsi="Arial" w:cs="Arial"/>
          <w:bCs/>
          <w:color w:val="000000" w:themeColor="text1"/>
          <w:lang w:val="es-MX"/>
        </w:rPr>
      </w:pPr>
      <w:r>
        <w:rPr>
          <w:rFonts w:ascii="Arial" w:hAnsi="Arial" w:cs="Arial"/>
          <w:color w:val="000000" w:themeColor="text1"/>
        </w:rPr>
        <w:t xml:space="preserve">La Vicefiscalía General procede a acordar la </w:t>
      </w:r>
      <w:r w:rsidRPr="004E0AB2">
        <w:rPr>
          <w:rFonts w:ascii="Arial" w:hAnsi="Arial" w:cs="Arial"/>
          <w:bCs/>
          <w:color w:val="000000" w:themeColor="text1"/>
        </w:rPr>
        <w:t>reserva parcial</w:t>
      </w:r>
      <w:r>
        <w:rPr>
          <w:rFonts w:ascii="Arial" w:hAnsi="Arial" w:cs="Arial"/>
          <w:color w:val="000000" w:themeColor="text1"/>
        </w:rPr>
        <w:t xml:space="preserve"> de la información inherente a: </w:t>
      </w:r>
      <w:r w:rsidRPr="004E0AB2">
        <w:rPr>
          <w:rFonts w:ascii="Arial" w:hAnsi="Arial" w:cs="Arial"/>
          <w:bCs/>
          <w:color w:val="000000" w:themeColor="text1"/>
          <w:lang w:val="es-MX"/>
        </w:rPr>
        <w:t>Un total de cinco municipios y su ubicación general del hallazgo, en los que se registró el inicio de una sola carpeta de investigación por los delitos de feminicidio y homicidio en agravio de mujeres, adolescentes y niñas, en el periodo comprendido del 01 de enero de 2024 al 16 de octubre de 2025.</w:t>
      </w:r>
    </w:p>
    <w:p w:rsidR="00D53B1B" w:rsidRDefault="00720254" w:rsidP="000910A5">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0910A5">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0910A5">
      <w:pPr>
        <w:pStyle w:val="Prrafodelista"/>
        <w:ind w:left="1080"/>
        <w:jc w:val="both"/>
        <w:rPr>
          <w:rFonts w:ascii="Arial" w:hAnsi="Arial" w:cs="Arial"/>
        </w:rPr>
      </w:pPr>
    </w:p>
    <w:p w:rsidR="00BF3665" w:rsidRDefault="009819AE" w:rsidP="000910A5">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0910A5">
      <w:pPr>
        <w:spacing w:after="0" w:line="240" w:lineRule="auto"/>
        <w:jc w:val="both"/>
        <w:rPr>
          <w:rFonts w:ascii="Arial" w:hAnsi="Arial" w:cs="Arial"/>
          <w:sz w:val="24"/>
          <w:szCs w:val="24"/>
        </w:rPr>
      </w:pPr>
    </w:p>
    <w:p w:rsidR="00BF3665" w:rsidRDefault="00F6015F" w:rsidP="000910A5">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0910A5">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1E22D9" w:rsidRDefault="00A15922" w:rsidP="000910A5">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6D3F6C" w:rsidRDefault="006D3F6C" w:rsidP="000910A5">
      <w:pPr>
        <w:spacing w:line="240" w:lineRule="auto"/>
        <w:jc w:val="both"/>
        <w:rPr>
          <w:rFonts w:ascii="Arial" w:hAnsi="Arial" w:cs="Arial"/>
          <w:sz w:val="24"/>
          <w:szCs w:val="24"/>
        </w:rPr>
      </w:pPr>
    </w:p>
    <w:p w:rsidR="00BF3665" w:rsidRPr="001E22D9" w:rsidRDefault="009819AE" w:rsidP="000910A5">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0910A5">
      <w:pPr>
        <w:pStyle w:val="Prrafodelista"/>
        <w:jc w:val="both"/>
        <w:rPr>
          <w:rFonts w:ascii="Arial" w:hAnsi="Arial" w:cs="Arial"/>
          <w:b/>
        </w:rPr>
      </w:pPr>
    </w:p>
    <w:p w:rsidR="00FF1B19" w:rsidRDefault="00FF1B19" w:rsidP="000910A5">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DA0AFE">
        <w:rPr>
          <w:rFonts w:ascii="Arial" w:hAnsi="Arial" w:cs="Arial"/>
          <w:b/>
          <w:sz w:val="24"/>
          <w:szCs w:val="24"/>
        </w:rPr>
        <w:t>7</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0910A5">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0910A5">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0910A5">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6712DE" w:rsidRDefault="006712DE" w:rsidP="000910A5">
      <w:pPr>
        <w:spacing w:line="240" w:lineRule="auto"/>
        <w:jc w:val="both"/>
        <w:rPr>
          <w:rFonts w:ascii="Arial" w:hAnsi="Arial" w:cs="Arial"/>
          <w:sz w:val="24"/>
          <w:szCs w:val="24"/>
        </w:rPr>
      </w:pPr>
    </w:p>
    <w:p w:rsidR="00BF3665" w:rsidRDefault="009819AE" w:rsidP="000910A5">
      <w:pPr>
        <w:spacing w:line="240" w:lineRule="auto"/>
        <w:jc w:val="center"/>
        <w:rPr>
          <w:rFonts w:ascii="Arial" w:hAnsi="Arial" w:cs="Arial"/>
          <w:b/>
          <w:sz w:val="24"/>
          <w:szCs w:val="24"/>
        </w:rPr>
      </w:pPr>
      <w:r w:rsidRPr="00115CE3">
        <w:rPr>
          <w:rFonts w:ascii="Arial" w:hAnsi="Arial" w:cs="Arial"/>
          <w:b/>
          <w:sz w:val="24"/>
          <w:szCs w:val="24"/>
        </w:rPr>
        <w:t>RESUELVE POR UNANIMIDAD:</w:t>
      </w:r>
    </w:p>
    <w:p w:rsidR="006D3F6C" w:rsidRDefault="006D3F6C" w:rsidP="000910A5">
      <w:pPr>
        <w:spacing w:line="240" w:lineRule="auto"/>
        <w:jc w:val="center"/>
        <w:rPr>
          <w:rFonts w:ascii="Arial" w:hAnsi="Arial" w:cs="Arial"/>
          <w:b/>
          <w:sz w:val="24"/>
          <w:szCs w:val="24"/>
        </w:rPr>
      </w:pPr>
    </w:p>
    <w:p w:rsidR="00476EF2" w:rsidRDefault="00476EF2" w:rsidP="000910A5">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DA0AFE">
        <w:rPr>
          <w:rFonts w:ascii="Arial" w:hAnsi="Arial" w:cs="Arial"/>
          <w:b/>
          <w:sz w:val="24"/>
          <w:szCs w:val="24"/>
        </w:rPr>
        <w:t>7</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0910A5">
      <w:pPr>
        <w:spacing w:after="0" w:line="240" w:lineRule="auto"/>
        <w:jc w:val="both"/>
        <w:rPr>
          <w:rFonts w:ascii="Arial" w:hAnsi="Arial" w:cs="Arial"/>
          <w:sz w:val="24"/>
          <w:szCs w:val="24"/>
        </w:rPr>
      </w:pPr>
    </w:p>
    <w:p w:rsidR="006D3F6C" w:rsidRDefault="006D3F6C" w:rsidP="000910A5">
      <w:pPr>
        <w:spacing w:after="0" w:line="240" w:lineRule="auto"/>
        <w:jc w:val="both"/>
        <w:rPr>
          <w:rFonts w:ascii="Arial" w:hAnsi="Arial" w:cs="Arial"/>
          <w:b/>
          <w:sz w:val="24"/>
          <w:szCs w:val="24"/>
        </w:rPr>
      </w:pPr>
    </w:p>
    <w:p w:rsidR="000940CE" w:rsidRDefault="00476EF2" w:rsidP="000910A5">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0910A5">
      <w:pPr>
        <w:spacing w:after="0" w:line="240" w:lineRule="auto"/>
        <w:jc w:val="both"/>
        <w:rPr>
          <w:rFonts w:ascii="Arial" w:hAnsi="Arial" w:cs="Arial"/>
          <w:sz w:val="24"/>
          <w:szCs w:val="24"/>
        </w:rPr>
      </w:pPr>
    </w:p>
    <w:p w:rsidR="006D3F6C" w:rsidRDefault="006D3F6C" w:rsidP="000910A5">
      <w:pPr>
        <w:spacing w:after="0" w:line="240" w:lineRule="auto"/>
        <w:jc w:val="both"/>
        <w:rPr>
          <w:rFonts w:ascii="Arial" w:hAnsi="Arial" w:cs="Arial"/>
          <w:b/>
          <w:sz w:val="24"/>
          <w:szCs w:val="24"/>
        </w:rPr>
      </w:pPr>
    </w:p>
    <w:p w:rsidR="000940CE" w:rsidRDefault="00476EF2" w:rsidP="000910A5">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0910A5">
      <w:pPr>
        <w:spacing w:after="0" w:line="240" w:lineRule="auto"/>
        <w:jc w:val="both"/>
        <w:rPr>
          <w:rFonts w:ascii="Arial" w:hAnsi="Arial" w:cs="Arial"/>
          <w:sz w:val="24"/>
          <w:szCs w:val="24"/>
        </w:rPr>
      </w:pPr>
    </w:p>
    <w:p w:rsidR="006D3F6C" w:rsidRDefault="006D3F6C" w:rsidP="000910A5">
      <w:pPr>
        <w:spacing w:after="0" w:line="240" w:lineRule="auto"/>
        <w:jc w:val="both"/>
        <w:rPr>
          <w:rFonts w:ascii="Arial" w:hAnsi="Arial" w:cs="Arial"/>
          <w:sz w:val="24"/>
          <w:szCs w:val="24"/>
        </w:rPr>
      </w:pPr>
    </w:p>
    <w:p w:rsidR="0064745D" w:rsidRDefault="009819AE" w:rsidP="000910A5">
      <w:pPr>
        <w:spacing w:after="0"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DA0AFE">
        <w:rPr>
          <w:rFonts w:ascii="Arial" w:hAnsi="Arial" w:cs="Arial"/>
          <w:b/>
          <w:sz w:val="24"/>
          <w:szCs w:val="24"/>
        </w:rPr>
        <w:t>1</w:t>
      </w:r>
      <w:r w:rsidR="005E57E9">
        <w:rPr>
          <w:rFonts w:ascii="Arial" w:hAnsi="Arial" w:cs="Arial"/>
          <w:b/>
          <w:sz w:val="24"/>
          <w:szCs w:val="24"/>
        </w:rPr>
        <w:t>7</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0910A5">
      <w:pPr>
        <w:spacing w:after="0" w:line="240" w:lineRule="auto"/>
        <w:jc w:val="both"/>
        <w:rPr>
          <w:rFonts w:ascii="Arial" w:hAnsi="Arial" w:cs="Arial"/>
          <w:sz w:val="24"/>
          <w:szCs w:val="24"/>
        </w:rPr>
      </w:pPr>
    </w:p>
    <w:p w:rsidR="00BF3665" w:rsidRPr="00115CE3" w:rsidRDefault="009819AE" w:rsidP="000910A5">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0910A5">
      <w:pPr>
        <w:spacing w:after="0" w:line="240" w:lineRule="auto"/>
        <w:jc w:val="both"/>
        <w:rPr>
          <w:rFonts w:ascii="Arial" w:hAnsi="Arial" w:cs="Arial"/>
          <w:sz w:val="24"/>
          <w:szCs w:val="24"/>
          <w:highlight w:val="yellow"/>
        </w:rPr>
      </w:pPr>
    </w:p>
    <w:p w:rsidR="007E043D" w:rsidRDefault="007E043D" w:rsidP="000910A5">
      <w:pPr>
        <w:spacing w:after="0" w:line="240" w:lineRule="auto"/>
        <w:jc w:val="both"/>
        <w:rPr>
          <w:rFonts w:ascii="Arial" w:hAnsi="Arial" w:cs="Arial"/>
          <w:sz w:val="24"/>
          <w:szCs w:val="24"/>
          <w:highlight w:val="yellow"/>
        </w:rPr>
      </w:pPr>
    </w:p>
    <w:p w:rsidR="006712DE" w:rsidRDefault="006712DE" w:rsidP="000910A5">
      <w:pPr>
        <w:spacing w:after="0" w:line="240" w:lineRule="auto"/>
        <w:jc w:val="both"/>
        <w:rPr>
          <w:rFonts w:ascii="Arial" w:hAnsi="Arial" w:cs="Arial"/>
          <w:sz w:val="24"/>
          <w:szCs w:val="24"/>
          <w:highlight w:val="yellow"/>
        </w:rPr>
      </w:pPr>
    </w:p>
    <w:p w:rsidR="006712DE" w:rsidRDefault="006712DE" w:rsidP="000910A5">
      <w:pPr>
        <w:spacing w:after="0" w:line="240" w:lineRule="auto"/>
        <w:jc w:val="both"/>
        <w:rPr>
          <w:rFonts w:ascii="Arial" w:hAnsi="Arial" w:cs="Arial"/>
          <w:sz w:val="24"/>
          <w:szCs w:val="24"/>
          <w:highlight w:val="yellow"/>
        </w:rPr>
      </w:pPr>
    </w:p>
    <w:p w:rsidR="00600426" w:rsidRDefault="00600426" w:rsidP="000910A5">
      <w:pPr>
        <w:spacing w:after="0" w:line="240" w:lineRule="auto"/>
        <w:jc w:val="both"/>
        <w:rPr>
          <w:rFonts w:ascii="Arial" w:hAnsi="Arial" w:cs="Arial"/>
          <w:sz w:val="24"/>
          <w:szCs w:val="24"/>
          <w:highlight w:val="yellow"/>
        </w:rPr>
      </w:pPr>
    </w:p>
    <w:p w:rsidR="00BF3665" w:rsidRPr="00115CE3" w:rsidRDefault="009819AE" w:rsidP="000910A5">
      <w:pPr>
        <w:spacing w:after="0" w:line="240" w:lineRule="auto"/>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0910A5">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0910A5">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0910A5">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0910A5">
      <w:pPr>
        <w:tabs>
          <w:tab w:val="left" w:pos="8998"/>
          <w:tab w:val="left" w:pos="9932"/>
        </w:tabs>
        <w:spacing w:before="20" w:after="0" w:line="240" w:lineRule="auto"/>
        <w:rPr>
          <w:rFonts w:ascii="Arial" w:eastAsia="Arial" w:hAnsi="Arial" w:cs="Arial"/>
          <w:b/>
          <w:sz w:val="24"/>
          <w:szCs w:val="24"/>
        </w:rPr>
      </w:pPr>
    </w:p>
    <w:p w:rsidR="00650CA6" w:rsidRDefault="00650CA6" w:rsidP="000910A5">
      <w:pPr>
        <w:tabs>
          <w:tab w:val="left" w:pos="8998"/>
          <w:tab w:val="left" w:pos="9932"/>
        </w:tabs>
        <w:spacing w:before="20" w:after="0" w:line="240" w:lineRule="auto"/>
        <w:rPr>
          <w:rFonts w:ascii="Arial" w:eastAsia="Arial" w:hAnsi="Arial" w:cs="Arial"/>
          <w:b/>
          <w:sz w:val="24"/>
          <w:szCs w:val="24"/>
        </w:rPr>
      </w:pPr>
    </w:p>
    <w:p w:rsidR="006712DE" w:rsidRDefault="006712DE" w:rsidP="000910A5">
      <w:pPr>
        <w:tabs>
          <w:tab w:val="left" w:pos="8998"/>
          <w:tab w:val="left" w:pos="9932"/>
        </w:tabs>
        <w:spacing w:before="20" w:after="0" w:line="240" w:lineRule="auto"/>
        <w:rPr>
          <w:rFonts w:ascii="Arial" w:eastAsia="Arial" w:hAnsi="Arial" w:cs="Arial"/>
          <w:b/>
          <w:sz w:val="24"/>
          <w:szCs w:val="24"/>
        </w:rPr>
      </w:pPr>
    </w:p>
    <w:p w:rsidR="006712DE" w:rsidRDefault="006712DE" w:rsidP="000910A5">
      <w:pPr>
        <w:tabs>
          <w:tab w:val="left" w:pos="8998"/>
          <w:tab w:val="left" w:pos="9932"/>
        </w:tabs>
        <w:spacing w:before="20" w:after="0" w:line="240" w:lineRule="auto"/>
        <w:rPr>
          <w:rFonts w:ascii="Arial" w:eastAsia="Arial" w:hAnsi="Arial" w:cs="Arial"/>
          <w:b/>
          <w:sz w:val="24"/>
          <w:szCs w:val="24"/>
        </w:rPr>
      </w:pPr>
    </w:p>
    <w:p w:rsidR="006712DE" w:rsidRDefault="006712DE" w:rsidP="000910A5">
      <w:pPr>
        <w:tabs>
          <w:tab w:val="left" w:pos="8998"/>
          <w:tab w:val="left" w:pos="9932"/>
        </w:tabs>
        <w:spacing w:before="20" w:after="0" w:line="240" w:lineRule="auto"/>
        <w:rPr>
          <w:rFonts w:ascii="Arial" w:eastAsia="Arial" w:hAnsi="Arial" w:cs="Arial"/>
          <w:b/>
          <w:sz w:val="24"/>
          <w:szCs w:val="24"/>
        </w:rPr>
      </w:pPr>
    </w:p>
    <w:p w:rsidR="00204354" w:rsidRPr="00115CE3" w:rsidRDefault="00204354" w:rsidP="000910A5">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0910A5">
      <w:pPr>
        <w:spacing w:after="0" w:line="240" w:lineRule="auto"/>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0910A5">
      <w:pPr>
        <w:spacing w:after="0" w:line="240" w:lineRule="auto"/>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0910A5">
      <w:pPr>
        <w:spacing w:after="0" w:line="240" w:lineRule="auto"/>
        <w:rPr>
          <w:rFonts w:ascii="Arial" w:hAnsi="Arial" w:cs="Arial"/>
          <w:b/>
          <w:sz w:val="24"/>
          <w:szCs w:val="24"/>
        </w:rPr>
      </w:pPr>
    </w:p>
    <w:p w:rsidR="006712DE" w:rsidRDefault="006712DE" w:rsidP="000910A5">
      <w:pPr>
        <w:spacing w:after="0" w:line="240" w:lineRule="auto"/>
        <w:rPr>
          <w:rFonts w:ascii="Arial" w:hAnsi="Arial" w:cs="Arial"/>
          <w:b/>
          <w:sz w:val="24"/>
          <w:szCs w:val="24"/>
        </w:rPr>
      </w:pPr>
    </w:p>
    <w:p w:rsidR="006712DE" w:rsidRDefault="006712DE" w:rsidP="000910A5">
      <w:pPr>
        <w:spacing w:after="0" w:line="240" w:lineRule="auto"/>
        <w:rPr>
          <w:rFonts w:ascii="Arial" w:hAnsi="Arial" w:cs="Arial"/>
          <w:b/>
          <w:sz w:val="24"/>
          <w:szCs w:val="24"/>
        </w:rPr>
      </w:pPr>
    </w:p>
    <w:p w:rsidR="006712DE" w:rsidRDefault="006712DE" w:rsidP="000910A5">
      <w:pPr>
        <w:spacing w:after="0" w:line="240" w:lineRule="auto"/>
        <w:rPr>
          <w:rFonts w:ascii="Arial" w:hAnsi="Arial" w:cs="Arial"/>
          <w:b/>
          <w:sz w:val="24"/>
          <w:szCs w:val="24"/>
        </w:rPr>
      </w:pPr>
    </w:p>
    <w:p w:rsidR="00650CA6" w:rsidRDefault="00650CA6" w:rsidP="000910A5">
      <w:pPr>
        <w:spacing w:after="0" w:line="240" w:lineRule="auto"/>
        <w:rPr>
          <w:rFonts w:ascii="Arial" w:hAnsi="Arial" w:cs="Arial"/>
          <w:b/>
          <w:sz w:val="24"/>
          <w:szCs w:val="24"/>
        </w:rPr>
      </w:pPr>
    </w:p>
    <w:p w:rsidR="00BF3665" w:rsidRPr="00115CE3" w:rsidRDefault="009819AE" w:rsidP="000910A5">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0910A5">
      <w:pPr>
        <w:spacing w:after="0" w:line="240" w:lineRule="auto"/>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0910A5">
      <w:pPr>
        <w:spacing w:after="0" w:line="240" w:lineRule="auto"/>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0910A5">
      <w:pPr>
        <w:spacing w:after="0" w:line="240" w:lineRule="auto"/>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5ECC" w:rsidRDefault="004B5ECC">
      <w:r>
        <w:separator/>
      </w:r>
    </w:p>
  </w:endnote>
  <w:endnote w:type="continuationSeparator" w:id="0">
    <w:p w:rsidR="004B5ECC" w:rsidRDefault="004B5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5903" w:rsidRDefault="0034590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5903" w:rsidRDefault="003459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5ECC" w:rsidRDefault="004B5ECC">
      <w:r>
        <w:separator/>
      </w:r>
    </w:p>
  </w:footnote>
  <w:footnote w:type="continuationSeparator" w:id="0">
    <w:p w:rsidR="004B5ECC" w:rsidRDefault="004B5E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5903" w:rsidRDefault="0034590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89109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4590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89109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pPr>
            <w:pStyle w:val="Encabezado"/>
            <w:tabs>
              <w:tab w:val="clear" w:pos="4419"/>
              <w:tab w:val="clear" w:pos="8838"/>
              <w:tab w:val="left" w:pos="812"/>
            </w:tabs>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V/AR/2</w:t>
          </w:r>
          <w:r w:rsidR="004E0AB2">
            <w:rPr>
              <w:rFonts w:ascii="Arial" w:hAnsi="Arial" w:cs="Arial"/>
              <w:b/>
              <w:color w:val="FFFFFF" w:themeColor="background1"/>
              <w:sz w:val="18"/>
              <w:szCs w:val="18"/>
              <w:lang w:val="es-ES"/>
            </w:rPr>
            <w:t>7</w:t>
          </w:r>
          <w:r>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5903" w:rsidRDefault="0034590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89109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0A5"/>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5903"/>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B27"/>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5ECC"/>
    <w:rsid w:val="004B6BFE"/>
    <w:rsid w:val="004C1B6F"/>
    <w:rsid w:val="004C5296"/>
    <w:rsid w:val="004C6394"/>
    <w:rsid w:val="004D49ED"/>
    <w:rsid w:val="004D7C2D"/>
    <w:rsid w:val="004E0AB2"/>
    <w:rsid w:val="004E4283"/>
    <w:rsid w:val="004E497E"/>
    <w:rsid w:val="004E75F9"/>
    <w:rsid w:val="004F4889"/>
    <w:rsid w:val="004F640E"/>
    <w:rsid w:val="004F7019"/>
    <w:rsid w:val="00501890"/>
    <w:rsid w:val="00502579"/>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12DE"/>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D3F6C"/>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322"/>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0AFE"/>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66281341">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ADDE75-061D-4FFB-AF00-802BFA5A6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7</Pages>
  <Words>2544</Words>
  <Characters>13993</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2025-10-29T15:32:00Z</cp:lastPrinted>
  <dcterms:created xsi:type="dcterms:W3CDTF">2025-10-29T14:39:00Z</dcterms:created>
  <dcterms:modified xsi:type="dcterms:W3CDTF">2025-11-12T20:18:00Z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