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556FA" w:rsidRDefault="006556FA" w:rsidP="006556FA">
      <w:pPr>
        <w:jc w:val="both"/>
        <w:rPr>
          <w:rFonts w:ascii="Century Gothic" w:hAnsi="Century Gothic"/>
          <w:b/>
          <w:color w:val="000000" w:themeColor="text1"/>
          <w:sz w:val="26"/>
          <w:szCs w:val="26"/>
        </w:rPr>
      </w:pPr>
      <w:r>
        <w:rPr>
          <w:rFonts w:ascii="Century Gothic" w:hAnsi="Century Gothic"/>
          <w:b/>
          <w:color w:val="000000" w:themeColor="text1"/>
          <w:sz w:val="26"/>
          <w:szCs w:val="26"/>
        </w:rPr>
        <w:t>El servidor público no se encuentra obligado a presentar la constancia de Declaración Fiscal de conformidad con lo establecido en el Artículo 108 de la Constitución Política de los Estados Unidos Mexicanos, 124 de la Constitución Política del Estado Libre y Soberano de San Luis Potosí, 32 de la Ley de Responsabilidades Administrativas del Estado y Municipios de San Luis Potosí, en relación con lo preceptuado en la Norma Decimosegunda del Anexo Segundo del Acuerdo por el que se modifican los Anexos Primero y Segundo del Acuerdo emitido por el que el Comité Coordinador del Sistema Nacional Anticorrupción mediante el cual emitió el Formato de Declaraciones: de Situación Patrimonial y de Intereses; y expide las Normas e Instructivo para su llenado y presentación, publicado en el Diario Oficial de la Federación en fecha 23 de septiembre de 2019; y Punto Tercero del Acuerdo mediante el cual se establecen  los Lineamientos para la presen</w:t>
      </w:r>
      <w:bookmarkStart w:id="0" w:name="_GoBack"/>
      <w:bookmarkEnd w:id="0"/>
      <w:r>
        <w:rPr>
          <w:rFonts w:ascii="Century Gothic" w:hAnsi="Century Gothic"/>
          <w:b/>
          <w:color w:val="000000" w:themeColor="text1"/>
          <w:sz w:val="26"/>
          <w:szCs w:val="26"/>
        </w:rPr>
        <w:t>tación de la Declaración Inicial de Situación Patrimonial, así como la de Conflicto de Intereses y la Constancia de Situación Fiscal para los servidores públicos de la Fiscalía General del Estado de San Luis Potosí, publicado en el Periódico Oficial del E</w:t>
      </w:r>
      <w:r>
        <w:rPr>
          <w:rFonts w:ascii="Century Gothic" w:hAnsi="Century Gothic"/>
          <w:b/>
          <w:color w:val="000000" w:themeColor="text1"/>
          <w:sz w:val="26"/>
          <w:szCs w:val="26"/>
        </w:rPr>
        <w:t>stado el día 30 de abril de 2025</w:t>
      </w:r>
      <w:r>
        <w:rPr>
          <w:rFonts w:ascii="Century Gothic" w:hAnsi="Century Gothic"/>
          <w:b/>
          <w:color w:val="000000" w:themeColor="text1"/>
          <w:sz w:val="26"/>
          <w:szCs w:val="26"/>
        </w:rPr>
        <w:t>.</w:t>
      </w:r>
    </w:p>
    <w:p w:rsidR="00804A89" w:rsidRDefault="00804A89"/>
    <w:sectPr w:rsidR="00804A89">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56FA"/>
    <w:rsid w:val="006556FA"/>
    <w:rsid w:val="00804A8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2ED2AF"/>
  <w15:chartTrackingRefBased/>
  <w15:docId w15:val="{54B3D24E-933D-43FC-97B1-F191A42278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556FA"/>
    <w:pPr>
      <w:spacing w:line="254" w:lineRule="auto"/>
    </w:pPr>
    <w:rPr>
      <w:rFonts w:eastAsiaTheme="minorEastAsia"/>
      <w:kern w:val="2"/>
      <w:lang w:val="es-US" w:eastAsia="es-MX"/>
      <w14:ligatures w14:val="standardContextua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590965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189</Words>
  <Characters>1045</Characters>
  <Application>Microsoft Office Word</Application>
  <DocSecurity>0</DocSecurity>
  <Lines>8</Lines>
  <Paragraphs>2</Paragraphs>
  <ScaleCrop>false</ScaleCrop>
  <Company/>
  <LinksUpToDate>false</LinksUpToDate>
  <CharactersWithSpaces>1232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FGESLP CONTRALORIA</dc:creator>
  <cp:keywords/>
  <dc:description/>
  <cp:lastModifiedBy>FGESLP CONTRALORIA</cp:lastModifiedBy>
  <cp:revision>1</cp:revision>
  <dcterms:created xsi:type="dcterms:W3CDTF">2025-08-05T17:23:00Z</dcterms:created>
  <dcterms:modified xsi:type="dcterms:W3CDTF">2025-08-05T17:24:00Z</dcterms:modified>
</cp:coreProperties>
</file>