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Pr="007148CF"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C90AF2">
        <w:rPr>
          <w:rFonts w:ascii="Arial" w:hAnsi="Arial" w:cs="Arial"/>
          <w:b/>
          <w:sz w:val="24"/>
          <w:szCs w:val="24"/>
        </w:rPr>
        <w:t>36</w:t>
      </w:r>
      <w:r w:rsidR="007148CF">
        <w:rPr>
          <w:rFonts w:ascii="Arial" w:hAnsi="Arial" w:cs="Arial"/>
          <w:b/>
          <w:sz w:val="24"/>
          <w:szCs w:val="24"/>
        </w:rPr>
        <w:t>91</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D61D9F">
        <w:rPr>
          <w:rFonts w:ascii="Arial" w:hAnsi="Arial" w:cs="Arial"/>
          <w:b/>
          <w:sz w:val="24"/>
          <w:szCs w:val="24"/>
        </w:rPr>
        <w:t>parcial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7148CF">
        <w:rPr>
          <w:rFonts w:ascii="Arial" w:hAnsi="Arial" w:cs="Arial"/>
          <w:b/>
          <w:sz w:val="24"/>
          <w:szCs w:val="24"/>
        </w:rPr>
        <w:t>5</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7148CF">
        <w:rPr>
          <w:rFonts w:ascii="Arial" w:hAnsi="Arial" w:cs="Arial"/>
          <w:b/>
          <w:sz w:val="24"/>
          <w:szCs w:val="24"/>
        </w:rPr>
        <w:t>35</w:t>
      </w:r>
      <w:r w:rsidR="0053156B" w:rsidRPr="00115CE3">
        <w:rPr>
          <w:rFonts w:ascii="Arial" w:hAnsi="Arial" w:cs="Arial"/>
          <w:sz w:val="24"/>
          <w:szCs w:val="24"/>
        </w:rPr>
        <w:t>-240469825000</w:t>
      </w:r>
      <w:r w:rsidR="00735291">
        <w:rPr>
          <w:rFonts w:ascii="Arial" w:hAnsi="Arial" w:cs="Arial"/>
          <w:b/>
          <w:sz w:val="24"/>
          <w:szCs w:val="24"/>
        </w:rPr>
        <w:t>4</w:t>
      </w:r>
      <w:r w:rsidR="00C90AF2">
        <w:rPr>
          <w:rFonts w:ascii="Arial" w:hAnsi="Arial" w:cs="Arial"/>
          <w:b/>
          <w:sz w:val="24"/>
          <w:szCs w:val="24"/>
        </w:rPr>
        <w:t>3</w:t>
      </w:r>
      <w:r w:rsidR="007148CF">
        <w:rPr>
          <w:rFonts w:ascii="Arial" w:hAnsi="Arial" w:cs="Arial"/>
          <w:b/>
          <w:sz w:val="24"/>
          <w:szCs w:val="24"/>
        </w:rPr>
        <w:t>5</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C90AF2">
        <w:rPr>
          <w:rFonts w:ascii="Arial" w:hAnsi="Arial" w:cs="Arial"/>
          <w:b/>
          <w:sz w:val="24"/>
          <w:szCs w:val="24"/>
        </w:rPr>
        <w:t xml:space="preserve">Humberto </w:t>
      </w:r>
      <w:r w:rsidR="00845C94">
        <w:rPr>
          <w:rFonts w:ascii="Arial" w:hAnsi="Arial" w:cs="Arial"/>
          <w:sz w:val="24"/>
          <w:szCs w:val="24"/>
        </w:rPr>
        <w:t xml:space="preserve">quien manifiesta su deseo de </w:t>
      </w:r>
      <w:r w:rsidR="00845C94" w:rsidRPr="007148CF">
        <w:rPr>
          <w:rFonts w:ascii="Arial" w:hAnsi="Arial" w:cs="Arial"/>
          <w:sz w:val="24"/>
          <w:szCs w:val="24"/>
        </w:rPr>
        <w:t>acceder a la siguiente información:</w:t>
      </w:r>
      <w:r w:rsidR="0053156B" w:rsidRPr="007148CF">
        <w:rPr>
          <w:rFonts w:ascii="Arial" w:hAnsi="Arial" w:cs="Arial"/>
          <w:sz w:val="24"/>
          <w:szCs w:val="24"/>
        </w:rPr>
        <w:t xml:space="preserve"> </w:t>
      </w:r>
    </w:p>
    <w:p w:rsidR="007148CF" w:rsidRPr="007148CF" w:rsidRDefault="007148CF" w:rsidP="007148CF">
      <w:pPr>
        <w:spacing w:line="240" w:lineRule="auto"/>
        <w:jc w:val="both"/>
        <w:rPr>
          <w:rFonts w:ascii="Arial" w:hAnsi="Arial" w:cs="Arial"/>
          <w:sz w:val="24"/>
          <w:szCs w:val="24"/>
        </w:rPr>
      </w:pPr>
      <w:r w:rsidRPr="007148CF">
        <w:rPr>
          <w:rFonts w:ascii="Arial" w:hAnsi="Arial" w:cs="Arial"/>
          <w:sz w:val="24"/>
          <w:szCs w:val="24"/>
        </w:rPr>
        <w:t xml:space="preserve">Conforme al CNPJE 2022 y 2021, la Fiscalía General del Estado de San Luis Potosí reportó 942 y 1968 como TOTAL DE PERSONAL ADSCRITO A LA FISCALÍA al cierre del año 2021 y 2020 (respectivamente). Incluyendo a personal directivo; personas fiscales o agentes del ministerio público; personas auxiliares del ministerio público; personas peritas; personas policías ministeriales, investigadoras o judiciales; personas facilitadoras; personas analistas de información criminal; personal administrativo y de apoyo y otro cargo y/o función desempeñada. </w:t>
      </w:r>
    </w:p>
    <w:p w:rsidR="007148CF" w:rsidRPr="007148CF" w:rsidRDefault="007148CF" w:rsidP="007148CF">
      <w:pPr>
        <w:spacing w:line="240" w:lineRule="auto"/>
        <w:jc w:val="both"/>
        <w:rPr>
          <w:rFonts w:ascii="Arial" w:hAnsi="Arial" w:cs="Arial"/>
          <w:sz w:val="24"/>
          <w:szCs w:val="24"/>
        </w:rPr>
      </w:pPr>
      <w:r w:rsidRPr="007148CF">
        <w:rPr>
          <w:rFonts w:ascii="Arial" w:hAnsi="Arial" w:cs="Arial"/>
          <w:sz w:val="24"/>
          <w:szCs w:val="24"/>
        </w:rPr>
        <w:t xml:space="preserve">Respetuosamente, solicito la siguiente información: </w:t>
      </w:r>
    </w:p>
    <w:p w:rsidR="007148CF" w:rsidRPr="007148CF" w:rsidRDefault="007148CF" w:rsidP="007148CF">
      <w:pPr>
        <w:spacing w:after="0" w:line="240" w:lineRule="auto"/>
        <w:jc w:val="both"/>
        <w:rPr>
          <w:rFonts w:ascii="Arial" w:hAnsi="Arial" w:cs="Arial"/>
          <w:sz w:val="24"/>
          <w:szCs w:val="24"/>
        </w:rPr>
      </w:pPr>
      <w:r w:rsidRPr="007148CF">
        <w:rPr>
          <w:rFonts w:ascii="Arial" w:hAnsi="Arial" w:cs="Arial"/>
          <w:sz w:val="24"/>
          <w:szCs w:val="24"/>
        </w:rPr>
        <w:t xml:space="preserve">1.- TOTAL DE PERSONAL ADSCRITO A LA FISCALÍA al cierre del año 2022. </w:t>
      </w:r>
    </w:p>
    <w:p w:rsidR="007148CF" w:rsidRPr="007148CF" w:rsidRDefault="007148CF" w:rsidP="007148CF">
      <w:pPr>
        <w:spacing w:after="0" w:line="240" w:lineRule="auto"/>
        <w:jc w:val="both"/>
        <w:rPr>
          <w:rFonts w:ascii="Arial" w:hAnsi="Arial" w:cs="Arial"/>
          <w:sz w:val="24"/>
          <w:szCs w:val="24"/>
        </w:rPr>
      </w:pPr>
      <w:r w:rsidRPr="007148CF">
        <w:rPr>
          <w:rFonts w:ascii="Arial" w:hAnsi="Arial" w:cs="Arial"/>
          <w:sz w:val="24"/>
          <w:szCs w:val="24"/>
        </w:rPr>
        <w:t xml:space="preserve">2.- TOTAL DE PERSONAL ADSCRITO A LA FISCALÍA al cierre del año 2023. </w:t>
      </w:r>
    </w:p>
    <w:p w:rsidR="007148CF" w:rsidRPr="007148CF" w:rsidRDefault="007148CF" w:rsidP="007148CF">
      <w:pPr>
        <w:spacing w:after="0" w:line="240" w:lineRule="auto"/>
        <w:jc w:val="both"/>
        <w:rPr>
          <w:rFonts w:ascii="Arial" w:hAnsi="Arial" w:cs="Arial"/>
          <w:sz w:val="24"/>
          <w:szCs w:val="24"/>
        </w:rPr>
      </w:pPr>
      <w:r w:rsidRPr="007148CF">
        <w:rPr>
          <w:rFonts w:ascii="Arial" w:hAnsi="Arial" w:cs="Arial"/>
          <w:sz w:val="24"/>
          <w:szCs w:val="24"/>
        </w:rPr>
        <w:t xml:space="preserve">3.- TOTAL DE PERSONAL ADSCRITO A LA FISCALÍA al cierre del año 2021. </w:t>
      </w:r>
    </w:p>
    <w:p w:rsidR="007148CF" w:rsidRPr="007148CF" w:rsidRDefault="007148CF" w:rsidP="007148CF">
      <w:pPr>
        <w:spacing w:after="0" w:line="240" w:lineRule="auto"/>
        <w:jc w:val="both"/>
        <w:rPr>
          <w:rFonts w:ascii="Arial" w:hAnsi="Arial" w:cs="Arial"/>
          <w:sz w:val="24"/>
          <w:szCs w:val="24"/>
        </w:rPr>
      </w:pPr>
      <w:r w:rsidRPr="007148CF">
        <w:rPr>
          <w:rFonts w:ascii="Arial" w:hAnsi="Arial" w:cs="Arial"/>
          <w:sz w:val="24"/>
          <w:szCs w:val="24"/>
        </w:rPr>
        <w:t>4.- TOTAL DE PERSONAL ADSCRITO A LA FISCALÍA al cierre del año 2020.</w:t>
      </w:r>
    </w:p>
    <w:p w:rsidR="00B43565" w:rsidRDefault="007148CF" w:rsidP="007148CF">
      <w:pPr>
        <w:spacing w:after="0" w:line="240" w:lineRule="auto"/>
        <w:jc w:val="both"/>
        <w:rPr>
          <w:rFonts w:ascii="Arial" w:hAnsi="Arial" w:cs="Arial"/>
          <w:sz w:val="24"/>
          <w:szCs w:val="24"/>
        </w:rPr>
      </w:pPr>
      <w:r w:rsidRPr="007148CF">
        <w:rPr>
          <w:rFonts w:ascii="Arial" w:hAnsi="Arial" w:cs="Arial"/>
          <w:sz w:val="24"/>
          <w:szCs w:val="24"/>
        </w:rPr>
        <w:t xml:space="preserve"> </w:t>
      </w:r>
      <w:r w:rsidR="00B43565" w:rsidRPr="007148CF">
        <w:rPr>
          <w:rFonts w:ascii="Arial" w:hAnsi="Arial" w:cs="Arial"/>
          <w:sz w:val="24"/>
          <w:szCs w:val="24"/>
        </w:rPr>
        <w:t>(SIC)</w:t>
      </w:r>
    </w:p>
    <w:p w:rsidR="007148CF" w:rsidRPr="007148CF" w:rsidRDefault="007148CF" w:rsidP="007148CF">
      <w:pPr>
        <w:spacing w:after="0" w:line="240" w:lineRule="auto"/>
        <w:jc w:val="both"/>
        <w:rPr>
          <w:rFonts w:ascii="Arial" w:hAnsi="Arial" w:cs="Arial"/>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4F1098">
        <w:rPr>
          <w:rFonts w:ascii="Arial" w:hAnsi="Arial" w:cs="Arial"/>
          <w:b/>
          <w:sz w:val="24"/>
          <w:szCs w:val="24"/>
        </w:rPr>
        <w:t xml:space="preserve">parcial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7148CF">
        <w:rPr>
          <w:rFonts w:ascii="Arial" w:hAnsi="Arial" w:cs="Arial"/>
          <w:b/>
          <w:sz w:val="24"/>
          <w:szCs w:val="24"/>
        </w:rPr>
        <w:t>5</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D61D9F">
        <w:rPr>
          <w:rFonts w:ascii="Arial" w:hAnsi="Arial" w:cs="Arial"/>
          <w:b/>
          <w:sz w:val="24"/>
          <w:szCs w:val="24"/>
        </w:rPr>
        <w:t>parcial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7148CF">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lastRenderedPageBreak/>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D61D9F">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7148CF">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7148CF" w:rsidRPr="007148CF" w:rsidRDefault="007336C3" w:rsidP="007148CF">
      <w:pPr>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148CF">
        <w:rPr>
          <w:rFonts w:ascii="Arial" w:hAnsi="Arial" w:cs="Arial"/>
          <w:sz w:val="24"/>
          <w:szCs w:val="24"/>
        </w:rPr>
        <w:t>D</w:t>
      </w:r>
      <w:r w:rsidR="007148CF" w:rsidRPr="007148CF">
        <w:rPr>
          <w:rFonts w:ascii="Arial" w:hAnsi="Arial" w:cs="Arial"/>
          <w:sz w:val="24"/>
          <w:szCs w:val="24"/>
        </w:rPr>
        <w:t xml:space="preserve">ar a conocer la información pública solicitada Al cierre de los años 2020, 2021, 2022 y 2023 el total de personal adscrito a las áreas táctico operativas de la Fiscalía General del Estado con nombramiento y funciones de: Agentes del Ministerio Público; Peritos; Agentes de Policía de Investigación, facilitadores; personas de información criminal; personal administrativo, auxiliar y de apoyo. Representa un riesgo real, ya que se daría conocer la totalidad de la capacidad de reacción de la Institución,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w:t>
      </w:r>
      <w:r w:rsidR="007148CF" w:rsidRPr="007148CF">
        <w:rPr>
          <w:rFonts w:ascii="Arial" w:hAnsi="Arial" w:cs="Arial"/>
          <w:sz w:val="24"/>
          <w:szCs w:val="24"/>
        </w:rPr>
        <w:lastRenderedPageBreak/>
        <w:t xml:space="preserve">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 </w:t>
      </w:r>
    </w:p>
    <w:p w:rsidR="007148CF" w:rsidRPr="007148CF" w:rsidRDefault="007148CF" w:rsidP="007148CF">
      <w:pPr>
        <w:autoSpaceDE w:val="0"/>
        <w:autoSpaceDN w:val="0"/>
        <w:adjustRightInd w:val="0"/>
        <w:spacing w:line="240" w:lineRule="auto"/>
        <w:jc w:val="both"/>
        <w:rPr>
          <w:rFonts w:ascii="Arial" w:hAnsi="Arial" w:cs="Arial"/>
          <w:sz w:val="24"/>
          <w:szCs w:val="24"/>
        </w:rPr>
      </w:pPr>
      <w:r w:rsidRPr="007148CF">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7148CF" w:rsidRPr="007148CF" w:rsidRDefault="007148CF" w:rsidP="007148CF">
      <w:pPr>
        <w:autoSpaceDE w:val="0"/>
        <w:autoSpaceDN w:val="0"/>
        <w:adjustRightInd w:val="0"/>
        <w:spacing w:line="240" w:lineRule="auto"/>
        <w:jc w:val="both"/>
        <w:rPr>
          <w:rFonts w:ascii="Arial" w:hAnsi="Arial" w:cs="Arial"/>
          <w:sz w:val="24"/>
          <w:szCs w:val="24"/>
        </w:rPr>
      </w:pPr>
      <w:r w:rsidRPr="007148CF">
        <w:rPr>
          <w:rFonts w:ascii="Arial" w:hAnsi="Arial" w:cs="Arial"/>
          <w:sz w:val="24"/>
          <w:szCs w:val="24"/>
        </w:rPr>
        <w:t>Cabe 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autoridades rindan cuentas de manera constante sobre los avances que esas investigaciones presentan.</w:t>
      </w:r>
    </w:p>
    <w:p w:rsidR="007148CF" w:rsidRPr="007148CF" w:rsidRDefault="007148CF" w:rsidP="007148CF">
      <w:pPr>
        <w:autoSpaceDE w:val="0"/>
        <w:autoSpaceDN w:val="0"/>
        <w:adjustRightInd w:val="0"/>
        <w:spacing w:line="240" w:lineRule="auto"/>
        <w:jc w:val="both"/>
        <w:rPr>
          <w:rFonts w:ascii="Arial" w:hAnsi="Arial" w:cs="Arial"/>
          <w:sz w:val="24"/>
          <w:szCs w:val="24"/>
        </w:rPr>
      </w:pPr>
      <w:r w:rsidRPr="007148CF">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7148CF" w:rsidRPr="007148CF" w:rsidRDefault="007148CF" w:rsidP="007148CF">
      <w:pPr>
        <w:autoSpaceDE w:val="0"/>
        <w:autoSpaceDN w:val="0"/>
        <w:adjustRightInd w:val="0"/>
        <w:spacing w:line="240" w:lineRule="auto"/>
        <w:jc w:val="both"/>
        <w:rPr>
          <w:rFonts w:ascii="Arial" w:hAnsi="Arial" w:cs="Arial"/>
          <w:sz w:val="24"/>
          <w:szCs w:val="24"/>
        </w:rPr>
      </w:pPr>
      <w:r w:rsidRPr="007148CF">
        <w:rPr>
          <w:rFonts w:ascii="Arial" w:hAnsi="Arial" w:cs="Arial"/>
          <w:sz w:val="24"/>
          <w:szCs w:val="24"/>
        </w:rPr>
        <w:t>Concierne señalar que la Fiscalía General del Estado, conoce de los asuntos conexos o relacionados con el ámbito de su competencia, cuidando su integridad y no fragmentación, aun aquellos que versen sobre delincuencia organizada; establece planes y programas para detectar, informar y fomentar la cultura de la denuncia de cualquier hechos delictivo; diseña e implementar mecanismos de colaboración con autoridades que ejercen facultades de fiscalización, con el fin de fortalecer el desarrollo de sus investigaciones, y tramita.</w:t>
      </w:r>
    </w:p>
    <w:p w:rsidR="007148CF" w:rsidRPr="007148CF" w:rsidRDefault="007148CF" w:rsidP="007148CF">
      <w:pPr>
        <w:autoSpaceDE w:val="0"/>
        <w:autoSpaceDN w:val="0"/>
        <w:adjustRightInd w:val="0"/>
        <w:spacing w:line="240" w:lineRule="auto"/>
        <w:jc w:val="both"/>
        <w:rPr>
          <w:rFonts w:ascii="Arial" w:hAnsi="Arial" w:cs="Arial"/>
          <w:sz w:val="24"/>
          <w:szCs w:val="24"/>
        </w:rPr>
      </w:pPr>
    </w:p>
    <w:p w:rsidR="003F488C" w:rsidRDefault="007148CF" w:rsidP="007148CF">
      <w:pPr>
        <w:autoSpaceDE w:val="0"/>
        <w:autoSpaceDN w:val="0"/>
        <w:adjustRightInd w:val="0"/>
        <w:spacing w:line="240" w:lineRule="auto"/>
        <w:jc w:val="both"/>
        <w:rPr>
          <w:rFonts w:ascii="Arial" w:hAnsi="Arial" w:cs="Arial"/>
          <w:sz w:val="24"/>
          <w:szCs w:val="24"/>
        </w:rPr>
      </w:pPr>
      <w:r w:rsidRPr="007148CF">
        <w:rPr>
          <w:rFonts w:ascii="Arial" w:hAnsi="Arial" w:cs="Arial"/>
          <w:sz w:val="24"/>
          <w:szCs w:val="24"/>
        </w:rPr>
        <w:lastRenderedPageBreak/>
        <w:t>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F97B38" w:rsidRDefault="00045C57"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concatenados a</w:t>
      </w:r>
      <w:r w:rsidR="00C90AF2">
        <w:rPr>
          <w:rFonts w:ascii="Arial" w:hAnsi="Arial" w:cs="Arial"/>
          <w:sz w:val="24"/>
          <w:szCs w:val="24"/>
        </w:rPr>
        <w:t xml:space="preserve"> los</w:t>
      </w:r>
      <w:r w:rsidR="0055199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w:t>
      </w:r>
      <w:r w:rsidR="00C90AF2">
        <w:rPr>
          <w:rFonts w:ascii="Arial" w:hAnsi="Arial" w:cs="Arial"/>
          <w:sz w:val="24"/>
          <w:szCs w:val="24"/>
        </w:rPr>
        <w:t xml:space="preserve">Décimo noveno y </w:t>
      </w:r>
      <w:r w:rsidR="00551990" w:rsidRPr="00115CE3">
        <w:rPr>
          <w:rFonts w:ascii="Arial" w:hAnsi="Arial" w:cs="Arial"/>
          <w:sz w:val="24"/>
          <w:szCs w:val="24"/>
        </w:rPr>
        <w:t>Trigésimo</w:t>
      </w:r>
      <w:r w:rsidR="009E1D25">
        <w:rPr>
          <w:rFonts w:ascii="Arial" w:hAnsi="Arial" w:cs="Arial"/>
          <w:sz w:val="24"/>
          <w:szCs w:val="24"/>
        </w:rPr>
        <w:t xml:space="preserve">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C90AF2">
        <w:rPr>
          <w:rFonts w:ascii="Arial" w:hAnsi="Arial" w:cs="Arial"/>
          <w:sz w:val="24"/>
          <w:szCs w:val="24"/>
        </w:rPr>
        <w:t xml:space="preserve">101,110, 129 de la Ley General del Sistema Nacional de Seguridad Pública, artículos 3º, 5º, 22, 56, 93 93 BIS de la Ley del </w:t>
      </w:r>
      <w:r w:rsidR="003F488C">
        <w:rPr>
          <w:rFonts w:ascii="Arial" w:hAnsi="Arial" w:cs="Arial"/>
          <w:sz w:val="24"/>
          <w:szCs w:val="24"/>
        </w:rPr>
        <w:t>S</w:t>
      </w:r>
      <w:r w:rsidR="00C90AF2">
        <w:rPr>
          <w:rFonts w:ascii="Arial" w:hAnsi="Arial" w:cs="Arial"/>
          <w:sz w:val="24"/>
          <w:szCs w:val="24"/>
        </w:rPr>
        <w:t>istema de Seguridad Pública del Estado de San Luis Potosí</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F488C" w:rsidRDefault="003F488C"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F488C" w:rsidRPr="004A7DA6" w:rsidRDefault="004A7DA6" w:rsidP="004A7DA6">
      <w:pPr>
        <w:spacing w:line="240" w:lineRule="auto"/>
        <w:ind w:right="49"/>
        <w:jc w:val="both"/>
        <w:rPr>
          <w:rFonts w:ascii="Arial" w:hAnsi="Arial" w:cs="Arial"/>
          <w:sz w:val="24"/>
          <w:szCs w:val="24"/>
        </w:rPr>
      </w:pPr>
      <w:r w:rsidRPr="004A7DA6">
        <w:rPr>
          <w:rFonts w:ascii="Arial" w:hAnsi="Arial" w:cs="Arial"/>
          <w:sz w:val="24"/>
          <w:szCs w:val="24"/>
        </w:rPr>
        <w:t xml:space="preserve">La Dirección General de Administración procede a acordar la </w:t>
      </w:r>
      <w:r w:rsidR="001B7650" w:rsidRPr="004A7DA6">
        <w:rPr>
          <w:rFonts w:ascii="Arial" w:hAnsi="Arial" w:cs="Arial"/>
          <w:sz w:val="24"/>
          <w:szCs w:val="24"/>
        </w:rPr>
        <w:t xml:space="preserve">reserva parcial </w:t>
      </w:r>
      <w:r w:rsidRPr="004A7DA6">
        <w:rPr>
          <w:rFonts w:ascii="Arial" w:hAnsi="Arial" w:cs="Arial"/>
          <w:sz w:val="24"/>
          <w:szCs w:val="24"/>
        </w:rPr>
        <w:t xml:space="preserve">de la información que se requiere para dar atención a la Solicitud de Acceso a la Información No. UT-SI-P-435-240469825000435-2025, recurrida por </w:t>
      </w:r>
      <w:r w:rsidR="001B7650" w:rsidRPr="004A7DA6">
        <w:rPr>
          <w:rFonts w:ascii="Arial" w:hAnsi="Arial" w:cs="Arial"/>
          <w:sz w:val="24"/>
          <w:szCs w:val="24"/>
        </w:rPr>
        <w:t>Humberto</w:t>
      </w:r>
      <w:r w:rsidRPr="004A7DA6">
        <w:rPr>
          <w:rFonts w:ascii="Arial" w:hAnsi="Arial" w:cs="Arial"/>
          <w:sz w:val="24"/>
          <w:szCs w:val="24"/>
        </w:rPr>
        <w:t>, consistente en:</w:t>
      </w:r>
    </w:p>
    <w:p w:rsidR="004A7DA6" w:rsidRPr="004A7DA6" w:rsidRDefault="004A7DA6" w:rsidP="004A7DA6">
      <w:pPr>
        <w:spacing w:line="240" w:lineRule="auto"/>
        <w:jc w:val="both"/>
        <w:rPr>
          <w:rFonts w:ascii="Arial" w:hAnsi="Arial" w:cs="Arial"/>
          <w:sz w:val="24"/>
          <w:szCs w:val="24"/>
        </w:rPr>
      </w:pPr>
      <w:r w:rsidRPr="004A7DA6">
        <w:rPr>
          <w:rFonts w:ascii="Arial" w:hAnsi="Arial" w:cs="Arial"/>
          <w:sz w:val="24"/>
          <w:szCs w:val="24"/>
        </w:rPr>
        <w:t>“… Al cierre de los años 2020, 2021, 2022 y 2023 el total de personal adscrito a las áreas táctico operativas de la Fiscalía General del Estado con nombramiento y funciones de: Agentes del Ministerio Público; Peritos; Agentes de Policía de Investigación, facilitadores; personas de información criminal; personal administrativo, auxiliar y de apoyo.</w:t>
      </w:r>
    </w:p>
    <w:p w:rsidR="004A7DA6" w:rsidRPr="00355E71" w:rsidRDefault="004A7DA6" w:rsidP="003F488C">
      <w:pPr>
        <w:ind w:left="708" w:right="900"/>
        <w:jc w:val="both"/>
        <w:rPr>
          <w:rFonts w:ascii="Arial" w:hAnsi="Arial" w:cs="Arial"/>
          <w:i/>
          <w:sz w:val="24"/>
          <w:szCs w:val="24"/>
        </w:rPr>
      </w:pPr>
    </w:p>
    <w:p w:rsidR="00BF3665" w:rsidRPr="005C62A1" w:rsidRDefault="00355E71" w:rsidP="00355E71">
      <w:pPr>
        <w:pStyle w:val="Prrafodelista"/>
        <w:numPr>
          <w:ilvl w:val="0"/>
          <w:numId w:val="17"/>
        </w:numPr>
        <w:jc w:val="both"/>
        <w:rPr>
          <w:rFonts w:ascii="Arial" w:hAnsi="Arial" w:cs="Arial"/>
        </w:rPr>
      </w:pPr>
      <w:r w:rsidRPr="003474AB">
        <w:rPr>
          <w:rFonts w:ascii="Arial" w:hAnsi="Arial" w:cs="Arial"/>
          <w:b/>
        </w:rPr>
        <w:lastRenderedPageBreak/>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355E71" w:rsidRDefault="00355E71"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355E71" w:rsidRDefault="00355E7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5837F3">
        <w:rPr>
          <w:rFonts w:ascii="Arial" w:hAnsi="Arial" w:cs="Arial"/>
          <w:b/>
          <w:sz w:val="24"/>
          <w:szCs w:val="24"/>
        </w:rPr>
        <w:t>parcial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3F488C">
        <w:rPr>
          <w:rFonts w:ascii="Arial" w:hAnsi="Arial" w:cs="Arial"/>
          <w:b/>
          <w:sz w:val="24"/>
          <w:szCs w:val="24"/>
        </w:rPr>
        <w:t>0</w:t>
      </w:r>
      <w:r w:rsidR="00EC6053">
        <w:rPr>
          <w:rFonts w:ascii="Arial" w:hAnsi="Arial" w:cs="Arial"/>
          <w:b/>
          <w:sz w:val="24"/>
          <w:szCs w:val="24"/>
        </w:rPr>
        <w:t>6</w:t>
      </w:r>
      <w:r w:rsidR="005837F3">
        <w:rPr>
          <w:rFonts w:ascii="Arial" w:hAnsi="Arial" w:cs="Arial"/>
          <w:b/>
          <w:sz w:val="24"/>
          <w:szCs w:val="24"/>
        </w:rPr>
        <w:t>5</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5837F3">
        <w:rPr>
          <w:rFonts w:ascii="Arial" w:hAnsi="Arial" w:cs="Arial"/>
          <w:b/>
          <w:sz w:val="24"/>
          <w:szCs w:val="24"/>
        </w:rPr>
        <w:t>parcial</w:t>
      </w:r>
      <w:r w:rsidR="00F801A9">
        <w:rPr>
          <w:rFonts w:ascii="Arial" w:hAnsi="Arial" w:cs="Arial"/>
          <w:b/>
          <w:sz w:val="24"/>
          <w:szCs w:val="24"/>
        </w:rPr>
        <w:t xml:space="preserve"> </w:t>
      </w:r>
      <w:r w:rsidRPr="00115CE3">
        <w:rPr>
          <w:rFonts w:ascii="Arial" w:hAnsi="Arial" w:cs="Arial"/>
          <w:sz w:val="24"/>
          <w:szCs w:val="24"/>
        </w:rPr>
        <w:t xml:space="preserve">número </w:t>
      </w:r>
      <w:r w:rsidR="00375ED0">
        <w:rPr>
          <w:rFonts w:ascii="Arial" w:hAnsi="Arial" w:cs="Arial"/>
          <w:b/>
          <w:sz w:val="24"/>
          <w:szCs w:val="24"/>
        </w:rPr>
        <w:t>AR/</w:t>
      </w:r>
      <w:r w:rsidR="00EC6053">
        <w:rPr>
          <w:rFonts w:ascii="Arial" w:hAnsi="Arial" w:cs="Arial"/>
          <w:b/>
          <w:sz w:val="24"/>
          <w:szCs w:val="24"/>
        </w:rPr>
        <w:t>6</w:t>
      </w:r>
      <w:r w:rsidR="005837F3">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lastRenderedPageBreak/>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5837F3">
        <w:rPr>
          <w:rFonts w:ascii="Arial" w:hAnsi="Arial" w:cs="Arial"/>
          <w:b/>
          <w:sz w:val="24"/>
          <w:szCs w:val="24"/>
        </w:rPr>
        <w:t>92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4A7DA6" w:rsidRDefault="004A7DA6" w:rsidP="00EF1D58">
      <w:pPr>
        <w:spacing w:after="0"/>
        <w:jc w:val="both"/>
        <w:rPr>
          <w:rFonts w:ascii="Arial" w:hAnsi="Arial" w:cs="Arial"/>
          <w:sz w:val="24"/>
          <w:szCs w:val="24"/>
          <w:highlight w:val="yellow"/>
        </w:rPr>
      </w:pPr>
    </w:p>
    <w:p w:rsidR="008B3D9E" w:rsidRDefault="008B3D9E"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4A7DA6" w:rsidRDefault="004A7DA6"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3F488C" w:rsidRDefault="003F488C"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4A7DA6" w:rsidRDefault="004A7DA6" w:rsidP="00EF1D58">
      <w:pPr>
        <w:spacing w:after="0"/>
        <w:rPr>
          <w:rFonts w:ascii="Arial" w:hAnsi="Arial" w:cs="Arial"/>
          <w:b/>
          <w:sz w:val="24"/>
          <w:szCs w:val="24"/>
        </w:rPr>
      </w:pPr>
    </w:p>
    <w:p w:rsidR="004A7DA6" w:rsidRDefault="004A7DA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74B" w:rsidRDefault="001B574B">
      <w:r>
        <w:separator/>
      </w:r>
    </w:p>
  </w:endnote>
  <w:endnote w:type="continuationSeparator" w:id="0">
    <w:p w:rsidR="001B574B" w:rsidRDefault="001B5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BC9" w:rsidRDefault="00336BC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BC9" w:rsidRDefault="00336BC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74B" w:rsidRDefault="001B574B">
      <w:r>
        <w:separator/>
      </w:r>
    </w:p>
  </w:footnote>
  <w:footnote w:type="continuationSeparator" w:id="0">
    <w:p w:rsidR="001B574B" w:rsidRDefault="001B57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BC9" w:rsidRDefault="00336BC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226938"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36BC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226939"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5837F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7148CF">
                            <w:rPr>
                              <w:rFonts w:ascii="Arial" w:hAnsi="Arial" w:cs="Arial"/>
                              <w:b/>
                              <w:color w:val="FFFFFF" w:themeColor="background1"/>
                              <w:sz w:val="18"/>
                              <w:szCs w:val="18"/>
                              <w:lang w:val="es-ES"/>
                            </w:rPr>
                            <w:t>5</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5837F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7148CF">
                      <w:rPr>
                        <w:rFonts w:ascii="Arial" w:hAnsi="Arial" w:cs="Arial"/>
                        <w:b/>
                        <w:color w:val="FFFFFF" w:themeColor="background1"/>
                        <w:sz w:val="18"/>
                        <w:szCs w:val="18"/>
                        <w:lang w:val="es-ES"/>
                      </w:rPr>
                      <w:t>5</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BC9" w:rsidRDefault="00336BC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226937"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B7730"/>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574B"/>
    <w:rsid w:val="001B6839"/>
    <w:rsid w:val="001B7394"/>
    <w:rsid w:val="001B742E"/>
    <w:rsid w:val="001B7650"/>
    <w:rsid w:val="001C179B"/>
    <w:rsid w:val="001C1FF5"/>
    <w:rsid w:val="001C2EAB"/>
    <w:rsid w:val="001C3880"/>
    <w:rsid w:val="001C4364"/>
    <w:rsid w:val="001C5BA9"/>
    <w:rsid w:val="001C5BFD"/>
    <w:rsid w:val="001C60C7"/>
    <w:rsid w:val="001C73C0"/>
    <w:rsid w:val="001D6257"/>
    <w:rsid w:val="001E110E"/>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6BC9"/>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488C"/>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B4"/>
    <w:rsid w:val="00476DC3"/>
    <w:rsid w:val="00476EF2"/>
    <w:rsid w:val="00476F1E"/>
    <w:rsid w:val="00480799"/>
    <w:rsid w:val="004815C5"/>
    <w:rsid w:val="00481D63"/>
    <w:rsid w:val="00482360"/>
    <w:rsid w:val="004827F0"/>
    <w:rsid w:val="004832E2"/>
    <w:rsid w:val="004858AB"/>
    <w:rsid w:val="00485D65"/>
    <w:rsid w:val="00493C1E"/>
    <w:rsid w:val="00496189"/>
    <w:rsid w:val="00497E2D"/>
    <w:rsid w:val="004A184C"/>
    <w:rsid w:val="004A6229"/>
    <w:rsid w:val="004A7DA6"/>
    <w:rsid w:val="004B1662"/>
    <w:rsid w:val="004B2C7C"/>
    <w:rsid w:val="004B475C"/>
    <w:rsid w:val="004B58C7"/>
    <w:rsid w:val="004B6BFE"/>
    <w:rsid w:val="004C1B6F"/>
    <w:rsid w:val="004C5296"/>
    <w:rsid w:val="004D49ED"/>
    <w:rsid w:val="004D7C2D"/>
    <w:rsid w:val="004E4283"/>
    <w:rsid w:val="004E497E"/>
    <w:rsid w:val="004F1098"/>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3E05"/>
    <w:rsid w:val="00566BE4"/>
    <w:rsid w:val="00570815"/>
    <w:rsid w:val="005753B3"/>
    <w:rsid w:val="00581A7F"/>
    <w:rsid w:val="0058247A"/>
    <w:rsid w:val="00582BE7"/>
    <w:rsid w:val="005837F3"/>
    <w:rsid w:val="00584602"/>
    <w:rsid w:val="00590B9B"/>
    <w:rsid w:val="005962DD"/>
    <w:rsid w:val="00597895"/>
    <w:rsid w:val="005A2227"/>
    <w:rsid w:val="005A6420"/>
    <w:rsid w:val="005A6928"/>
    <w:rsid w:val="005B0E50"/>
    <w:rsid w:val="005B78DB"/>
    <w:rsid w:val="005C069E"/>
    <w:rsid w:val="005C244D"/>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08AF"/>
    <w:rsid w:val="0070291D"/>
    <w:rsid w:val="0070596D"/>
    <w:rsid w:val="00710C84"/>
    <w:rsid w:val="00711658"/>
    <w:rsid w:val="007136AC"/>
    <w:rsid w:val="007148CF"/>
    <w:rsid w:val="00714D40"/>
    <w:rsid w:val="00717045"/>
    <w:rsid w:val="00717CF8"/>
    <w:rsid w:val="00721D00"/>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0E0C"/>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565"/>
    <w:rsid w:val="00B43764"/>
    <w:rsid w:val="00B45B80"/>
    <w:rsid w:val="00B47C27"/>
    <w:rsid w:val="00B502A7"/>
    <w:rsid w:val="00B51013"/>
    <w:rsid w:val="00B513CE"/>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92D"/>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61D9F"/>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2EA5"/>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143D52-80EE-496A-8F30-E6F9AE758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Pages>
  <Words>3014</Words>
  <Characters>16582</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2025-10-02T18:40:00Z</cp:lastPrinted>
  <dcterms:created xsi:type="dcterms:W3CDTF">2025-10-01T19:54:00Z</dcterms:created>
  <dcterms:modified xsi:type="dcterms:W3CDTF">2025-10-17T19:18:00Z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