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2DC5" w:rsidRPr="007B0D90" w:rsidRDefault="00DD2DC5" w:rsidP="00DD2DC5">
      <w:pPr>
        <w:spacing w:after="0"/>
        <w:ind w:left="708" w:firstLine="708"/>
        <w:jc w:val="both"/>
        <w:rPr>
          <w:rFonts w:ascii="Arial" w:hAnsi="Arial" w:cs="Arial"/>
          <w:color w:val="5B9BD5" w:themeColor="accent1"/>
          <w:sz w:val="20"/>
          <w:szCs w:val="20"/>
        </w:rPr>
      </w:pPr>
      <w:bookmarkStart w:id="0" w:name="_GoBack"/>
      <w:bookmarkEnd w:id="0"/>
      <w:r w:rsidRPr="007B0D90">
        <w:rPr>
          <w:rFonts w:ascii="Arial" w:hAnsi="Arial" w:cs="Arial"/>
          <w:color w:val="5B9BD5" w:themeColor="accent1"/>
          <w:sz w:val="20"/>
          <w:szCs w:val="20"/>
        </w:rPr>
        <w:t xml:space="preserve">En fecha </w:t>
      </w:r>
      <w:r w:rsidRPr="007B0D90">
        <w:rPr>
          <w:rFonts w:ascii="Arial" w:hAnsi="Arial" w:cs="Arial"/>
          <w:color w:val="5B9BD5" w:themeColor="accent1"/>
          <w:sz w:val="20"/>
          <w:szCs w:val="20"/>
        </w:rPr>
        <w:t xml:space="preserve">01 uno de octubre </w:t>
      </w:r>
      <w:r w:rsidRPr="007B0D90">
        <w:rPr>
          <w:rFonts w:ascii="Arial" w:hAnsi="Arial" w:cs="Arial"/>
          <w:color w:val="5B9BD5" w:themeColor="accent1"/>
          <w:sz w:val="20"/>
          <w:szCs w:val="20"/>
        </w:rPr>
        <w:t xml:space="preserve">de 2025 dos mil veinticinco, se da cuenta al Licenciado José Gerardo Navarro </w:t>
      </w:r>
      <w:proofErr w:type="spellStart"/>
      <w:r w:rsidRPr="007B0D90">
        <w:rPr>
          <w:rFonts w:ascii="Arial" w:hAnsi="Arial" w:cs="Arial"/>
          <w:color w:val="5B9BD5" w:themeColor="accent1"/>
          <w:sz w:val="20"/>
          <w:szCs w:val="20"/>
        </w:rPr>
        <w:t>Alviso</w:t>
      </w:r>
      <w:proofErr w:type="spellEnd"/>
      <w:r w:rsidRPr="007B0D90">
        <w:rPr>
          <w:rFonts w:ascii="Arial" w:hAnsi="Arial" w:cs="Arial"/>
          <w:color w:val="5B9BD5" w:themeColor="accent1"/>
          <w:sz w:val="20"/>
          <w:szCs w:val="20"/>
        </w:rPr>
        <w:t>, Comisionado Presidente de la Comisión Estatal de Garantía de Acceso a la Información Pública del Estado de San Luis Potosí con el expediente radicado bajo el número RR-</w:t>
      </w:r>
      <w:r w:rsidRPr="007B0D90">
        <w:rPr>
          <w:rFonts w:ascii="Arial" w:hAnsi="Arial" w:cs="Arial"/>
          <w:color w:val="5B9BD5" w:themeColor="accent1"/>
          <w:sz w:val="20"/>
          <w:szCs w:val="20"/>
        </w:rPr>
        <w:t>729</w:t>
      </w:r>
      <w:r w:rsidRPr="007B0D90">
        <w:rPr>
          <w:rFonts w:ascii="Arial" w:hAnsi="Arial" w:cs="Arial"/>
          <w:color w:val="5B9BD5" w:themeColor="accent1"/>
          <w:sz w:val="20"/>
          <w:szCs w:val="20"/>
        </w:rPr>
        <w:t>/2025</w:t>
      </w:r>
      <w:r w:rsidRPr="007B0D90">
        <w:rPr>
          <w:rFonts w:ascii="Arial" w:eastAsia="Arial" w:hAnsi="Arial" w:cs="Arial"/>
          <w:color w:val="5B9BD5" w:themeColor="accent1"/>
          <w:spacing w:val="1"/>
          <w:sz w:val="20"/>
          <w:szCs w:val="20"/>
        </w:rPr>
        <w:t>-2</w:t>
      </w:r>
      <w:r w:rsidRPr="007B0D90">
        <w:rPr>
          <w:rFonts w:ascii="Arial" w:eastAsia="Arial Unicode MS" w:hAnsi="Arial" w:cs="Arial"/>
          <w:color w:val="5B9BD5" w:themeColor="accent1"/>
          <w:sz w:val="20"/>
          <w:szCs w:val="20"/>
        </w:rPr>
        <w:t xml:space="preserve"> interpuesto contra el Municipio de</w:t>
      </w:r>
      <w:r w:rsidRPr="007B0D90">
        <w:rPr>
          <w:rFonts w:ascii="Arial" w:eastAsia="Arial Unicode MS" w:hAnsi="Arial" w:cs="Arial"/>
          <w:color w:val="5B9BD5" w:themeColor="accent1"/>
          <w:sz w:val="20"/>
          <w:szCs w:val="20"/>
        </w:rPr>
        <w:t xml:space="preserve"> Salinas</w:t>
      </w:r>
      <w:r w:rsidRPr="007B0D90">
        <w:rPr>
          <w:rFonts w:ascii="Arial" w:eastAsia="Arial Unicode MS" w:hAnsi="Arial" w:cs="Arial"/>
          <w:color w:val="5B9BD5" w:themeColor="accent1"/>
          <w:sz w:val="20"/>
          <w:szCs w:val="20"/>
        </w:rPr>
        <w:t>.</w:t>
      </w:r>
      <w:r w:rsidRPr="007B0D90">
        <w:rPr>
          <w:rFonts w:ascii="Arial" w:hAnsi="Arial" w:cs="Arial"/>
          <w:color w:val="5B9BD5" w:themeColor="accent1"/>
          <w:sz w:val="20"/>
          <w:szCs w:val="20"/>
        </w:rPr>
        <w:t xml:space="preserve"> </w:t>
      </w:r>
      <w:r w:rsidRPr="007B0D90">
        <w:rPr>
          <w:rFonts w:ascii="Arial" w:hAnsi="Arial" w:cs="Arial"/>
          <w:b/>
          <w:color w:val="5B9BD5" w:themeColor="accent1"/>
          <w:sz w:val="20"/>
          <w:szCs w:val="20"/>
          <w:u w:val="single"/>
        </w:rPr>
        <w:t>Conste.</w:t>
      </w:r>
    </w:p>
    <w:p w:rsidR="00DD2DC5" w:rsidRPr="00522EF9" w:rsidRDefault="00DD2DC5" w:rsidP="00DD2DC5">
      <w:pPr>
        <w:widowControl w:val="0"/>
        <w:tabs>
          <w:tab w:val="left" w:pos="567"/>
        </w:tabs>
        <w:suppressAutoHyphens/>
        <w:autoSpaceDN w:val="0"/>
        <w:spacing w:after="0"/>
        <w:jc w:val="right"/>
        <w:textAlignment w:val="baseline"/>
        <w:rPr>
          <w:rFonts w:ascii="Arial" w:eastAsia="Times New Roman" w:hAnsi="Arial" w:cs="Arial"/>
          <w:color w:val="5B9BD5" w:themeColor="accent1"/>
          <w:kern w:val="3"/>
          <w:sz w:val="24"/>
          <w:szCs w:val="24"/>
          <w:lang w:eastAsia="es-ES"/>
        </w:rPr>
      </w:pPr>
    </w:p>
    <w:p w:rsidR="00DD2DC5" w:rsidRPr="007B0D90" w:rsidRDefault="00DD2DC5" w:rsidP="00DD2DC5">
      <w:pPr>
        <w:widowControl w:val="0"/>
        <w:tabs>
          <w:tab w:val="left" w:pos="567"/>
        </w:tabs>
        <w:suppressAutoHyphens/>
        <w:autoSpaceDN w:val="0"/>
        <w:spacing w:after="0"/>
        <w:jc w:val="right"/>
        <w:textAlignment w:val="baseline"/>
        <w:rPr>
          <w:rFonts w:ascii="Arial" w:eastAsia="Times New Roman" w:hAnsi="Arial" w:cs="Arial"/>
          <w:color w:val="5B9BD5" w:themeColor="accent1"/>
          <w:kern w:val="3"/>
          <w:lang w:eastAsia="es-ES"/>
        </w:rPr>
      </w:pPr>
      <w:r w:rsidRPr="007B0D90">
        <w:rPr>
          <w:rFonts w:ascii="Arial" w:eastAsia="Times New Roman" w:hAnsi="Arial" w:cs="Arial"/>
          <w:color w:val="5B9BD5" w:themeColor="accent1"/>
          <w:kern w:val="3"/>
          <w:lang w:eastAsia="es-ES"/>
        </w:rPr>
        <w:t xml:space="preserve">San Luis Potosí. S.L.P., a </w:t>
      </w:r>
      <w:r w:rsidRPr="007B0D90">
        <w:rPr>
          <w:rFonts w:ascii="Arial" w:eastAsia="Times New Roman" w:hAnsi="Arial" w:cs="Arial"/>
          <w:color w:val="5B9BD5" w:themeColor="accent1"/>
          <w:kern w:val="3"/>
          <w:lang w:eastAsia="es-ES"/>
        </w:rPr>
        <w:t xml:space="preserve">01 de octubre </w:t>
      </w:r>
      <w:r w:rsidRPr="007B0D90">
        <w:rPr>
          <w:rFonts w:ascii="Arial" w:eastAsia="Times New Roman" w:hAnsi="Arial" w:cs="Arial"/>
          <w:color w:val="5B9BD5" w:themeColor="accent1"/>
          <w:kern w:val="3"/>
          <w:lang w:eastAsia="es-ES"/>
        </w:rPr>
        <w:t>de 2025 dos mil veinticinco.</w:t>
      </w:r>
    </w:p>
    <w:p w:rsidR="00DD2DC5" w:rsidRPr="007B0D90" w:rsidRDefault="00DD2DC5" w:rsidP="00DD2DC5">
      <w:pPr>
        <w:widowControl w:val="0"/>
        <w:tabs>
          <w:tab w:val="left" w:pos="567"/>
        </w:tabs>
        <w:suppressAutoHyphens/>
        <w:autoSpaceDN w:val="0"/>
        <w:spacing w:after="0"/>
        <w:jc w:val="both"/>
        <w:textAlignment w:val="baseline"/>
        <w:rPr>
          <w:rFonts w:ascii="Arial" w:eastAsia="Times New Roman" w:hAnsi="Arial" w:cs="Arial"/>
          <w:color w:val="5B9BD5" w:themeColor="accent1"/>
          <w:kern w:val="3"/>
          <w:lang w:eastAsia="es-ES"/>
        </w:rPr>
      </w:pPr>
      <w:r w:rsidRPr="007B0D90">
        <w:rPr>
          <w:rFonts w:ascii="Arial" w:eastAsia="Times New Roman" w:hAnsi="Arial" w:cs="Arial"/>
          <w:color w:val="5B9BD5" w:themeColor="accent1"/>
          <w:kern w:val="3"/>
          <w:lang w:eastAsia="es-ES"/>
        </w:rPr>
        <w:tab/>
      </w:r>
      <w:r w:rsidRPr="007B0D90">
        <w:rPr>
          <w:rFonts w:ascii="Arial" w:eastAsia="Times New Roman" w:hAnsi="Arial" w:cs="Arial"/>
          <w:color w:val="5B9BD5" w:themeColor="accent1"/>
          <w:kern w:val="3"/>
          <w:lang w:eastAsia="es-ES"/>
        </w:rPr>
        <w:tab/>
      </w:r>
    </w:p>
    <w:p w:rsidR="00DD2DC5" w:rsidRPr="007B0D90" w:rsidRDefault="00DD2DC5" w:rsidP="00DD2DC5">
      <w:pPr>
        <w:widowControl w:val="0"/>
        <w:tabs>
          <w:tab w:val="left" w:pos="567"/>
        </w:tabs>
        <w:suppressAutoHyphens/>
        <w:autoSpaceDN w:val="0"/>
        <w:spacing w:after="0"/>
        <w:jc w:val="both"/>
        <w:textAlignment w:val="baseline"/>
        <w:rPr>
          <w:rFonts w:ascii="Arial" w:eastAsia="Times New Roman" w:hAnsi="Arial" w:cs="Arial"/>
          <w:color w:val="5B9BD5" w:themeColor="accent1"/>
          <w:kern w:val="3"/>
          <w:lang w:eastAsia="es-ES"/>
        </w:rPr>
      </w:pPr>
      <w:r w:rsidRPr="007B0D90">
        <w:rPr>
          <w:rFonts w:ascii="Arial" w:eastAsia="Times New Roman" w:hAnsi="Arial" w:cs="Arial"/>
          <w:color w:val="5B9BD5" w:themeColor="accent1"/>
          <w:kern w:val="3"/>
          <w:lang w:eastAsia="es-ES"/>
        </w:rPr>
        <w:tab/>
      </w:r>
      <w:r w:rsidRPr="007B0D90">
        <w:rPr>
          <w:rFonts w:ascii="Arial" w:eastAsia="Times New Roman" w:hAnsi="Arial" w:cs="Arial"/>
          <w:b/>
          <w:color w:val="5B9BD5" w:themeColor="accent1"/>
          <w:kern w:val="3"/>
          <w:lang w:eastAsia="es-ES"/>
        </w:rPr>
        <w:t>VISTO.</w:t>
      </w:r>
      <w:r w:rsidRPr="007B0D90">
        <w:rPr>
          <w:rFonts w:ascii="Arial" w:eastAsia="Times New Roman" w:hAnsi="Arial" w:cs="Arial"/>
          <w:color w:val="5B9BD5" w:themeColor="accent1"/>
          <w:kern w:val="3"/>
          <w:lang w:eastAsia="es-ES"/>
        </w:rPr>
        <w:t xml:space="preserve"> El estado que guardan los presentes autos, se procede a dictar el siguiente:</w:t>
      </w:r>
    </w:p>
    <w:p w:rsidR="00DD2DC5" w:rsidRPr="007B0D90" w:rsidRDefault="00DD2DC5" w:rsidP="00DD2DC5">
      <w:pPr>
        <w:widowControl w:val="0"/>
        <w:tabs>
          <w:tab w:val="left" w:pos="567"/>
        </w:tabs>
        <w:suppressAutoHyphens/>
        <w:autoSpaceDN w:val="0"/>
        <w:spacing w:after="0"/>
        <w:jc w:val="both"/>
        <w:textAlignment w:val="baseline"/>
        <w:rPr>
          <w:rFonts w:ascii="Arial" w:eastAsia="Times New Roman" w:hAnsi="Arial" w:cs="Arial"/>
          <w:color w:val="5B9BD5" w:themeColor="accent1"/>
          <w:kern w:val="3"/>
          <w:lang w:eastAsia="es-ES"/>
        </w:rPr>
      </w:pPr>
    </w:p>
    <w:p w:rsidR="00DD2DC5" w:rsidRPr="007B0D90" w:rsidRDefault="00DD2DC5" w:rsidP="00DD2DC5">
      <w:pPr>
        <w:widowControl w:val="0"/>
        <w:tabs>
          <w:tab w:val="left" w:pos="567"/>
        </w:tabs>
        <w:suppressAutoHyphens/>
        <w:autoSpaceDN w:val="0"/>
        <w:spacing w:after="0"/>
        <w:jc w:val="center"/>
        <w:textAlignment w:val="baseline"/>
        <w:rPr>
          <w:rFonts w:ascii="Arial" w:eastAsia="Times New Roman" w:hAnsi="Arial" w:cs="Arial"/>
          <w:b/>
          <w:color w:val="5B9BD5" w:themeColor="accent1"/>
          <w:kern w:val="3"/>
          <w:lang w:eastAsia="es-ES"/>
        </w:rPr>
      </w:pPr>
      <w:r w:rsidRPr="007B0D90">
        <w:rPr>
          <w:rFonts w:ascii="Arial" w:eastAsia="Times New Roman" w:hAnsi="Arial" w:cs="Arial"/>
          <w:b/>
          <w:color w:val="5B9BD5" w:themeColor="accent1"/>
          <w:kern w:val="3"/>
          <w:lang w:eastAsia="es-ES"/>
        </w:rPr>
        <w:t>ACUERDO</w:t>
      </w:r>
    </w:p>
    <w:p w:rsidR="00DD2DC5" w:rsidRPr="007B0D90" w:rsidRDefault="00DD2DC5" w:rsidP="00DD2DC5">
      <w:pPr>
        <w:widowControl w:val="0"/>
        <w:tabs>
          <w:tab w:val="left" w:pos="567"/>
        </w:tabs>
        <w:suppressAutoHyphens/>
        <w:autoSpaceDN w:val="0"/>
        <w:spacing w:after="0"/>
        <w:jc w:val="center"/>
        <w:textAlignment w:val="baseline"/>
        <w:rPr>
          <w:rFonts w:ascii="Arial" w:eastAsia="Times New Roman" w:hAnsi="Arial" w:cs="Arial"/>
          <w:b/>
          <w:color w:val="5B9BD5" w:themeColor="accent1"/>
          <w:kern w:val="3"/>
          <w:lang w:eastAsia="es-ES"/>
        </w:rPr>
      </w:pPr>
    </w:p>
    <w:p w:rsidR="00DD2DC5" w:rsidRPr="007B0D90" w:rsidRDefault="00DD2DC5" w:rsidP="00DD2DC5">
      <w:pPr>
        <w:shd w:val="clear" w:color="auto" w:fill="FFFFFF"/>
        <w:spacing w:after="0"/>
        <w:ind w:firstLine="708"/>
        <w:jc w:val="both"/>
        <w:rPr>
          <w:rFonts w:ascii="Arial" w:eastAsia="Times New Roman" w:hAnsi="Arial" w:cs="Arial"/>
          <w:color w:val="5B9BD5" w:themeColor="accent1"/>
          <w:lang w:eastAsia="es-MX"/>
        </w:rPr>
      </w:pPr>
      <w:r w:rsidRPr="007B0D90">
        <w:rPr>
          <w:rFonts w:ascii="Arial" w:eastAsia="Times New Roman" w:hAnsi="Arial" w:cs="Arial"/>
          <w:b/>
          <w:color w:val="5B9BD5" w:themeColor="accent1"/>
          <w:lang w:eastAsia="es-MX"/>
        </w:rPr>
        <w:t>PRIMERO.-</w:t>
      </w:r>
      <w:r w:rsidRPr="007B0D90">
        <w:rPr>
          <w:rFonts w:ascii="Arial" w:eastAsia="Times New Roman" w:hAnsi="Arial" w:cs="Arial"/>
          <w:color w:val="5B9BD5" w:themeColor="accent1"/>
          <w:lang w:eastAsia="es-MX"/>
        </w:rPr>
        <w:t xml:space="preserve"> El Comisionado Presidente de la Comisión Estatal de Garantía de Acceso a la Información Pública del Estado de San Luis Potosí es competente para dictar el presente Acuerdo de conformidad con lo establecido en los artículos 34 fracciones l y ll, 35 fracciones I y V, 36 fracciones I y III, de la Ley de Transparencia y Acceso a la Información Pública del Estado de San Luis Potosí, así como en los numerales 8 fracciones II y III, inciso a); 30 fracción XIII, 31 fracciones I, VI, IX, XIV y XVI, y 51 fracción VII, del Reglamento Interior de la Comisión Estatal de Garantía de Acceso a la Información Pública de San Luis Potosí, así como de acuerdo con lo establecido en el Acuerdo CEGAIP-251/2025 aprobado en la Sesión Ordinaria de fecha 07 siete de julio de 2025 dos mil veinticinco</w:t>
      </w:r>
    </w:p>
    <w:p w:rsidR="00DD2DC5" w:rsidRPr="007B0D90" w:rsidRDefault="00DD2DC5" w:rsidP="00DD2DC5">
      <w:pPr>
        <w:shd w:val="clear" w:color="auto" w:fill="FFFFFF"/>
        <w:spacing w:after="0"/>
        <w:ind w:firstLine="708"/>
        <w:jc w:val="both"/>
        <w:rPr>
          <w:rFonts w:ascii="Arial" w:eastAsia="Times New Roman" w:hAnsi="Arial" w:cs="Arial"/>
          <w:color w:val="5B9BD5" w:themeColor="accent1"/>
          <w:lang w:eastAsia="es-MX"/>
        </w:rPr>
      </w:pPr>
      <w:r w:rsidRPr="007B0D90">
        <w:rPr>
          <w:rFonts w:ascii="Arial" w:eastAsia="Times New Roman" w:hAnsi="Arial" w:cs="Arial"/>
          <w:color w:val="5B9BD5" w:themeColor="accent1"/>
          <w:lang w:eastAsia="es-MX"/>
        </w:rPr>
        <w:t> </w:t>
      </w:r>
    </w:p>
    <w:p w:rsidR="00DD2DC5" w:rsidRPr="007B0D90" w:rsidRDefault="00DD2DC5" w:rsidP="00DD2DC5">
      <w:pPr>
        <w:shd w:val="clear" w:color="auto" w:fill="FFFFFF"/>
        <w:spacing w:after="0"/>
        <w:jc w:val="both"/>
        <w:rPr>
          <w:rFonts w:ascii="Arial" w:eastAsia="Times New Roman" w:hAnsi="Arial" w:cs="Arial"/>
          <w:color w:val="5B9BD5" w:themeColor="accent1"/>
          <w:lang w:eastAsia="es-MX"/>
        </w:rPr>
      </w:pPr>
      <w:r w:rsidRPr="007B0D90">
        <w:rPr>
          <w:rFonts w:ascii="Arial" w:eastAsia="Times New Roman" w:hAnsi="Arial" w:cs="Arial"/>
          <w:color w:val="5B9BD5" w:themeColor="accent1"/>
          <w:lang w:eastAsia="es-MX"/>
        </w:rPr>
        <w:t>                La suscrita es competente para dictar el presente acuerdo, de conformidad con lo establecido en los artículos 27 y 34 fracción I y II de la Ley de Transparencia y Acceso a la Información Pública del Estado de San Luis Potosí; así como los artículos 2°, 5º, 8º fracción II y 51 fracción VII del Reglamento Interno de la Comisión Estatal de Garantía de Acceso a la Información Pública, en correlación con el Acuerdo CEGAIP-738/2023, emitido por el Pleno de este Órgano Autónomo. </w:t>
      </w:r>
    </w:p>
    <w:p w:rsidR="00DD2DC5" w:rsidRPr="007B0D90" w:rsidRDefault="00DD2DC5" w:rsidP="00DD2DC5">
      <w:pPr>
        <w:widowControl w:val="0"/>
        <w:tabs>
          <w:tab w:val="left" w:pos="567"/>
        </w:tabs>
        <w:suppressAutoHyphens/>
        <w:autoSpaceDN w:val="0"/>
        <w:spacing w:after="0"/>
        <w:jc w:val="both"/>
        <w:textAlignment w:val="baseline"/>
        <w:rPr>
          <w:rFonts w:ascii="Arial" w:eastAsia="Times New Roman" w:hAnsi="Arial" w:cs="Arial"/>
          <w:color w:val="5B9BD5" w:themeColor="accent1"/>
          <w:kern w:val="3"/>
          <w:lang w:eastAsia="es-ES"/>
        </w:rPr>
      </w:pPr>
    </w:p>
    <w:p w:rsidR="00DD2DC5" w:rsidRDefault="00DD2DC5" w:rsidP="00DD2DC5">
      <w:pPr>
        <w:widowControl w:val="0"/>
        <w:tabs>
          <w:tab w:val="left" w:pos="567"/>
        </w:tabs>
        <w:suppressAutoHyphens/>
        <w:autoSpaceDN w:val="0"/>
        <w:spacing w:after="0"/>
        <w:jc w:val="both"/>
        <w:textAlignment w:val="baseline"/>
        <w:rPr>
          <w:rFonts w:ascii="Arial" w:hAnsi="Arial" w:cs="Arial"/>
          <w:bCs/>
          <w:color w:val="4472C4" w:themeColor="accent5"/>
        </w:rPr>
      </w:pPr>
      <w:r w:rsidRPr="007B0D90">
        <w:rPr>
          <w:rFonts w:ascii="Arial" w:eastAsia="Times New Roman" w:hAnsi="Arial" w:cs="Arial"/>
          <w:b/>
          <w:color w:val="5B9BD5" w:themeColor="accent1"/>
          <w:kern w:val="3"/>
          <w:lang w:eastAsia="es-ES"/>
        </w:rPr>
        <w:tab/>
      </w:r>
      <w:r w:rsidRPr="007B0D90">
        <w:rPr>
          <w:rFonts w:ascii="Arial" w:eastAsia="Times New Roman" w:hAnsi="Arial" w:cs="Arial"/>
          <w:b/>
          <w:color w:val="5B9BD5" w:themeColor="accent1"/>
          <w:kern w:val="3"/>
          <w:lang w:eastAsia="es-ES"/>
        </w:rPr>
        <w:tab/>
        <w:t>SEGUNDO</w:t>
      </w:r>
      <w:r w:rsidRPr="007B0D90">
        <w:rPr>
          <w:rFonts w:ascii="Arial" w:eastAsia="Times New Roman" w:hAnsi="Arial" w:cs="Arial"/>
          <w:b/>
          <w:color w:val="4472C4" w:themeColor="accent5"/>
          <w:kern w:val="3"/>
          <w:lang w:eastAsia="es-ES"/>
        </w:rPr>
        <w:t>. -</w:t>
      </w:r>
      <w:r w:rsidRPr="007B0D90">
        <w:rPr>
          <w:rFonts w:ascii="Arial" w:eastAsia="Times New Roman" w:hAnsi="Arial" w:cs="Arial"/>
          <w:color w:val="4472C4" w:themeColor="accent5"/>
          <w:kern w:val="3"/>
          <w:lang w:eastAsia="es-ES"/>
        </w:rPr>
        <w:t xml:space="preserve"> De una revisión a las constancias que </w:t>
      </w:r>
      <w:r w:rsidRPr="007B0D90">
        <w:rPr>
          <w:rFonts w:ascii="Arial" w:eastAsia="Times New Roman" w:hAnsi="Arial" w:cs="Arial"/>
          <w:color w:val="4472C4" w:themeColor="accent5"/>
          <w:kern w:val="3"/>
          <w:lang w:eastAsia="es-ES"/>
        </w:rPr>
        <w:t>integran el presente expediente</w:t>
      </w:r>
      <w:r w:rsidRPr="007B0D90">
        <w:rPr>
          <w:rFonts w:ascii="Arial" w:hAnsi="Arial" w:cs="Arial"/>
          <w:color w:val="4472C4" w:themeColor="accent5"/>
        </w:rPr>
        <w:t>,</w:t>
      </w:r>
      <w:r w:rsidRPr="007B0D90">
        <w:rPr>
          <w:rFonts w:ascii="Arial" w:hAnsi="Arial" w:cs="Arial"/>
          <w:color w:val="4472C4" w:themeColor="accent5"/>
        </w:rPr>
        <w:t xml:space="preserve"> se advierte que </w:t>
      </w:r>
      <w:r w:rsidRPr="007B0D90">
        <w:rPr>
          <w:rFonts w:ascii="Arial" w:hAnsi="Arial" w:cs="Arial"/>
          <w:color w:val="4472C4" w:themeColor="accent5"/>
        </w:rPr>
        <w:t xml:space="preserve">el </w:t>
      </w:r>
      <w:r w:rsidRPr="007B0D90">
        <w:rPr>
          <w:rFonts w:ascii="Arial" w:hAnsi="Arial" w:cs="Arial"/>
          <w:color w:val="4472C4" w:themeColor="accent5"/>
        </w:rPr>
        <w:t xml:space="preserve">06 seis de agosto </w:t>
      </w:r>
      <w:r w:rsidRPr="007B0D90">
        <w:rPr>
          <w:rFonts w:ascii="Arial" w:hAnsi="Arial" w:cs="Arial"/>
          <w:color w:val="4472C4" w:themeColor="accent5"/>
        </w:rPr>
        <w:t xml:space="preserve">de 2025 dos mil veinticinco, el Pleno de esta Comisión aprobó la resolución correspondiente al presente recurso de revisión, mediante la cual </w:t>
      </w:r>
      <w:r w:rsidRPr="007B0D90">
        <w:rPr>
          <w:rFonts w:ascii="Arial" w:hAnsi="Arial" w:cs="Arial"/>
          <w:b/>
          <w:color w:val="4472C4" w:themeColor="accent5"/>
        </w:rPr>
        <w:t xml:space="preserve">modificó </w:t>
      </w:r>
      <w:r w:rsidRPr="007B0D90">
        <w:rPr>
          <w:rFonts w:ascii="Arial" w:hAnsi="Arial" w:cs="Arial"/>
          <w:color w:val="4472C4" w:themeColor="accent5"/>
        </w:rPr>
        <w:t>l</w:t>
      </w:r>
      <w:r w:rsidRPr="007B0D90">
        <w:rPr>
          <w:rFonts w:ascii="Arial" w:hAnsi="Arial" w:cs="Arial"/>
          <w:color w:val="4472C4" w:themeColor="accent5"/>
        </w:rPr>
        <w:t>a respuesta proporcionada por el sujeto obligado y ordenó que emita otra respuesta en la que</w:t>
      </w:r>
      <w:r w:rsidRPr="007B0D90">
        <w:rPr>
          <w:rFonts w:ascii="Arial" w:hAnsi="Arial" w:cs="Arial"/>
          <w:bCs/>
          <w:color w:val="4472C4" w:themeColor="accent5"/>
        </w:rPr>
        <w:t>:</w:t>
      </w:r>
    </w:p>
    <w:p w:rsidR="00C5067B" w:rsidRPr="007B0D90" w:rsidRDefault="00C5067B" w:rsidP="00DD2DC5">
      <w:pPr>
        <w:widowControl w:val="0"/>
        <w:tabs>
          <w:tab w:val="left" w:pos="567"/>
        </w:tabs>
        <w:suppressAutoHyphens/>
        <w:autoSpaceDN w:val="0"/>
        <w:spacing w:after="0"/>
        <w:jc w:val="both"/>
        <w:textAlignment w:val="baseline"/>
        <w:rPr>
          <w:rFonts w:ascii="Arial" w:eastAsia="Times New Roman" w:hAnsi="Arial" w:cs="Arial"/>
          <w:color w:val="4472C4" w:themeColor="accent5"/>
          <w:kern w:val="3"/>
          <w:lang w:eastAsia="es-ES"/>
        </w:rPr>
      </w:pPr>
    </w:p>
    <w:p w:rsidR="007F26C0" w:rsidRPr="007F26C0" w:rsidRDefault="007F26C0" w:rsidP="00C5067B">
      <w:pPr>
        <w:spacing w:after="0"/>
        <w:ind w:firstLine="708"/>
        <w:rPr>
          <w:rFonts w:ascii="Times New Roman" w:eastAsia="Times New Roman" w:hAnsi="Times New Roman"/>
          <w:i/>
          <w:color w:val="4472C4" w:themeColor="accent5"/>
          <w:sz w:val="18"/>
          <w:szCs w:val="18"/>
          <w:lang w:eastAsia="es-MX"/>
        </w:rPr>
      </w:pPr>
      <w:r w:rsidRPr="007F26C0">
        <w:rPr>
          <w:rFonts w:ascii="Times New Roman" w:eastAsia="Times New Roman" w:hAnsi="Times New Roman"/>
          <w:i/>
          <w:color w:val="4472C4" w:themeColor="accent5"/>
          <w:sz w:val="18"/>
          <w:szCs w:val="18"/>
          <w:lang w:eastAsia="es-MX"/>
        </w:rPr>
        <w:t>“…La información correspondiente a la atención, protección y seguridad de las mujeres desde un enfoque de derechos humanos y perspectiva de género desarrollado por la Secretaría de Seguridad Pública y Protección Ciudadana (o el nombre de institución equivalente a las tareas de seguridad pública) del municipio en el periodo de 1 de octubre de 2021 a 31 de mayo de 2025, mismo que incluya:</w:t>
      </w:r>
    </w:p>
    <w:p w:rsidR="007F26C0" w:rsidRPr="007F26C0" w:rsidRDefault="007F26C0" w:rsidP="00C5067B">
      <w:pPr>
        <w:spacing w:after="0"/>
        <w:rPr>
          <w:rFonts w:ascii="Times New Roman" w:eastAsia="Times New Roman" w:hAnsi="Times New Roman"/>
          <w:i/>
          <w:color w:val="4472C4" w:themeColor="accent5"/>
          <w:sz w:val="18"/>
          <w:szCs w:val="18"/>
          <w:lang w:eastAsia="es-MX"/>
        </w:rPr>
      </w:pPr>
      <w:r w:rsidRPr="007F26C0">
        <w:rPr>
          <w:rFonts w:ascii="Times New Roman" w:eastAsia="Times New Roman" w:hAnsi="Times New Roman"/>
          <w:i/>
          <w:color w:val="4472C4" w:themeColor="accent5"/>
          <w:sz w:val="18"/>
          <w:szCs w:val="18"/>
          <w:lang w:eastAsia="es-MX"/>
        </w:rPr>
        <w:t>1. Reglamento o lineamientos operativos (como modelos de actuación, manuales).</w:t>
      </w:r>
    </w:p>
    <w:p w:rsidR="007F26C0" w:rsidRPr="007F26C0" w:rsidRDefault="007F26C0" w:rsidP="00C5067B">
      <w:pPr>
        <w:spacing w:after="0"/>
        <w:rPr>
          <w:rFonts w:ascii="Times New Roman" w:eastAsia="Times New Roman" w:hAnsi="Times New Roman"/>
          <w:i/>
          <w:color w:val="4472C4" w:themeColor="accent5"/>
          <w:sz w:val="18"/>
          <w:szCs w:val="18"/>
          <w:lang w:eastAsia="es-MX"/>
        </w:rPr>
      </w:pPr>
      <w:r w:rsidRPr="007F26C0">
        <w:rPr>
          <w:rFonts w:ascii="Times New Roman" w:eastAsia="Times New Roman" w:hAnsi="Times New Roman"/>
          <w:i/>
          <w:color w:val="4472C4" w:themeColor="accent5"/>
          <w:sz w:val="18"/>
          <w:szCs w:val="18"/>
          <w:lang w:eastAsia="es-MX"/>
        </w:rPr>
        <w:t>2. Programas, protocolos, rutas, manual o cualquier otro instrumento dirigido a la atención de mujeres y niñas víctimas de violencia</w:t>
      </w:r>
    </w:p>
    <w:p w:rsidR="007F26C0" w:rsidRPr="007F26C0" w:rsidRDefault="007F26C0" w:rsidP="00C5067B">
      <w:pPr>
        <w:spacing w:after="0"/>
        <w:rPr>
          <w:rFonts w:ascii="Times New Roman" w:eastAsia="Times New Roman" w:hAnsi="Times New Roman"/>
          <w:i/>
          <w:color w:val="4472C4" w:themeColor="accent5"/>
          <w:sz w:val="18"/>
          <w:szCs w:val="18"/>
          <w:lang w:eastAsia="es-MX"/>
        </w:rPr>
      </w:pPr>
      <w:r w:rsidRPr="007F26C0">
        <w:rPr>
          <w:rFonts w:ascii="Times New Roman" w:eastAsia="Times New Roman" w:hAnsi="Times New Roman"/>
          <w:i/>
          <w:color w:val="4472C4" w:themeColor="accent5"/>
          <w:sz w:val="18"/>
          <w:szCs w:val="18"/>
          <w:lang w:eastAsia="es-MX"/>
        </w:rPr>
        <w:t xml:space="preserve">3. Atribuciones de la Secretaría de Seguridad Pública y Protección Ciudadana </w:t>
      </w:r>
      <w:proofErr w:type="gramStart"/>
      <w:r w:rsidRPr="007F26C0">
        <w:rPr>
          <w:rFonts w:ascii="Times New Roman" w:eastAsia="Times New Roman" w:hAnsi="Times New Roman"/>
          <w:i/>
          <w:color w:val="4472C4" w:themeColor="accent5"/>
          <w:sz w:val="18"/>
          <w:szCs w:val="18"/>
          <w:lang w:eastAsia="es-MX"/>
        </w:rPr>
        <w:t>y</w:t>
      </w:r>
      <w:proofErr w:type="gramEnd"/>
      <w:r w:rsidRPr="007F26C0">
        <w:rPr>
          <w:rFonts w:ascii="Times New Roman" w:eastAsia="Times New Roman" w:hAnsi="Times New Roman"/>
          <w:i/>
          <w:color w:val="4472C4" w:themeColor="accent5"/>
          <w:sz w:val="18"/>
          <w:szCs w:val="18"/>
          <w:lang w:eastAsia="es-MX"/>
        </w:rPr>
        <w:t xml:space="preserve"> por ende, responsabilidades en materia de atención, protección y seguridad de las mujeres.</w:t>
      </w:r>
    </w:p>
    <w:p w:rsidR="007F26C0" w:rsidRPr="007F26C0" w:rsidRDefault="007F26C0" w:rsidP="00C5067B">
      <w:pPr>
        <w:spacing w:after="0"/>
        <w:rPr>
          <w:rFonts w:ascii="Times New Roman" w:eastAsia="Times New Roman" w:hAnsi="Times New Roman"/>
          <w:i/>
          <w:color w:val="4472C4" w:themeColor="accent5"/>
          <w:sz w:val="18"/>
          <w:szCs w:val="18"/>
          <w:lang w:eastAsia="es-MX"/>
        </w:rPr>
      </w:pPr>
      <w:r w:rsidRPr="007F26C0">
        <w:rPr>
          <w:rFonts w:ascii="Times New Roman" w:eastAsia="Times New Roman" w:hAnsi="Times New Roman"/>
          <w:i/>
          <w:color w:val="4472C4" w:themeColor="accent5"/>
          <w:sz w:val="18"/>
          <w:szCs w:val="18"/>
          <w:lang w:eastAsia="es-MX"/>
        </w:rPr>
        <w:t>4. Organización operativa para la atención, protección y seguridad de las mujeres.</w:t>
      </w:r>
    </w:p>
    <w:p w:rsidR="007F26C0" w:rsidRPr="007F26C0" w:rsidRDefault="007F26C0" w:rsidP="00C5067B">
      <w:pPr>
        <w:spacing w:after="0"/>
        <w:rPr>
          <w:rFonts w:ascii="Times New Roman" w:eastAsia="Times New Roman" w:hAnsi="Times New Roman"/>
          <w:i/>
          <w:color w:val="4472C4" w:themeColor="accent5"/>
          <w:sz w:val="18"/>
          <w:szCs w:val="18"/>
          <w:lang w:eastAsia="es-MX"/>
        </w:rPr>
      </w:pPr>
      <w:r w:rsidRPr="007F26C0">
        <w:rPr>
          <w:rFonts w:ascii="Times New Roman" w:eastAsia="Times New Roman" w:hAnsi="Times New Roman"/>
          <w:i/>
          <w:color w:val="4472C4" w:themeColor="accent5"/>
          <w:sz w:val="18"/>
          <w:szCs w:val="18"/>
          <w:lang w:eastAsia="es-MX"/>
        </w:rPr>
        <w:t>5. Servicios que brinda en materia de atención, protección y seguridad de las mujeres.</w:t>
      </w:r>
    </w:p>
    <w:p w:rsidR="007F26C0" w:rsidRPr="007F26C0" w:rsidRDefault="007F26C0" w:rsidP="00C5067B">
      <w:pPr>
        <w:spacing w:after="0"/>
        <w:rPr>
          <w:rFonts w:ascii="Times New Roman" w:eastAsia="Times New Roman" w:hAnsi="Times New Roman"/>
          <w:i/>
          <w:color w:val="4472C4" w:themeColor="accent5"/>
          <w:sz w:val="18"/>
          <w:szCs w:val="18"/>
          <w:lang w:eastAsia="es-MX"/>
        </w:rPr>
      </w:pPr>
      <w:r w:rsidRPr="007F26C0">
        <w:rPr>
          <w:rFonts w:ascii="Times New Roman" w:eastAsia="Times New Roman" w:hAnsi="Times New Roman"/>
          <w:i/>
          <w:color w:val="4472C4" w:themeColor="accent5"/>
          <w:sz w:val="18"/>
          <w:szCs w:val="18"/>
          <w:lang w:eastAsia="es-MX"/>
        </w:rPr>
        <w:t>6. Acciones desarrolladas en materia de atención, protección y seguridad de las mujeres durante 1 de octubre de 2021 a 31 de mayo de 2025.</w:t>
      </w:r>
    </w:p>
    <w:p w:rsidR="007F26C0" w:rsidRDefault="007F26C0" w:rsidP="00C5067B">
      <w:pPr>
        <w:spacing w:after="0"/>
        <w:rPr>
          <w:rFonts w:ascii="Times New Roman" w:eastAsia="Times New Roman" w:hAnsi="Times New Roman"/>
          <w:i/>
          <w:color w:val="4472C4" w:themeColor="accent5"/>
          <w:sz w:val="18"/>
          <w:szCs w:val="18"/>
          <w:lang w:eastAsia="es-MX"/>
        </w:rPr>
      </w:pPr>
      <w:r w:rsidRPr="007F26C0">
        <w:rPr>
          <w:rFonts w:ascii="Times New Roman" w:eastAsia="Times New Roman" w:hAnsi="Times New Roman"/>
          <w:i/>
          <w:color w:val="4472C4" w:themeColor="accent5"/>
          <w:sz w:val="18"/>
          <w:szCs w:val="18"/>
          <w:lang w:eastAsia="es-MX"/>
        </w:rPr>
        <w:t xml:space="preserve">O cualquier otro documento que </w:t>
      </w:r>
      <w:proofErr w:type="spellStart"/>
      <w:r w:rsidRPr="007F26C0">
        <w:rPr>
          <w:rFonts w:ascii="Times New Roman" w:eastAsia="Times New Roman" w:hAnsi="Times New Roman"/>
          <w:i/>
          <w:color w:val="4472C4" w:themeColor="accent5"/>
          <w:sz w:val="18"/>
          <w:szCs w:val="18"/>
          <w:lang w:eastAsia="es-MX"/>
        </w:rPr>
        <w:t>de</w:t>
      </w:r>
      <w:proofErr w:type="spellEnd"/>
      <w:r w:rsidRPr="007F26C0">
        <w:rPr>
          <w:rFonts w:ascii="Times New Roman" w:eastAsia="Times New Roman" w:hAnsi="Times New Roman"/>
          <w:i/>
          <w:color w:val="4472C4" w:themeColor="accent5"/>
          <w:sz w:val="18"/>
          <w:szCs w:val="18"/>
          <w:lang w:eastAsia="es-MX"/>
        </w:rPr>
        <w:t xml:space="preserve"> cuenta del funcionamiento y las acciones desarrolladas por la Secretaría de Seguridad Pública y Protección Ciudadana en materia de atención, protección y seguridad de las mujeres desde un enfoque de derechos humanos y perspectiva de género para el municipio en el periodo de 1 de octubre de 2021 a 31 de mayo de 2025</w:t>
      </w:r>
      <w:r w:rsidR="00C5067B">
        <w:rPr>
          <w:rFonts w:ascii="Times New Roman" w:eastAsia="Times New Roman" w:hAnsi="Times New Roman"/>
          <w:i/>
          <w:color w:val="4472C4" w:themeColor="accent5"/>
          <w:sz w:val="18"/>
          <w:szCs w:val="18"/>
          <w:lang w:eastAsia="es-MX"/>
        </w:rPr>
        <w:t>…”</w:t>
      </w:r>
    </w:p>
    <w:p w:rsidR="00C5067B" w:rsidRPr="007F26C0" w:rsidRDefault="00C5067B" w:rsidP="00C5067B">
      <w:pPr>
        <w:spacing w:after="0"/>
        <w:rPr>
          <w:rFonts w:ascii="Times New Roman" w:eastAsia="Times New Roman" w:hAnsi="Times New Roman"/>
          <w:i/>
          <w:color w:val="4472C4" w:themeColor="accent5"/>
          <w:sz w:val="18"/>
          <w:szCs w:val="18"/>
          <w:lang w:eastAsia="es-MX"/>
        </w:rPr>
      </w:pPr>
    </w:p>
    <w:p w:rsidR="00DD2DC5" w:rsidRPr="007B0D90" w:rsidRDefault="00DD2DC5" w:rsidP="00DD2DC5">
      <w:pPr>
        <w:pStyle w:val="corte4fondo"/>
        <w:spacing w:line="276" w:lineRule="auto"/>
        <w:ind w:firstLine="0"/>
        <w:rPr>
          <w:rFonts w:cs="Arial"/>
          <w:color w:val="4472C4" w:themeColor="accent5"/>
          <w:sz w:val="22"/>
          <w:szCs w:val="22"/>
          <w:lang w:val="es-MX"/>
        </w:rPr>
      </w:pPr>
      <w:r w:rsidRPr="007B0D90">
        <w:rPr>
          <w:rFonts w:cs="Arial"/>
          <w:bCs/>
          <w:i/>
          <w:color w:val="4472C4" w:themeColor="accent5"/>
          <w:sz w:val="22"/>
          <w:szCs w:val="22"/>
        </w:rPr>
        <w:t xml:space="preserve">          </w:t>
      </w:r>
      <w:r w:rsidRPr="007B0D90">
        <w:rPr>
          <w:rFonts w:cs="Arial"/>
          <w:color w:val="4472C4" w:themeColor="accent5"/>
          <w:sz w:val="22"/>
          <w:szCs w:val="22"/>
        </w:rPr>
        <w:t xml:space="preserve">En acatamiento al fallo aquí dictado, </w:t>
      </w:r>
      <w:r w:rsidRPr="007B0D90">
        <w:rPr>
          <w:rFonts w:cs="Arial"/>
          <w:color w:val="4472C4" w:themeColor="accent5"/>
          <w:sz w:val="22"/>
          <w:szCs w:val="22"/>
          <w:lang w:val="es-MX"/>
        </w:rPr>
        <w:t xml:space="preserve">por conducto de la Unidad de </w:t>
      </w:r>
      <w:r w:rsidR="007F26C0" w:rsidRPr="007B0D90">
        <w:rPr>
          <w:rFonts w:cs="Arial"/>
          <w:color w:val="4472C4" w:themeColor="accent5"/>
          <w:sz w:val="22"/>
          <w:szCs w:val="22"/>
          <w:lang w:val="es-MX"/>
        </w:rPr>
        <w:t xml:space="preserve">Transparencia del </w:t>
      </w:r>
      <w:r w:rsidRPr="007B0D90">
        <w:rPr>
          <w:rFonts w:cs="Arial"/>
          <w:color w:val="4472C4" w:themeColor="accent5"/>
          <w:sz w:val="22"/>
          <w:szCs w:val="22"/>
          <w:lang w:val="es-MX"/>
        </w:rPr>
        <w:t>sujeto obligado, presentó ante esta Comisión vía correo electrónico</w:t>
      </w:r>
      <w:r w:rsidR="007F26C0" w:rsidRPr="007B0D90">
        <w:rPr>
          <w:rFonts w:cs="Arial"/>
          <w:color w:val="4472C4" w:themeColor="accent5"/>
          <w:sz w:val="22"/>
          <w:szCs w:val="22"/>
          <w:lang w:val="es-MX"/>
        </w:rPr>
        <w:t xml:space="preserve"> el oficio sin número</w:t>
      </w:r>
      <w:r w:rsidR="00C5067B">
        <w:rPr>
          <w:rFonts w:cs="Arial"/>
          <w:color w:val="4472C4" w:themeColor="accent5"/>
          <w:sz w:val="22"/>
          <w:szCs w:val="22"/>
          <w:lang w:val="es-MX"/>
        </w:rPr>
        <w:t>,</w:t>
      </w:r>
      <w:r w:rsidR="007F26C0" w:rsidRPr="007B0D90">
        <w:rPr>
          <w:rFonts w:cs="Arial"/>
          <w:color w:val="4472C4" w:themeColor="accent5"/>
          <w:sz w:val="22"/>
          <w:szCs w:val="22"/>
          <w:lang w:val="es-MX"/>
        </w:rPr>
        <w:t xml:space="preserve"> de 12 doce de octubre de 2025</w:t>
      </w:r>
      <w:r w:rsidR="00C5067B">
        <w:rPr>
          <w:rFonts w:cs="Arial"/>
          <w:color w:val="4472C4" w:themeColor="accent5"/>
          <w:sz w:val="22"/>
          <w:szCs w:val="22"/>
          <w:lang w:val="es-MX"/>
        </w:rPr>
        <w:t>,</w:t>
      </w:r>
      <w:r w:rsidR="007F26C0" w:rsidRPr="007B0D90">
        <w:rPr>
          <w:rFonts w:cs="Arial"/>
          <w:color w:val="4472C4" w:themeColor="accent5"/>
          <w:sz w:val="22"/>
          <w:szCs w:val="22"/>
          <w:lang w:val="es-MX"/>
        </w:rPr>
        <w:t xml:space="preserve"> mediante el cual</w:t>
      </w:r>
      <w:r w:rsidR="00C5067B">
        <w:rPr>
          <w:rFonts w:cs="Arial"/>
          <w:color w:val="4472C4" w:themeColor="accent5"/>
          <w:sz w:val="22"/>
          <w:szCs w:val="22"/>
          <w:lang w:val="es-MX"/>
        </w:rPr>
        <w:t xml:space="preserve"> remite en formato digital la información en atención a lo solicitado por el peticionario, es decir, </w:t>
      </w:r>
      <w:r w:rsidR="007F26C0" w:rsidRPr="007B0D90">
        <w:rPr>
          <w:rFonts w:cs="Arial"/>
          <w:color w:val="4472C4" w:themeColor="accent5"/>
          <w:sz w:val="22"/>
          <w:szCs w:val="22"/>
          <w:lang w:val="es-MX"/>
        </w:rPr>
        <w:t xml:space="preserve"> informa el cumplimiento</w:t>
      </w:r>
      <w:r w:rsidRPr="007B0D90">
        <w:rPr>
          <w:rFonts w:cs="Arial"/>
          <w:color w:val="4472C4" w:themeColor="accent5"/>
          <w:sz w:val="22"/>
          <w:szCs w:val="22"/>
          <w:lang w:val="es-MX"/>
        </w:rPr>
        <w:t>.</w:t>
      </w:r>
    </w:p>
    <w:p w:rsidR="00DD2DC5" w:rsidRPr="007B0D90" w:rsidRDefault="00DD2DC5" w:rsidP="00DD2DC5">
      <w:pPr>
        <w:pStyle w:val="corte4fondo"/>
        <w:spacing w:line="276" w:lineRule="auto"/>
        <w:ind w:firstLine="0"/>
        <w:rPr>
          <w:rFonts w:cs="Arial"/>
          <w:bCs/>
          <w:i/>
          <w:color w:val="4472C4" w:themeColor="accent5"/>
          <w:sz w:val="22"/>
          <w:szCs w:val="22"/>
        </w:rPr>
      </w:pPr>
      <w:r w:rsidRPr="007B0D90">
        <w:rPr>
          <w:rFonts w:cs="Arial"/>
          <w:bCs/>
          <w:i/>
          <w:color w:val="4472C4" w:themeColor="accent5"/>
          <w:sz w:val="22"/>
          <w:szCs w:val="22"/>
        </w:rPr>
        <w:tab/>
      </w:r>
    </w:p>
    <w:p w:rsidR="00DD2DC5" w:rsidRPr="007B0D90" w:rsidRDefault="00DD2DC5" w:rsidP="00DD2DC5">
      <w:pPr>
        <w:pStyle w:val="corte4fondo"/>
        <w:spacing w:line="276" w:lineRule="auto"/>
        <w:ind w:firstLine="708"/>
        <w:rPr>
          <w:rFonts w:cs="Arial"/>
          <w:color w:val="4472C4" w:themeColor="accent5"/>
          <w:sz w:val="22"/>
          <w:szCs w:val="22"/>
        </w:rPr>
      </w:pPr>
      <w:r w:rsidRPr="007B0D90">
        <w:rPr>
          <w:rFonts w:cs="Arial"/>
          <w:color w:val="4472C4" w:themeColor="accent5"/>
          <w:sz w:val="22"/>
          <w:szCs w:val="22"/>
        </w:rPr>
        <w:lastRenderedPageBreak/>
        <w:t>En virtud de lo anterior y, para efecto de tener certeza de que el recurrente tuviera en su poder la información que se ordenó entregar en el fallo aquí dictado, a través del proveído de</w:t>
      </w:r>
      <w:r w:rsidRPr="007B0D90">
        <w:rPr>
          <w:rFonts w:cs="Arial"/>
          <w:color w:val="4472C4" w:themeColor="accent5"/>
          <w:sz w:val="22"/>
          <w:szCs w:val="22"/>
          <w:lang w:val="es-MX"/>
        </w:rPr>
        <w:t xml:space="preserve"> </w:t>
      </w:r>
      <w:r w:rsidR="002E660E" w:rsidRPr="007B0D90">
        <w:rPr>
          <w:rFonts w:cs="Arial"/>
          <w:color w:val="4472C4" w:themeColor="accent5"/>
          <w:sz w:val="22"/>
          <w:szCs w:val="22"/>
          <w:lang w:val="es-MX"/>
        </w:rPr>
        <w:t xml:space="preserve">18 dieciocho de septiembre </w:t>
      </w:r>
      <w:r w:rsidRPr="007B0D90">
        <w:rPr>
          <w:rFonts w:cs="Arial"/>
          <w:color w:val="4472C4" w:themeColor="accent5"/>
          <w:sz w:val="22"/>
          <w:szCs w:val="22"/>
          <w:lang w:val="es-MX"/>
        </w:rPr>
        <w:t>de 2025 dos mil veinticinco</w:t>
      </w:r>
      <w:r w:rsidRPr="007B0D90">
        <w:rPr>
          <w:rFonts w:cs="Arial"/>
          <w:color w:val="4472C4" w:themeColor="accent5"/>
          <w:sz w:val="22"/>
          <w:szCs w:val="22"/>
        </w:rPr>
        <w:t>, esta Comisión otorgó vista a la parte recurrente con las constancias remitidas por el sujeto obligado, para efecto que dentro del término de 05 cinco días hábiles manifestara alguna inconformidad sobre la información que el sujeto obligado remitió en cumplimiento al fallo dictado, o bien, aportara probanza alguna que desvirtuara las documentales presentadas por éste, sin embargo, de una revisión a los presentes autos, no desprende documento alguno del que se advierta que hubiera desahogado la vista otorgada, no obstante de estar debidamente notificado tal como se aprecia a foja</w:t>
      </w:r>
      <w:r w:rsidRPr="007B0D90">
        <w:rPr>
          <w:rFonts w:cs="Arial"/>
          <w:color w:val="4472C4" w:themeColor="accent5"/>
          <w:sz w:val="22"/>
          <w:szCs w:val="22"/>
          <w:lang w:val="es-MX"/>
        </w:rPr>
        <w:t xml:space="preserve"> </w:t>
      </w:r>
      <w:r w:rsidR="007B0D90" w:rsidRPr="007B0D90">
        <w:rPr>
          <w:rFonts w:cs="Arial"/>
          <w:color w:val="4472C4" w:themeColor="accent5"/>
          <w:sz w:val="22"/>
          <w:szCs w:val="22"/>
          <w:lang w:val="es-MX"/>
        </w:rPr>
        <w:t>52</w:t>
      </w:r>
      <w:r w:rsidRPr="007B0D90">
        <w:rPr>
          <w:rFonts w:cs="Arial"/>
          <w:color w:val="4472C4" w:themeColor="accent5"/>
          <w:sz w:val="22"/>
          <w:szCs w:val="22"/>
          <w:lang w:val="es-MX"/>
        </w:rPr>
        <w:t xml:space="preserve"> </w:t>
      </w:r>
      <w:r w:rsidRPr="007B0D90">
        <w:rPr>
          <w:rFonts w:cs="Arial"/>
          <w:color w:val="4472C4" w:themeColor="accent5"/>
          <w:sz w:val="22"/>
          <w:szCs w:val="22"/>
        </w:rPr>
        <w:t xml:space="preserve">de autos, por lo que, ante tal omisión se tiene a la parte recurrente por conforme con la información que le fue entregada y notificada. </w:t>
      </w:r>
    </w:p>
    <w:p w:rsidR="00DD2DC5" w:rsidRPr="007B0D90" w:rsidRDefault="00DD2DC5" w:rsidP="00DD2DC5">
      <w:pPr>
        <w:pStyle w:val="Sinespaciado"/>
        <w:spacing w:line="276" w:lineRule="auto"/>
        <w:ind w:firstLine="360"/>
        <w:jc w:val="both"/>
        <w:rPr>
          <w:rFonts w:ascii="Arial" w:hAnsi="Arial" w:cs="Arial"/>
          <w:color w:val="4472C4" w:themeColor="accent5"/>
          <w:lang w:val="es-ES"/>
        </w:rPr>
      </w:pPr>
    </w:p>
    <w:p w:rsidR="00DD2DC5" w:rsidRPr="007B0D90" w:rsidRDefault="00DD2DC5" w:rsidP="00DD2DC5">
      <w:pPr>
        <w:pStyle w:val="NormalWeb"/>
        <w:spacing w:before="0" w:beforeAutospacing="0" w:after="0" w:afterAutospacing="0" w:line="276" w:lineRule="auto"/>
        <w:ind w:firstLine="708"/>
        <w:jc w:val="both"/>
        <w:rPr>
          <w:rFonts w:ascii="Arial" w:hAnsi="Arial" w:cs="Arial"/>
          <w:color w:val="4472C4" w:themeColor="accent5"/>
          <w:sz w:val="22"/>
          <w:szCs w:val="22"/>
          <w:lang w:eastAsia="es-MX"/>
        </w:rPr>
      </w:pPr>
      <w:r w:rsidRPr="007B0D90">
        <w:rPr>
          <w:rFonts w:ascii="Arial" w:hAnsi="Arial" w:cs="Arial"/>
          <w:color w:val="4472C4" w:themeColor="accent5"/>
          <w:sz w:val="22"/>
          <w:szCs w:val="22"/>
          <w:lang w:eastAsia="es-MX"/>
        </w:rPr>
        <w:t xml:space="preserve">En consecuencia, con fundamento en los artículos 27, 181 y 185 de la Ley de Transparencia y Acceso a la Información Pública del Estado, </w:t>
      </w:r>
      <w:r w:rsidRPr="007B0D90">
        <w:rPr>
          <w:rFonts w:ascii="Arial" w:hAnsi="Arial" w:cs="Arial"/>
          <w:b/>
          <w:color w:val="4472C4" w:themeColor="accent5"/>
          <w:sz w:val="22"/>
          <w:szCs w:val="22"/>
          <w:lang w:eastAsia="es-MX"/>
        </w:rPr>
        <w:t xml:space="preserve">se tiene por cumplida la resolución de </w:t>
      </w:r>
      <w:r w:rsidR="007B0D90" w:rsidRPr="007B0D90">
        <w:rPr>
          <w:rFonts w:ascii="Arial" w:hAnsi="Arial" w:cs="Arial"/>
          <w:b/>
          <w:color w:val="4472C4" w:themeColor="accent5"/>
          <w:sz w:val="22"/>
          <w:szCs w:val="22"/>
          <w:lang w:eastAsia="es-MX"/>
        </w:rPr>
        <w:t xml:space="preserve">06 seis de agosto </w:t>
      </w:r>
      <w:r w:rsidRPr="007B0D90">
        <w:rPr>
          <w:rFonts w:ascii="Arial" w:hAnsi="Arial" w:cs="Arial"/>
          <w:b/>
          <w:color w:val="4472C4" w:themeColor="accent5"/>
          <w:sz w:val="22"/>
          <w:szCs w:val="22"/>
          <w:lang w:eastAsia="es-MX"/>
        </w:rPr>
        <w:t xml:space="preserve">de 2025 dos mil veinticinco, </w:t>
      </w:r>
      <w:r w:rsidRPr="007B0D90">
        <w:rPr>
          <w:rFonts w:ascii="Arial" w:hAnsi="Arial" w:cs="Arial"/>
          <w:color w:val="4472C4" w:themeColor="accent5"/>
          <w:sz w:val="22"/>
          <w:szCs w:val="22"/>
          <w:lang w:eastAsia="es-MX"/>
        </w:rPr>
        <w:t xml:space="preserve">dictada en el recurso de revisión </w:t>
      </w:r>
      <w:r w:rsidR="007B0D90" w:rsidRPr="007B0D90">
        <w:rPr>
          <w:rFonts w:ascii="Arial" w:hAnsi="Arial" w:cs="Arial"/>
          <w:b/>
          <w:color w:val="4472C4" w:themeColor="accent5"/>
          <w:sz w:val="22"/>
          <w:szCs w:val="22"/>
          <w:lang w:eastAsia="es-MX"/>
        </w:rPr>
        <w:t>729</w:t>
      </w:r>
      <w:r w:rsidRPr="007B0D90">
        <w:rPr>
          <w:rFonts w:ascii="Arial" w:hAnsi="Arial" w:cs="Arial"/>
          <w:b/>
          <w:color w:val="4472C4" w:themeColor="accent5"/>
          <w:sz w:val="22"/>
          <w:szCs w:val="22"/>
          <w:lang w:eastAsia="es-MX"/>
        </w:rPr>
        <w:t xml:space="preserve">/2025-2 </w:t>
      </w:r>
      <w:r w:rsidRPr="007B0D90">
        <w:rPr>
          <w:rFonts w:ascii="Arial" w:hAnsi="Arial" w:cs="Arial"/>
          <w:color w:val="4472C4" w:themeColor="accent5"/>
          <w:sz w:val="22"/>
          <w:szCs w:val="22"/>
          <w:lang w:eastAsia="es-MX"/>
        </w:rPr>
        <w:t xml:space="preserve">del índice de esta Comisión. </w:t>
      </w:r>
    </w:p>
    <w:p w:rsidR="00DD2DC5" w:rsidRPr="007B0D90" w:rsidRDefault="00DD2DC5" w:rsidP="00DD2DC5">
      <w:pPr>
        <w:pStyle w:val="NormalWeb"/>
        <w:spacing w:before="0" w:beforeAutospacing="0" w:after="0" w:afterAutospacing="0" w:line="276" w:lineRule="auto"/>
        <w:jc w:val="both"/>
        <w:rPr>
          <w:rFonts w:ascii="Arial" w:hAnsi="Arial" w:cs="Arial"/>
          <w:b/>
          <w:color w:val="4472C4" w:themeColor="accent5"/>
          <w:sz w:val="22"/>
          <w:szCs w:val="22"/>
          <w:lang w:eastAsia="es-MX"/>
        </w:rPr>
      </w:pPr>
    </w:p>
    <w:p w:rsidR="007B0D90" w:rsidRPr="007B0D90" w:rsidRDefault="007B0D90" w:rsidP="00DD2DC5">
      <w:pPr>
        <w:pStyle w:val="NormalWeb"/>
        <w:spacing w:before="0" w:beforeAutospacing="0" w:after="0" w:afterAutospacing="0" w:line="276" w:lineRule="auto"/>
        <w:ind w:firstLine="708"/>
        <w:jc w:val="both"/>
        <w:rPr>
          <w:rFonts w:ascii="Arial" w:hAnsi="Arial" w:cs="Arial"/>
          <w:color w:val="4472C4" w:themeColor="accent5"/>
          <w:sz w:val="22"/>
          <w:szCs w:val="22"/>
          <w:lang w:eastAsia="es-MX"/>
        </w:rPr>
      </w:pPr>
      <w:r w:rsidRPr="007B0D90">
        <w:rPr>
          <w:rFonts w:ascii="Arial" w:hAnsi="Arial" w:cs="Arial"/>
          <w:b/>
          <w:bCs/>
          <w:color w:val="4472C4" w:themeColor="accent5"/>
          <w:sz w:val="22"/>
          <w:szCs w:val="22"/>
        </w:rPr>
        <w:t>TERCERO</w:t>
      </w:r>
      <w:r w:rsidRPr="007B0D90">
        <w:rPr>
          <w:rFonts w:ascii="Arial" w:hAnsi="Arial" w:cs="Arial"/>
          <w:bCs/>
          <w:color w:val="4472C4" w:themeColor="accent5"/>
          <w:sz w:val="22"/>
          <w:szCs w:val="22"/>
        </w:rPr>
        <w:t xml:space="preserve">. </w:t>
      </w:r>
      <w:r w:rsidR="00DD2DC5" w:rsidRPr="007B0D90">
        <w:rPr>
          <w:rFonts w:ascii="Arial" w:hAnsi="Arial" w:cs="Arial"/>
          <w:bCs/>
          <w:color w:val="4472C4" w:themeColor="accent5"/>
          <w:sz w:val="22"/>
          <w:szCs w:val="22"/>
        </w:rPr>
        <w:t>Remítase en su oportunidad este expediente al Archivo de Concentración de este Órgano Colegiado</w:t>
      </w:r>
      <w:r w:rsidR="00DD2DC5" w:rsidRPr="007B0D90">
        <w:rPr>
          <w:rFonts w:ascii="Arial" w:hAnsi="Arial" w:cs="Arial"/>
          <w:color w:val="4472C4" w:themeColor="accent5"/>
          <w:sz w:val="22"/>
          <w:szCs w:val="22"/>
          <w:lang w:eastAsia="es-MX"/>
        </w:rPr>
        <w:t xml:space="preserve">. </w:t>
      </w:r>
    </w:p>
    <w:p w:rsidR="007B0D90" w:rsidRPr="007B0D90" w:rsidRDefault="007B0D90" w:rsidP="00DD2DC5">
      <w:pPr>
        <w:pStyle w:val="NormalWeb"/>
        <w:spacing w:before="0" w:beforeAutospacing="0" w:after="0" w:afterAutospacing="0" w:line="276" w:lineRule="auto"/>
        <w:ind w:firstLine="708"/>
        <w:jc w:val="both"/>
        <w:rPr>
          <w:rFonts w:ascii="Arial" w:hAnsi="Arial" w:cs="Arial"/>
          <w:color w:val="4472C4" w:themeColor="accent5"/>
          <w:sz w:val="22"/>
          <w:szCs w:val="22"/>
          <w:lang w:eastAsia="es-MX"/>
        </w:rPr>
      </w:pPr>
    </w:p>
    <w:p w:rsidR="00DD2DC5" w:rsidRPr="007B0D90" w:rsidRDefault="007B0D90" w:rsidP="00DD2DC5">
      <w:pPr>
        <w:pStyle w:val="NormalWeb"/>
        <w:spacing w:before="0" w:beforeAutospacing="0" w:after="0" w:afterAutospacing="0" w:line="276" w:lineRule="auto"/>
        <w:ind w:firstLine="708"/>
        <w:jc w:val="both"/>
        <w:rPr>
          <w:rFonts w:ascii="Arial" w:hAnsi="Arial" w:cs="Arial"/>
          <w:b/>
          <w:color w:val="4472C4" w:themeColor="accent5"/>
          <w:sz w:val="22"/>
          <w:szCs w:val="22"/>
          <w:lang w:eastAsia="es-MX"/>
        </w:rPr>
      </w:pPr>
      <w:r w:rsidRPr="007B0D90">
        <w:rPr>
          <w:rFonts w:ascii="Arial" w:hAnsi="Arial" w:cs="Arial"/>
          <w:b/>
          <w:color w:val="4472C4" w:themeColor="accent5"/>
          <w:sz w:val="22"/>
          <w:szCs w:val="22"/>
          <w:lang w:eastAsia="es-MX"/>
        </w:rPr>
        <w:t>CUARTO</w:t>
      </w:r>
      <w:r w:rsidRPr="007B0D90">
        <w:rPr>
          <w:rFonts w:ascii="Arial" w:hAnsi="Arial" w:cs="Arial"/>
          <w:color w:val="4472C4" w:themeColor="accent5"/>
          <w:sz w:val="22"/>
          <w:szCs w:val="22"/>
          <w:lang w:eastAsia="es-MX"/>
        </w:rPr>
        <w:t xml:space="preserve">. </w:t>
      </w:r>
      <w:r w:rsidR="00DD2DC5" w:rsidRPr="007B0D90">
        <w:rPr>
          <w:rFonts w:ascii="Arial" w:hAnsi="Arial" w:cs="Arial"/>
          <w:b/>
          <w:color w:val="4472C4" w:themeColor="accent5"/>
          <w:sz w:val="22"/>
          <w:szCs w:val="22"/>
          <w:lang w:eastAsia="es-MX"/>
        </w:rPr>
        <w:t xml:space="preserve">Notifíquese por lista de acuerdos. </w:t>
      </w:r>
    </w:p>
    <w:p w:rsidR="00DD2DC5" w:rsidRPr="007B0D90" w:rsidRDefault="00DD2DC5" w:rsidP="00DD2DC5">
      <w:pPr>
        <w:widowControl w:val="0"/>
        <w:tabs>
          <w:tab w:val="left" w:pos="567"/>
        </w:tabs>
        <w:suppressAutoHyphens/>
        <w:autoSpaceDN w:val="0"/>
        <w:spacing w:after="0"/>
        <w:jc w:val="both"/>
        <w:textAlignment w:val="baseline"/>
        <w:rPr>
          <w:rFonts w:ascii="Arial" w:eastAsia="Times New Roman" w:hAnsi="Arial" w:cs="Arial"/>
          <w:b/>
          <w:color w:val="5B9BD5" w:themeColor="accent1"/>
          <w:kern w:val="3"/>
          <w:u w:val="single"/>
          <w:lang w:eastAsia="es-ES"/>
        </w:rPr>
      </w:pPr>
    </w:p>
    <w:p w:rsidR="00DD2DC5" w:rsidRPr="007B0D90" w:rsidRDefault="00DD2DC5" w:rsidP="00DD2DC5">
      <w:pPr>
        <w:suppressAutoHyphens/>
        <w:autoSpaceDN w:val="0"/>
        <w:spacing w:after="0"/>
        <w:ind w:firstLine="708"/>
        <w:jc w:val="both"/>
        <w:textAlignment w:val="baseline"/>
        <w:rPr>
          <w:rFonts w:ascii="Arial" w:eastAsia="Times New Roman" w:hAnsi="Arial" w:cs="Arial"/>
          <w:color w:val="548DD4"/>
          <w:kern w:val="3"/>
          <w:lang w:eastAsia="es-ES"/>
        </w:rPr>
      </w:pPr>
      <w:r w:rsidRPr="007B0D90">
        <w:rPr>
          <w:rFonts w:ascii="Arial" w:eastAsia="Times New Roman" w:hAnsi="Arial" w:cs="Arial"/>
          <w:color w:val="548DD4"/>
          <w:kern w:val="3"/>
          <w:lang w:eastAsia="es-ES"/>
        </w:rPr>
        <w:t>Así lo acordó y firma María Guadalupe Martínez Sandoval, Secretaría Proyectista, Adscrita a la Ponencia Dos, de la Comisión Estatal de Garantía de Acceso a la Información Pública de San Luis Potosí, que actúa de conformidad con la fracción VII, del artículo 51, del Reglamento Interior de la Comisión Estatal de Garantía de Acceso a la Información Pública, reformado mediante acuerdo de Pleno número CEGAIP-738/2023. S.O.</w:t>
      </w:r>
    </w:p>
    <w:p w:rsidR="00DD2DC5" w:rsidRPr="007B0D90" w:rsidRDefault="00DD2DC5" w:rsidP="00DD2DC5">
      <w:pPr>
        <w:suppressAutoHyphens/>
        <w:autoSpaceDN w:val="0"/>
        <w:spacing w:after="0"/>
        <w:jc w:val="both"/>
        <w:textAlignment w:val="baseline"/>
        <w:rPr>
          <w:rFonts w:ascii="Arial" w:eastAsia="Times New Roman" w:hAnsi="Arial" w:cs="Arial"/>
          <w:color w:val="548DD4"/>
          <w:kern w:val="3"/>
          <w:lang w:eastAsia="es-ES"/>
        </w:rPr>
      </w:pPr>
    </w:p>
    <w:p w:rsidR="00DD2DC5" w:rsidRPr="007B0D90" w:rsidRDefault="00DD2DC5" w:rsidP="00DD2DC5">
      <w:pPr>
        <w:suppressAutoHyphens/>
        <w:autoSpaceDN w:val="0"/>
        <w:spacing w:after="0"/>
        <w:jc w:val="both"/>
        <w:textAlignment w:val="baseline"/>
        <w:rPr>
          <w:rFonts w:ascii="Arial" w:eastAsia="Times New Roman" w:hAnsi="Arial" w:cs="Arial"/>
          <w:color w:val="548DD4"/>
          <w:kern w:val="3"/>
          <w:lang w:eastAsia="es-ES"/>
        </w:rPr>
      </w:pPr>
    </w:p>
    <w:p w:rsidR="00DD2DC5" w:rsidRPr="007B0D90" w:rsidRDefault="00DD2DC5" w:rsidP="00DD2DC5">
      <w:pPr>
        <w:suppressAutoHyphens/>
        <w:autoSpaceDN w:val="0"/>
        <w:spacing w:after="0"/>
        <w:jc w:val="center"/>
        <w:textAlignment w:val="baseline"/>
        <w:rPr>
          <w:rFonts w:ascii="Arial" w:eastAsia="Times New Roman" w:hAnsi="Arial" w:cs="Arial"/>
          <w:color w:val="548DD4"/>
          <w:kern w:val="3"/>
          <w:lang w:eastAsia="es-ES"/>
        </w:rPr>
      </w:pPr>
      <w:r w:rsidRPr="007B0D90">
        <w:rPr>
          <w:rFonts w:ascii="Arial" w:eastAsia="Times New Roman" w:hAnsi="Arial" w:cs="Arial"/>
          <w:color w:val="548DD4"/>
          <w:kern w:val="3"/>
          <w:lang w:eastAsia="es-ES"/>
        </w:rPr>
        <w:t>María Guadalupe Martínez Sandoval</w:t>
      </w:r>
    </w:p>
    <w:p w:rsidR="00DD2DC5" w:rsidRPr="007B0D90" w:rsidRDefault="00DD2DC5" w:rsidP="00DD2DC5">
      <w:pPr>
        <w:suppressAutoHyphens/>
        <w:autoSpaceDN w:val="0"/>
        <w:spacing w:after="0"/>
        <w:jc w:val="center"/>
        <w:textAlignment w:val="baseline"/>
        <w:rPr>
          <w:rFonts w:ascii="Arial" w:eastAsia="Times New Roman" w:hAnsi="Arial" w:cs="Arial"/>
          <w:color w:val="548DD4"/>
          <w:kern w:val="3"/>
          <w:lang w:eastAsia="es-ES"/>
        </w:rPr>
      </w:pPr>
      <w:r w:rsidRPr="007B0D90">
        <w:rPr>
          <w:rFonts w:ascii="Arial" w:eastAsia="Times New Roman" w:hAnsi="Arial" w:cs="Arial"/>
          <w:color w:val="548DD4"/>
          <w:kern w:val="3"/>
          <w:lang w:eastAsia="es-ES"/>
        </w:rPr>
        <w:t>Secretaria Proyectista</w:t>
      </w:r>
    </w:p>
    <w:p w:rsidR="00DD2DC5" w:rsidRPr="007B0D90" w:rsidRDefault="00DD2DC5" w:rsidP="00DD2DC5">
      <w:pPr>
        <w:suppressAutoHyphens/>
        <w:autoSpaceDN w:val="0"/>
        <w:spacing w:after="0"/>
        <w:textAlignment w:val="baseline"/>
        <w:rPr>
          <w:rFonts w:ascii="Arial" w:eastAsia="Times New Roman" w:hAnsi="Arial" w:cs="Arial"/>
          <w:color w:val="548DD4"/>
          <w:kern w:val="3"/>
          <w:lang w:eastAsia="es-ES"/>
        </w:rPr>
      </w:pPr>
    </w:p>
    <w:p w:rsidR="00DD2DC5" w:rsidRPr="00522EF9" w:rsidRDefault="00DD2DC5" w:rsidP="00DD2DC5">
      <w:pPr>
        <w:suppressAutoHyphens/>
        <w:autoSpaceDN w:val="0"/>
        <w:spacing w:after="0"/>
        <w:jc w:val="center"/>
        <w:textAlignment w:val="baseline"/>
        <w:rPr>
          <w:rFonts w:ascii="Arial" w:eastAsia="Times New Roman" w:hAnsi="Arial" w:cs="Arial"/>
          <w:color w:val="548DD4"/>
          <w:kern w:val="3"/>
          <w:sz w:val="24"/>
          <w:szCs w:val="24"/>
          <w:lang w:eastAsia="es-ES"/>
        </w:rPr>
      </w:pPr>
    </w:p>
    <w:p w:rsidR="00DD2DC5" w:rsidRPr="007B0D90" w:rsidRDefault="00DD2DC5" w:rsidP="007B0D90">
      <w:pPr>
        <w:suppressAutoHyphens/>
        <w:autoSpaceDN w:val="0"/>
        <w:spacing w:after="0"/>
        <w:ind w:firstLine="708"/>
        <w:jc w:val="both"/>
        <w:textAlignment w:val="baseline"/>
        <w:rPr>
          <w:rFonts w:ascii="Arial" w:eastAsia="Times New Roman" w:hAnsi="Arial" w:cs="Arial"/>
          <w:b/>
          <w:color w:val="548DD4"/>
          <w:kern w:val="3"/>
          <w:sz w:val="20"/>
          <w:szCs w:val="20"/>
          <w:lang w:eastAsia="es-ES"/>
        </w:rPr>
      </w:pPr>
      <w:r w:rsidRPr="007B0D90">
        <w:rPr>
          <w:rFonts w:ascii="Arial" w:eastAsia="Times New Roman" w:hAnsi="Arial" w:cs="Arial"/>
          <w:color w:val="548DD4"/>
          <w:kern w:val="3"/>
          <w:sz w:val="20"/>
          <w:szCs w:val="20"/>
          <w:lang w:eastAsia="es-ES"/>
        </w:rPr>
        <w:t xml:space="preserve">A las ocho horas del día _________ de _________________ </w:t>
      </w:r>
      <w:proofErr w:type="spellStart"/>
      <w:r w:rsidRPr="007B0D90">
        <w:rPr>
          <w:rFonts w:ascii="Arial" w:eastAsia="Times New Roman" w:hAnsi="Arial" w:cs="Arial"/>
          <w:color w:val="548DD4"/>
          <w:kern w:val="3"/>
          <w:sz w:val="20"/>
          <w:szCs w:val="20"/>
          <w:lang w:eastAsia="es-ES"/>
        </w:rPr>
        <w:t>de</w:t>
      </w:r>
      <w:proofErr w:type="spellEnd"/>
      <w:r w:rsidRPr="007B0D90">
        <w:rPr>
          <w:rFonts w:ascii="Arial" w:eastAsia="Times New Roman" w:hAnsi="Arial" w:cs="Arial"/>
          <w:color w:val="548DD4"/>
          <w:kern w:val="3"/>
          <w:sz w:val="20"/>
          <w:szCs w:val="20"/>
          <w:lang w:eastAsia="es-ES"/>
        </w:rPr>
        <w:t xml:space="preserve"> _______________,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 - - - - - -</w:t>
      </w:r>
      <w:r w:rsidRPr="007B0D90">
        <w:rPr>
          <w:rFonts w:ascii="Arial" w:eastAsia="Times New Roman" w:hAnsi="Arial" w:cs="Arial"/>
          <w:b/>
          <w:color w:val="548DD4"/>
          <w:kern w:val="3"/>
          <w:sz w:val="20"/>
          <w:szCs w:val="20"/>
          <w:lang w:eastAsia="es-ES"/>
        </w:rPr>
        <w:t>DOY FE</w:t>
      </w:r>
      <w:r w:rsidRPr="007B0D90">
        <w:rPr>
          <w:rFonts w:ascii="Arial" w:eastAsia="Times New Roman" w:hAnsi="Arial" w:cs="Arial"/>
          <w:color w:val="548DD4"/>
          <w:kern w:val="3"/>
          <w:sz w:val="20"/>
          <w:szCs w:val="20"/>
          <w:lang w:eastAsia="es-ES"/>
        </w:rPr>
        <w:t xml:space="preserve">- - - - - - - - - - - - - - - - - - - - - - - - - - </w:t>
      </w:r>
    </w:p>
    <w:p w:rsidR="00DD2DC5" w:rsidRPr="007B0D90" w:rsidRDefault="00DD2DC5" w:rsidP="00DD2DC5">
      <w:pPr>
        <w:suppressAutoHyphens/>
        <w:autoSpaceDN w:val="0"/>
        <w:spacing w:after="0"/>
        <w:jc w:val="both"/>
        <w:textAlignment w:val="baseline"/>
        <w:rPr>
          <w:rFonts w:ascii="Arial" w:eastAsia="Times New Roman" w:hAnsi="Arial" w:cs="Arial"/>
          <w:b/>
          <w:color w:val="548DD4"/>
          <w:kern w:val="3"/>
          <w:sz w:val="20"/>
          <w:szCs w:val="20"/>
          <w:lang w:eastAsia="es-ES"/>
        </w:rPr>
      </w:pPr>
    </w:p>
    <w:p w:rsidR="00DD2DC5" w:rsidRPr="007B0D90" w:rsidRDefault="00DD2DC5" w:rsidP="00DD2DC5">
      <w:pPr>
        <w:suppressAutoHyphens/>
        <w:autoSpaceDN w:val="0"/>
        <w:spacing w:after="0"/>
        <w:jc w:val="both"/>
        <w:textAlignment w:val="baseline"/>
        <w:rPr>
          <w:rFonts w:ascii="Arial" w:eastAsia="Times New Roman" w:hAnsi="Arial" w:cs="Arial"/>
          <w:b/>
          <w:color w:val="548DD4"/>
          <w:kern w:val="3"/>
          <w:sz w:val="20"/>
          <w:szCs w:val="20"/>
          <w:lang w:eastAsia="es-ES"/>
        </w:rPr>
      </w:pPr>
    </w:p>
    <w:p w:rsidR="00DD2DC5" w:rsidRPr="007B0D90" w:rsidRDefault="00DD2DC5" w:rsidP="00DD2DC5">
      <w:pPr>
        <w:suppressAutoHyphens/>
        <w:autoSpaceDN w:val="0"/>
        <w:spacing w:after="0"/>
        <w:jc w:val="center"/>
        <w:textAlignment w:val="baseline"/>
        <w:rPr>
          <w:rFonts w:ascii="Arial" w:eastAsia="Times New Roman" w:hAnsi="Arial" w:cs="Arial"/>
          <w:b/>
          <w:color w:val="548DD4"/>
          <w:kern w:val="3"/>
          <w:sz w:val="20"/>
          <w:szCs w:val="20"/>
          <w:lang w:eastAsia="es-ES"/>
        </w:rPr>
      </w:pPr>
      <w:r w:rsidRPr="007B0D90">
        <w:rPr>
          <w:rFonts w:ascii="Arial" w:eastAsia="Times New Roman" w:hAnsi="Arial" w:cs="Arial"/>
          <w:b/>
          <w:color w:val="548DD4"/>
          <w:kern w:val="3"/>
          <w:sz w:val="20"/>
          <w:szCs w:val="20"/>
          <w:lang w:eastAsia="es-ES"/>
        </w:rPr>
        <w:t>Javier Pérez Limón</w:t>
      </w:r>
    </w:p>
    <w:p w:rsidR="007B0D90" w:rsidRDefault="00DD2DC5" w:rsidP="007B0D90">
      <w:pPr>
        <w:suppressAutoHyphens/>
        <w:autoSpaceDN w:val="0"/>
        <w:spacing w:after="0"/>
        <w:jc w:val="center"/>
        <w:textAlignment w:val="baseline"/>
        <w:rPr>
          <w:rFonts w:ascii="Arial" w:eastAsia="Times New Roman" w:hAnsi="Arial" w:cs="Arial"/>
          <w:b/>
          <w:color w:val="548DD4"/>
          <w:kern w:val="3"/>
          <w:sz w:val="20"/>
          <w:szCs w:val="20"/>
          <w:lang w:eastAsia="es-ES"/>
        </w:rPr>
      </w:pPr>
      <w:r w:rsidRPr="007B0D90">
        <w:rPr>
          <w:rFonts w:ascii="Arial" w:eastAsia="Times New Roman" w:hAnsi="Arial" w:cs="Arial"/>
          <w:b/>
          <w:color w:val="548DD4"/>
          <w:kern w:val="3"/>
          <w:sz w:val="20"/>
          <w:szCs w:val="20"/>
          <w:lang w:eastAsia="es-ES"/>
        </w:rPr>
        <w:t>Notificador</w:t>
      </w:r>
    </w:p>
    <w:p w:rsidR="00DD2DC5" w:rsidRPr="007B0D90" w:rsidRDefault="00DD2DC5" w:rsidP="007B0D90">
      <w:pPr>
        <w:suppressAutoHyphens/>
        <w:autoSpaceDN w:val="0"/>
        <w:spacing w:after="0"/>
        <w:textAlignment w:val="baseline"/>
        <w:rPr>
          <w:rFonts w:ascii="Arial" w:eastAsia="Times New Roman" w:hAnsi="Arial" w:cs="Arial"/>
          <w:color w:val="548DD4"/>
          <w:kern w:val="3"/>
          <w:sz w:val="20"/>
          <w:szCs w:val="20"/>
          <w:lang w:eastAsia="es-ES"/>
        </w:rPr>
      </w:pPr>
      <w:r w:rsidRPr="007B0D90">
        <w:rPr>
          <w:rFonts w:ascii="Arial" w:eastAsia="SimSun" w:hAnsi="Arial" w:cs="Arial"/>
          <w:i/>
          <w:color w:val="5B9BD5" w:themeColor="accent1"/>
          <w:kern w:val="3"/>
          <w:sz w:val="14"/>
          <w:szCs w:val="14"/>
          <w:lang w:eastAsia="es-ES"/>
        </w:rPr>
        <w:t>MEMH</w:t>
      </w:r>
    </w:p>
    <w:p w:rsidR="001B4568" w:rsidRPr="007B0D90" w:rsidRDefault="001B4568">
      <w:pPr>
        <w:rPr>
          <w:sz w:val="20"/>
          <w:szCs w:val="20"/>
        </w:rPr>
      </w:pPr>
    </w:p>
    <w:sectPr w:rsidR="001B4568" w:rsidRPr="007B0D90" w:rsidSect="006C20C5">
      <w:headerReference w:type="default" r:id="rId7"/>
      <w:footerReference w:type="default" r:id="rId8"/>
      <w:pgSz w:w="12240" w:h="20160" w:code="5"/>
      <w:pgMar w:top="2552" w:right="851" w:bottom="283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1CA3" w:rsidRDefault="009D1CA3" w:rsidP="00DD2DC5">
      <w:pPr>
        <w:spacing w:after="0" w:line="240" w:lineRule="auto"/>
      </w:pPr>
      <w:r>
        <w:separator/>
      </w:r>
    </w:p>
  </w:endnote>
  <w:endnote w:type="continuationSeparator" w:id="0">
    <w:p w:rsidR="009D1CA3" w:rsidRDefault="009D1CA3" w:rsidP="00DD2D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43A5" w:rsidRDefault="009D1CA3">
    <w:pPr>
      <w:pStyle w:val="Piedepgina"/>
    </w:pPr>
    <w:r>
      <w:rPr>
        <w:noProof/>
        <w:lang w:eastAsia="es-MX"/>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216.15pt;margin-top:-89.75pt;width:725pt;height:78pt;z-index:-251656192">
          <v:imagedata r:id="rId1" o:title=""/>
        </v:shape>
        <o:OLEObject Type="Embed" ProgID="PBrush" ShapeID="_x0000_s2049" DrawAspect="Content" ObjectID="_1820831540" r:id="rId2"/>
      </w:objec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1CA3" w:rsidRDefault="009D1CA3" w:rsidP="00DD2DC5">
      <w:pPr>
        <w:spacing w:after="0" w:line="240" w:lineRule="auto"/>
      </w:pPr>
      <w:r>
        <w:separator/>
      </w:r>
    </w:p>
  </w:footnote>
  <w:footnote w:type="continuationSeparator" w:id="0">
    <w:p w:rsidR="009D1CA3" w:rsidRDefault="009D1CA3" w:rsidP="00DD2D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179C" w:rsidRDefault="009D1CA3">
    <w:pPr>
      <w:pStyle w:val="Encabezado"/>
      <w:rPr>
        <w:rFonts w:ascii="Arial" w:hAnsi="Arial" w:cs="Arial"/>
        <w:b/>
        <w:sz w:val="24"/>
        <w:szCs w:val="24"/>
      </w:rPr>
    </w:pPr>
    <w:r>
      <w:rPr>
        <w:rFonts w:ascii="Arial" w:hAnsi="Arial" w:cs="Arial"/>
        <w:b/>
        <w:noProof/>
        <w:sz w:val="24"/>
        <w:szCs w:val="24"/>
        <w:lang w:eastAsia="es-MX"/>
      </w:rPr>
      <w:drawing>
        <wp:anchor distT="0" distB="0" distL="114300" distR="114300" simplePos="0" relativeHeight="251659264" behindDoc="1" locked="0" layoutInCell="1" allowOverlap="1" wp14:anchorId="1A13E303" wp14:editId="07F8A4FD">
          <wp:simplePos x="0" y="0"/>
          <wp:positionH relativeFrom="column">
            <wp:posOffset>-1061085</wp:posOffset>
          </wp:positionH>
          <wp:positionV relativeFrom="paragraph">
            <wp:posOffset>-449580</wp:posOffset>
          </wp:positionV>
          <wp:extent cx="8191500" cy="1188720"/>
          <wp:effectExtent l="0" t="0" r="0" b="0"/>
          <wp:wrapNone/>
          <wp:docPr id="1"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
                    <a:extLst>
                      <a:ext uri="{28A0092B-C50C-407E-A947-70E740481C1C}">
                        <a14:useLocalDpi xmlns:a14="http://schemas.microsoft.com/office/drawing/2010/main" val="0"/>
                      </a:ext>
                    </a:extLst>
                  </a:blip>
                  <a:srcRect b="12791"/>
                  <a:stretch>
                    <a:fillRect/>
                  </a:stretch>
                </pic:blipFill>
                <pic:spPr bwMode="auto">
                  <a:xfrm>
                    <a:off x="0" y="0"/>
                    <a:ext cx="8191500" cy="1188720"/>
                  </a:xfrm>
                  <a:prstGeom prst="rect">
                    <a:avLst/>
                  </a:prstGeom>
                  <a:noFill/>
                </pic:spPr>
              </pic:pic>
            </a:graphicData>
          </a:graphic>
        </wp:anchor>
      </w:drawing>
    </w:r>
  </w:p>
  <w:p w:rsidR="00971927" w:rsidRPr="004765D2" w:rsidRDefault="009D1CA3" w:rsidP="004765D2">
    <w:pPr>
      <w:pStyle w:val="Encabezado"/>
      <w:jc w:val="right"/>
      <w:rPr>
        <w:rFonts w:ascii="Arial" w:hAnsi="Arial" w:cs="Arial"/>
        <w:b/>
        <w:color w:val="5B9BD5" w:themeColor="accent1"/>
      </w:rPr>
    </w:pPr>
    <w:r>
      <w:rPr>
        <w:rFonts w:ascii="Arial" w:hAnsi="Arial" w:cs="Arial"/>
        <w:b/>
      </w:rPr>
      <w:t xml:space="preserve">                                                                                     </w:t>
    </w:r>
    <w:r>
      <w:rPr>
        <w:rFonts w:ascii="Arial" w:hAnsi="Arial" w:cs="Arial"/>
        <w:b/>
      </w:rPr>
      <w:t xml:space="preserve">                      </w:t>
    </w:r>
    <w:r w:rsidR="00DD2DC5">
      <w:rPr>
        <w:rFonts w:ascii="Arial" w:hAnsi="Arial" w:cs="Arial"/>
        <w:b/>
        <w:color w:val="5B9BD5" w:themeColor="accent1"/>
      </w:rPr>
      <w:t xml:space="preserve">    RR-729</w:t>
    </w:r>
    <w:r w:rsidRPr="004765D2">
      <w:rPr>
        <w:rFonts w:ascii="Arial" w:hAnsi="Arial" w:cs="Arial"/>
        <w:b/>
        <w:color w:val="5B9BD5" w:themeColor="accent1"/>
      </w:rPr>
      <w:t>/20</w:t>
    </w:r>
    <w:r w:rsidRPr="004765D2">
      <w:rPr>
        <w:rFonts w:ascii="Arial" w:hAnsi="Arial" w:cs="Arial"/>
        <w:b/>
        <w:color w:val="5B9BD5" w:themeColor="accent1"/>
      </w:rPr>
      <w:t>25</w:t>
    </w:r>
    <w:r w:rsidRPr="004765D2">
      <w:rPr>
        <w:rFonts w:ascii="Arial" w:hAnsi="Arial" w:cs="Arial"/>
        <w:b/>
        <w:color w:val="5B9BD5" w:themeColor="accent1"/>
      </w:rPr>
      <w:t>-2</w:t>
    </w:r>
    <w:r w:rsidRPr="004765D2">
      <w:rPr>
        <w:rFonts w:ascii="Arial" w:hAnsi="Arial" w:cs="Arial"/>
        <w:b/>
        <w:color w:val="5B9BD5" w:themeColor="accent1"/>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B7398D"/>
    <w:multiLevelType w:val="hybridMultilevel"/>
    <w:tmpl w:val="1E261D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mirrorMargins/>
  <w:proofState w:spelling="clean" w:grammar="clean"/>
  <w:defaultTabStop w:val="708"/>
  <w:hyphenationZone w:val="425"/>
  <w:characterSpacingControl w:val="doNotCompress"/>
  <w:savePreviewPicture/>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2DC5"/>
    <w:rsid w:val="001B4568"/>
    <w:rsid w:val="001F00B9"/>
    <w:rsid w:val="002E660E"/>
    <w:rsid w:val="006C20C5"/>
    <w:rsid w:val="007B0D90"/>
    <w:rsid w:val="007F26C0"/>
    <w:rsid w:val="009D1CA3"/>
    <w:rsid w:val="00C5067B"/>
    <w:rsid w:val="00DD2D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284B8B0"/>
  <w15:chartTrackingRefBased/>
  <w15:docId w15:val="{0A80B9AC-FE02-4056-9851-467647899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2DC5"/>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D2DC5"/>
    <w:pPr>
      <w:tabs>
        <w:tab w:val="center" w:pos="4419"/>
        <w:tab w:val="right" w:pos="8838"/>
      </w:tabs>
      <w:spacing w:after="0" w:line="240" w:lineRule="auto"/>
    </w:pPr>
    <w:rPr>
      <w:sz w:val="20"/>
      <w:szCs w:val="20"/>
    </w:rPr>
  </w:style>
  <w:style w:type="character" w:customStyle="1" w:styleId="EncabezadoCar">
    <w:name w:val="Encabezado Car"/>
    <w:basedOn w:val="Fuentedeprrafopredeter"/>
    <w:link w:val="Encabezado"/>
    <w:uiPriority w:val="99"/>
    <w:rsid w:val="00DD2DC5"/>
    <w:rPr>
      <w:rFonts w:ascii="Calibri" w:eastAsia="Calibri" w:hAnsi="Calibri" w:cs="Times New Roman"/>
      <w:sz w:val="20"/>
      <w:szCs w:val="20"/>
    </w:rPr>
  </w:style>
  <w:style w:type="paragraph" w:styleId="Piedepgina">
    <w:name w:val="footer"/>
    <w:basedOn w:val="Normal"/>
    <w:link w:val="PiedepginaCar"/>
    <w:uiPriority w:val="99"/>
    <w:unhideWhenUsed/>
    <w:rsid w:val="00DD2DC5"/>
    <w:pPr>
      <w:tabs>
        <w:tab w:val="center" w:pos="4419"/>
        <w:tab w:val="right" w:pos="8838"/>
      </w:tabs>
      <w:spacing w:after="0" w:line="240" w:lineRule="auto"/>
    </w:pPr>
    <w:rPr>
      <w:sz w:val="20"/>
      <w:szCs w:val="20"/>
    </w:rPr>
  </w:style>
  <w:style w:type="character" w:customStyle="1" w:styleId="PiedepginaCar">
    <w:name w:val="Pie de página Car"/>
    <w:basedOn w:val="Fuentedeprrafopredeter"/>
    <w:link w:val="Piedepgina"/>
    <w:uiPriority w:val="99"/>
    <w:rsid w:val="00DD2DC5"/>
    <w:rPr>
      <w:rFonts w:ascii="Calibri" w:eastAsia="Calibri" w:hAnsi="Calibri" w:cs="Times New Roman"/>
      <w:sz w:val="20"/>
      <w:szCs w:val="20"/>
    </w:rPr>
  </w:style>
  <w:style w:type="paragraph" w:customStyle="1" w:styleId="corte4fondo">
    <w:name w:val="corte4 fondo"/>
    <w:basedOn w:val="Normal"/>
    <w:link w:val="corte4fondoCar1"/>
    <w:qFormat/>
    <w:rsid w:val="00DD2DC5"/>
    <w:pPr>
      <w:spacing w:after="0" w:line="360" w:lineRule="auto"/>
      <w:ind w:firstLine="709"/>
      <w:jc w:val="both"/>
    </w:pPr>
    <w:rPr>
      <w:rFonts w:ascii="Arial" w:eastAsia="Times New Roman" w:hAnsi="Arial"/>
      <w:sz w:val="30"/>
      <w:szCs w:val="20"/>
      <w:lang w:val="x-none" w:eastAsia="es-MX"/>
    </w:rPr>
  </w:style>
  <w:style w:type="character" w:customStyle="1" w:styleId="corte4fondoCar1">
    <w:name w:val="corte4 fondo Car1"/>
    <w:link w:val="corte4fondo"/>
    <w:rsid w:val="00DD2DC5"/>
    <w:rPr>
      <w:rFonts w:ascii="Arial" w:eastAsia="Times New Roman" w:hAnsi="Arial" w:cs="Times New Roman"/>
      <w:sz w:val="30"/>
      <w:szCs w:val="20"/>
      <w:lang w:val="x-none" w:eastAsia="es-MX"/>
    </w:rPr>
  </w:style>
  <w:style w:type="paragraph" w:styleId="NormalWeb">
    <w:name w:val="Normal (Web)"/>
    <w:basedOn w:val="Normal"/>
    <w:uiPriority w:val="99"/>
    <w:unhideWhenUsed/>
    <w:rsid w:val="00DD2DC5"/>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Sinespaciado">
    <w:name w:val="No Spacing"/>
    <w:uiPriority w:val="1"/>
    <w:qFormat/>
    <w:rsid w:val="00DD2DC5"/>
    <w:pPr>
      <w:spacing w:after="0" w:line="240" w:lineRule="auto"/>
    </w:pPr>
    <w:rPr>
      <w:rFonts w:ascii="Calibri" w:eastAsia="Calibri" w:hAnsi="Calibri" w:cs="Times New Roman"/>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DD2DC5"/>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DD2DC5"/>
    <w:rPr>
      <w:rFonts w:ascii="Calibri" w:eastAsia="Calibri" w:hAnsi="Calibri" w:cs="Times New Roman"/>
    </w:rPr>
  </w:style>
  <w:style w:type="paragraph" w:styleId="Textodeglobo">
    <w:name w:val="Balloon Text"/>
    <w:basedOn w:val="Normal"/>
    <w:link w:val="TextodegloboCar"/>
    <w:uiPriority w:val="99"/>
    <w:semiHidden/>
    <w:unhideWhenUsed/>
    <w:rsid w:val="006C20C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C20C5"/>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025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2</Pages>
  <Words>979</Words>
  <Characters>5390</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3</cp:revision>
  <cp:lastPrinted>2025-10-01T19:38:00Z</cp:lastPrinted>
  <dcterms:created xsi:type="dcterms:W3CDTF">2025-10-01T18:30:00Z</dcterms:created>
  <dcterms:modified xsi:type="dcterms:W3CDTF">2025-10-01T19:46:00Z</dcterms:modified>
</cp:coreProperties>
</file>