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8764AA">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764AA">
        <w:rPr>
          <w:rFonts w:ascii="Arial" w:hAnsi="Arial" w:cs="Arial"/>
          <w:b/>
          <w:sz w:val="24"/>
          <w:szCs w:val="24"/>
        </w:rPr>
        <w:t>septiembre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764AA">
        <w:rPr>
          <w:rFonts w:ascii="Arial" w:hAnsi="Arial" w:cs="Arial"/>
          <w:b/>
          <w:sz w:val="24"/>
          <w:szCs w:val="24"/>
        </w:rPr>
        <w:t>novena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BF3665"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E0610B">
        <w:rPr>
          <w:rFonts w:ascii="Arial" w:hAnsi="Arial" w:cs="Arial"/>
          <w:sz w:val="24"/>
          <w:szCs w:val="24"/>
        </w:rPr>
        <w:t xml:space="preserve">El </w:t>
      </w:r>
      <w:r w:rsidR="00672FE8">
        <w:rPr>
          <w:rFonts w:ascii="Arial" w:hAnsi="Arial" w:cs="Arial"/>
          <w:sz w:val="24"/>
          <w:szCs w:val="24"/>
        </w:rPr>
        <w:t>director General de Administración Cesar Isidro Cruz</w:t>
      </w:r>
      <w:r w:rsidR="00D4742A" w:rsidRPr="00115CE3">
        <w:rPr>
          <w:rFonts w:ascii="Arial" w:hAnsi="Arial" w:cs="Arial"/>
          <w:sz w:val="24"/>
          <w:szCs w:val="24"/>
        </w:rPr>
        <w:t>,</w:t>
      </w:r>
      <w:r w:rsidRPr="00115CE3">
        <w:rPr>
          <w:rFonts w:ascii="Arial" w:hAnsi="Arial" w:cs="Arial"/>
          <w:sz w:val="24"/>
          <w:szCs w:val="24"/>
        </w:rPr>
        <w:t xml:space="preserve"> mediante oficio </w:t>
      </w:r>
      <w:r w:rsidR="00CE3272">
        <w:rPr>
          <w:rFonts w:ascii="Arial" w:hAnsi="Arial" w:cs="Arial"/>
          <w:b/>
          <w:sz w:val="24"/>
          <w:szCs w:val="24"/>
        </w:rPr>
        <w:t>DGA/DRH/</w:t>
      </w:r>
      <w:r w:rsidR="00735291">
        <w:rPr>
          <w:rFonts w:ascii="Arial" w:hAnsi="Arial" w:cs="Arial"/>
          <w:b/>
          <w:sz w:val="24"/>
          <w:szCs w:val="24"/>
        </w:rPr>
        <w:t>340</w:t>
      </w:r>
      <w:r w:rsidR="007814CD">
        <w:rPr>
          <w:rFonts w:ascii="Arial" w:hAnsi="Arial" w:cs="Arial"/>
          <w:b/>
          <w:sz w:val="24"/>
          <w:szCs w:val="24"/>
        </w:rPr>
        <w:t>1</w:t>
      </w:r>
      <w:r w:rsidR="00D4742A" w:rsidRPr="00115CE3">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F801A9">
        <w:rPr>
          <w:rFonts w:ascii="Arial" w:hAnsi="Arial" w:cs="Arial"/>
          <w:b/>
          <w:sz w:val="24"/>
          <w:szCs w:val="24"/>
        </w:rPr>
        <w:t>total</w:t>
      </w:r>
      <w:r w:rsidR="00A15922">
        <w:rPr>
          <w:rFonts w:ascii="Arial" w:hAnsi="Arial" w:cs="Arial"/>
          <w:b/>
          <w:sz w:val="24"/>
          <w:szCs w:val="24"/>
        </w:rPr>
        <w:t xml:space="preserve"> </w:t>
      </w:r>
      <w:r w:rsidR="00E0610B">
        <w:rPr>
          <w:rFonts w:ascii="Arial" w:hAnsi="Arial" w:cs="Arial"/>
          <w:b/>
          <w:sz w:val="24"/>
          <w:szCs w:val="24"/>
        </w:rPr>
        <w:t>AR/</w:t>
      </w:r>
      <w:r w:rsidR="00CE3272">
        <w:rPr>
          <w:rFonts w:ascii="Arial" w:hAnsi="Arial" w:cs="Arial"/>
          <w:b/>
          <w:sz w:val="24"/>
          <w:szCs w:val="24"/>
        </w:rPr>
        <w:t>0</w:t>
      </w:r>
      <w:r w:rsidR="00735291">
        <w:rPr>
          <w:rFonts w:ascii="Arial" w:hAnsi="Arial" w:cs="Arial"/>
          <w:b/>
          <w:sz w:val="24"/>
          <w:szCs w:val="24"/>
        </w:rPr>
        <w:t>5</w:t>
      </w:r>
      <w:r w:rsidR="007814CD">
        <w:rPr>
          <w:rFonts w:ascii="Arial" w:hAnsi="Arial" w:cs="Arial"/>
          <w:b/>
          <w:sz w:val="24"/>
          <w:szCs w:val="24"/>
        </w:rPr>
        <w:t>9</w:t>
      </w:r>
      <w:r w:rsidR="00E0610B">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735291">
        <w:rPr>
          <w:rFonts w:ascii="Arial" w:hAnsi="Arial" w:cs="Arial"/>
          <w:b/>
          <w:sz w:val="24"/>
          <w:szCs w:val="24"/>
        </w:rPr>
        <w:t>40</w:t>
      </w:r>
      <w:r w:rsidR="007814CD">
        <w:rPr>
          <w:rFonts w:ascii="Arial" w:hAnsi="Arial" w:cs="Arial"/>
          <w:b/>
          <w:sz w:val="24"/>
          <w:szCs w:val="24"/>
        </w:rPr>
        <w:t>2</w:t>
      </w:r>
      <w:r w:rsidR="0053156B" w:rsidRPr="00115CE3">
        <w:rPr>
          <w:rFonts w:ascii="Arial" w:hAnsi="Arial" w:cs="Arial"/>
          <w:sz w:val="24"/>
          <w:szCs w:val="24"/>
        </w:rPr>
        <w:t>-240469825000</w:t>
      </w:r>
      <w:r w:rsidR="00735291">
        <w:rPr>
          <w:rFonts w:ascii="Arial" w:hAnsi="Arial" w:cs="Arial"/>
          <w:b/>
          <w:sz w:val="24"/>
          <w:szCs w:val="24"/>
        </w:rPr>
        <w:t>40</w:t>
      </w:r>
      <w:r w:rsidR="007814CD">
        <w:rPr>
          <w:rFonts w:ascii="Arial" w:hAnsi="Arial" w:cs="Arial"/>
          <w:b/>
          <w:sz w:val="24"/>
          <w:szCs w:val="24"/>
        </w:rPr>
        <w:t>2</w:t>
      </w:r>
      <w:r w:rsidR="0053156B" w:rsidRPr="00115CE3">
        <w:rPr>
          <w:rFonts w:ascii="Arial" w:hAnsi="Arial" w:cs="Arial"/>
          <w:sz w:val="24"/>
          <w:szCs w:val="24"/>
        </w:rPr>
        <w:t xml:space="preserve">-2025 realizada por </w:t>
      </w:r>
      <w:r w:rsidR="005F0249">
        <w:rPr>
          <w:rFonts w:ascii="Arial" w:hAnsi="Arial" w:cs="Arial"/>
          <w:sz w:val="24"/>
          <w:szCs w:val="24"/>
        </w:rPr>
        <w:t xml:space="preserve">un usuario </w:t>
      </w:r>
      <w:r w:rsidR="00735291">
        <w:rPr>
          <w:rFonts w:ascii="Arial" w:hAnsi="Arial" w:cs="Arial"/>
          <w:b/>
          <w:sz w:val="24"/>
          <w:szCs w:val="24"/>
        </w:rPr>
        <w:t>Luis Alfonso Mora Ruenes</w:t>
      </w:r>
      <w:r w:rsidR="00845C94">
        <w:rPr>
          <w:rFonts w:ascii="Arial" w:hAnsi="Arial" w:cs="Arial"/>
          <w:sz w:val="24"/>
          <w:szCs w:val="24"/>
        </w:rPr>
        <w:t xml:space="preserve"> quien manifiesta su deseo de acceder a la siguiente información:</w:t>
      </w:r>
      <w:r w:rsidR="0053156B" w:rsidRPr="00115CE3">
        <w:rPr>
          <w:rFonts w:ascii="Arial" w:hAnsi="Arial" w:cs="Arial"/>
          <w:sz w:val="24"/>
          <w:szCs w:val="24"/>
        </w:rPr>
        <w:t xml:space="preserve"> </w:t>
      </w:r>
    </w:p>
    <w:p w:rsidR="007814CD" w:rsidRDefault="007814CD" w:rsidP="005F0249">
      <w:pPr>
        <w:spacing w:line="240" w:lineRule="auto"/>
        <w:jc w:val="both"/>
        <w:rPr>
          <w:rFonts w:ascii="Arial" w:hAnsi="Arial" w:cs="Arial"/>
          <w:sz w:val="24"/>
          <w:szCs w:val="24"/>
        </w:rPr>
      </w:pPr>
      <w:r w:rsidRPr="007814CD">
        <w:rPr>
          <w:rFonts w:ascii="Arial" w:hAnsi="Arial" w:cs="Arial"/>
          <w:sz w:val="24"/>
          <w:szCs w:val="24"/>
        </w:rPr>
        <w:t>¿Cuál es el número de agentes del ministerio público con que cuenta la Fiscalía o Unidad especializada para investigar el delito de tortura? Desagregar por fiscalía o por unidad a la que pertenecen</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E26106">
        <w:rPr>
          <w:rFonts w:ascii="Arial" w:hAnsi="Arial" w:cs="Arial"/>
          <w:sz w:val="24"/>
          <w:szCs w:val="24"/>
        </w:rPr>
        <w:t>ones XI, y</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F801A9">
        <w:rPr>
          <w:rFonts w:ascii="Arial" w:hAnsi="Arial" w:cs="Arial"/>
          <w:b/>
          <w:sz w:val="24"/>
          <w:szCs w:val="24"/>
        </w:rPr>
        <w:t>total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E26106">
        <w:rPr>
          <w:rFonts w:ascii="Arial" w:hAnsi="Arial" w:cs="Arial"/>
          <w:b/>
          <w:sz w:val="24"/>
          <w:szCs w:val="24"/>
        </w:rPr>
        <w:t>AR/</w:t>
      </w:r>
      <w:r w:rsidR="00CE3272">
        <w:rPr>
          <w:rFonts w:ascii="Arial" w:hAnsi="Arial" w:cs="Arial"/>
          <w:b/>
          <w:sz w:val="24"/>
          <w:szCs w:val="24"/>
        </w:rPr>
        <w:t>05</w:t>
      </w:r>
      <w:r w:rsidR="007814CD">
        <w:rPr>
          <w:rFonts w:ascii="Arial" w:hAnsi="Arial" w:cs="Arial"/>
          <w:b/>
          <w:sz w:val="24"/>
          <w:szCs w:val="24"/>
        </w:rPr>
        <w:t>9</w:t>
      </w:r>
      <w:r w:rsidR="00E26106">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F801A9">
        <w:rPr>
          <w:rFonts w:ascii="Arial" w:hAnsi="Arial" w:cs="Arial"/>
          <w:b/>
          <w:sz w:val="24"/>
          <w:szCs w:val="24"/>
        </w:rPr>
        <w:t>total</w:t>
      </w:r>
      <w:r w:rsidRPr="00115CE3">
        <w:rPr>
          <w:rFonts w:ascii="Arial" w:hAnsi="Arial" w:cs="Arial"/>
          <w:sz w:val="24"/>
          <w:szCs w:val="24"/>
        </w:rPr>
        <w:t xml:space="preserve"> número </w:t>
      </w:r>
      <w:r w:rsidR="00E26106">
        <w:rPr>
          <w:rFonts w:ascii="Arial" w:hAnsi="Arial" w:cs="Arial"/>
          <w:b/>
          <w:sz w:val="24"/>
          <w:szCs w:val="24"/>
        </w:rPr>
        <w:t>AR/</w:t>
      </w:r>
      <w:r w:rsidR="00CE3272">
        <w:rPr>
          <w:rFonts w:ascii="Arial" w:hAnsi="Arial" w:cs="Arial"/>
          <w:b/>
          <w:sz w:val="24"/>
          <w:szCs w:val="24"/>
        </w:rPr>
        <w:t>05</w:t>
      </w:r>
      <w:r w:rsidR="007814CD">
        <w:rPr>
          <w:rFonts w:ascii="Arial" w:hAnsi="Arial" w:cs="Arial"/>
          <w:b/>
          <w:sz w:val="24"/>
          <w:szCs w:val="24"/>
        </w:rPr>
        <w:t>9</w:t>
      </w:r>
      <w:r w:rsidR="00D4742A" w:rsidRPr="00115CE3">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DF085B" w:rsidRDefault="00DF085B" w:rsidP="005F0249">
      <w:pPr>
        <w:spacing w:line="240" w:lineRule="auto"/>
        <w:jc w:val="both"/>
        <w:rPr>
          <w:rFonts w:ascii="Arial" w:hAnsi="Arial" w:cs="Arial"/>
          <w:b/>
          <w:sz w:val="24"/>
          <w:szCs w:val="24"/>
        </w:rPr>
      </w:pP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lastRenderedPageBreak/>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F801A9">
        <w:rPr>
          <w:rFonts w:ascii="Arial" w:hAnsi="Arial" w:cs="Arial"/>
          <w:b/>
          <w:sz w:val="24"/>
          <w:szCs w:val="24"/>
        </w:rPr>
        <w:t>total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AR/</w:t>
      </w:r>
      <w:r w:rsidR="00CE3272">
        <w:rPr>
          <w:rFonts w:ascii="Arial" w:hAnsi="Arial" w:cs="Arial"/>
          <w:b/>
          <w:sz w:val="24"/>
          <w:szCs w:val="24"/>
        </w:rPr>
        <w:t>05</w:t>
      </w:r>
      <w:r w:rsidR="007814CD">
        <w:rPr>
          <w:rFonts w:ascii="Arial" w:hAnsi="Arial" w:cs="Arial"/>
          <w:b/>
          <w:sz w:val="24"/>
          <w:szCs w:val="24"/>
        </w:rPr>
        <w:t>9</w:t>
      </w:r>
      <w:r w:rsidR="00D4742A" w:rsidRPr="00115CE3">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CE3272" w:rsidRDefault="00CE3272"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DF085B" w:rsidRDefault="00DF085B" w:rsidP="005F0249">
      <w:pPr>
        <w:spacing w:line="240" w:lineRule="auto"/>
        <w:jc w:val="both"/>
        <w:rPr>
          <w:rFonts w:ascii="Arial" w:hAnsi="Arial" w:cs="Arial"/>
          <w:b/>
          <w:sz w:val="24"/>
          <w:szCs w:val="24"/>
        </w:rPr>
      </w:pPr>
    </w:p>
    <w:p w:rsidR="00BF3665" w:rsidRPr="00115CE3"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Pr="00115CE3" w:rsidRDefault="005621F2" w:rsidP="005F0249">
      <w:pPr>
        <w:pStyle w:val="Prrafodelista"/>
        <w:ind w:left="1080"/>
        <w:jc w:val="both"/>
        <w:rPr>
          <w:rFonts w:ascii="Arial" w:hAnsi="Arial" w:cs="Arial"/>
          <w:b/>
        </w:rPr>
      </w:pPr>
    </w:p>
    <w:p w:rsidR="007814CD" w:rsidRPr="007814CD" w:rsidRDefault="007336C3" w:rsidP="007814CD">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7814CD" w:rsidRPr="007814CD">
        <w:rPr>
          <w:rFonts w:ascii="Arial" w:hAnsi="Arial" w:cs="Arial"/>
          <w:sz w:val="24"/>
          <w:szCs w:val="24"/>
        </w:rPr>
        <w:t>dar a conocer la información pública solicitada Del periodo del 02 de septiembre del 2024 al 13 de marzo del 2025 el número de Agentes del Ministerio Público con que contó la Unidad contra los delitos de Trata de Personas y Tortura, de la Fiscalía Especializada en Materia de Derechos Humanos, de la Fiscalía General del Estado de San Luis Potosí. Del periodo del 14 de marzo al 02 de septiembre del 2025 el número de Agentes del Ministerio Público de la Fiscalía Especializada en la Investigación de Delitos de Tortura y Otros Tratos o Penas Crueles, Inhumanos o Degradantes.</w:t>
      </w: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t xml:space="preserve">Representa un riesgo real, ya que se daría a conocer una parte porcentual de la capacidad de reacción de la Fiscalía General del Estado dando a conocer la cantidad de personal del área que conoce del  delito de Tortura, ante la delincuencia organizada, lo que causaría un perjuicio significativo al interés público pues atenta de manera directa contra la seguridad del estado, debido a que miembros de asociaciones delictivas podrían aprovechar esa información para realizar algún ataque o amenaza, ya que con esta información se obtienen datos que además permitiría sustraerse de la acción de la justicia y, por tanto, quedar impunes por la comisión de delitos por los que se les persigue, siendo esta una de las causales de actualización de la hipótesis contemplada en el numeral Décimo Octavo de los Lineamientos Generales para la clasificación y desclasificación de la información así como la elaboración de versión Pública. </w:t>
      </w:r>
    </w:p>
    <w:p w:rsidR="007814CD" w:rsidRPr="007814CD" w:rsidRDefault="007814CD" w:rsidP="007814CD">
      <w:pPr>
        <w:autoSpaceDE w:val="0"/>
        <w:autoSpaceDN w:val="0"/>
        <w:adjustRightInd w:val="0"/>
        <w:spacing w:line="240" w:lineRule="auto"/>
        <w:jc w:val="both"/>
        <w:rPr>
          <w:rFonts w:ascii="Arial" w:hAnsi="Arial" w:cs="Arial"/>
          <w:sz w:val="24"/>
          <w:szCs w:val="24"/>
        </w:rPr>
      </w:pP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lastRenderedPageBreak/>
        <w:t>Dicho entonces que “control” es un término que se usa como sinónimos de supervisar los actos de gobierno, pero no siempre implican la obligación de los gobernantes para informar de manera periódica sobre sus decisiones y acciones. Por ello, el control y la fiscalización son mecanismos de un sistema global de rendición de cuentas, pero éste abarca además otros instrumentos como la transparencia y los informes periódicos que los gobernantes deben rendir a los ciudadanos.</w:t>
      </w: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t>Finalmente, el concepto de “transparencia” también se usa en ocasiones como sinónimo de rendición de cuentas. La transparencia es una característica que abre la información de las organizaciones políticas y burocráticas al escrutinio público mediante sistemas de clasificación y difusión que reducen los costos de acceso a la información del gobierno. Sin embargo, la transparencia no implica un acto de rendir cuentas a un destinatario específico, sino la práctica de colocar la información en la “vitrina pública” para que los interesados puedan revisarla, analizarla y, en su caso, usarla como mecanismo para sancionar en caso de que haya anomalías en su interior. Al igual que en el caso de la fiscalización, la transparencia es sólo un instrumento de un sistema global de rendición de cuentas.</w:t>
      </w: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t>Dicho lo anterior, para el caso en particular la difusión Del periodo del 02 de septiembre del 2024 al 13 de marzo del 2025 el número de Agentes del Ministerio Público con que contó la Unidad contra los delitos de Trata de Personas y Tortura, de la Fiscalía Especializada en Materia de Derechos Humanos, de la Fiscalía General del Estado de San Luis Potosí. Del periodo del 14 de marzo al 02 de septiembre del 2025 el número de Agentes del Ministerio Público de la Fiscalía Especializada en la Investigación de Delitos de Tortura y Otros Tratos o Penas Crueles, Inhumanos o Degradantes.</w:t>
      </w: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t>Afectarían los programas de inteligencia y contra inteligencia con los que cuenta la Fiscalía del Estado, dejando en un grave estado de vulnerabilidad a la corporación para cumplir con sus obligaciones constitucionales.</w:t>
      </w: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t>No debe pasar desapercibido, que la información de interés asignaría un valor de peligrosidad en cada uno de los distintos mercados criminales, pues podría crear mecanismos en que estos se puedan especializar, agrupar o reclutar más individuos, para el desplegar acciones antisociales, que conllevan a una reestructura administrativa y operativa, ante la comisión de delitos.</w:t>
      </w: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t xml:space="preserve">No pasando desapercibido, que la entrega de la información que se derive de esta traería como consecuencias de la individualización de casos y los potenciales riesgos que esto implica son sumamente relevantes, ya que de materializarse pueden propiciar la revictimización, la comisión de nuevos delitos, afectar los flujos de información y entorpecer la investigación (y otros proyectos similares, que son un insumo importante para la investigación criminal), afectar los procesos de procuración de justicia, incrementar la desconfianza de la población en las </w:t>
      </w:r>
      <w:r w:rsidRPr="007814CD">
        <w:rPr>
          <w:rFonts w:ascii="Arial" w:hAnsi="Arial" w:cs="Arial"/>
          <w:sz w:val="24"/>
          <w:szCs w:val="24"/>
        </w:rPr>
        <w:lastRenderedPageBreak/>
        <w:t>autoridades de procuración de justicia y generar incentivos negativos para la denuncia de futuros delitos.</w:t>
      </w: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t>Esto cobra razón, pues entre las atribuciones conferidas a dicha Fiscalía se encuentra, el ejercicio de investigar, perseguir y ejercer sus atribuciones en los delitos contemplados en el Código Penal vigente y aplicable a esta Fiscalía General del Estado, incluso en grado de tentativa.</w:t>
      </w: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t>Naturaleza que hace perfectamente identificables a los servidores públicos, lo cual, les puede inhibir por el grado de exposición y conforme a las secuelas que cada una tengan, por lo que se les puede afectar de una manera incalculable, por ejemplo, en el sentido de que desistan de sus investigaciones, sea por presión social o por amenazas, lo que no solo conllevaría a la impunidad, sino a que se incrementen los delitos en el corto, mediano y largo plazo.</w:t>
      </w: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t>De manera específica, su publicación afectaría en el corto plazo, en al menos tres esferas:</w:t>
      </w:r>
    </w:p>
    <w:p w:rsidR="007814CD" w:rsidRPr="007814CD" w:rsidRDefault="007814CD" w:rsidP="007814CD">
      <w:pPr>
        <w:autoSpaceDE w:val="0"/>
        <w:autoSpaceDN w:val="0"/>
        <w:adjustRightInd w:val="0"/>
        <w:spacing w:after="0" w:line="240" w:lineRule="auto"/>
        <w:jc w:val="both"/>
        <w:rPr>
          <w:rFonts w:ascii="Arial" w:hAnsi="Arial" w:cs="Arial"/>
          <w:sz w:val="24"/>
          <w:szCs w:val="24"/>
        </w:rPr>
      </w:pPr>
      <w:r w:rsidRPr="007814CD">
        <w:rPr>
          <w:rFonts w:ascii="Arial" w:hAnsi="Arial" w:cs="Arial"/>
          <w:sz w:val="24"/>
          <w:szCs w:val="24"/>
        </w:rPr>
        <w:t>•</w:t>
      </w:r>
      <w:r w:rsidRPr="007814CD">
        <w:rPr>
          <w:rFonts w:ascii="Arial" w:hAnsi="Arial" w:cs="Arial"/>
          <w:sz w:val="24"/>
          <w:szCs w:val="24"/>
        </w:rPr>
        <w:tab/>
        <w:t>Individual: vulnera la integridad física y mental de las personas involucradas (víctimas, presunto responsable).</w:t>
      </w:r>
    </w:p>
    <w:p w:rsidR="007814CD" w:rsidRPr="007814CD" w:rsidRDefault="007814CD" w:rsidP="007814CD">
      <w:pPr>
        <w:autoSpaceDE w:val="0"/>
        <w:autoSpaceDN w:val="0"/>
        <w:adjustRightInd w:val="0"/>
        <w:spacing w:after="0" w:line="240" w:lineRule="auto"/>
        <w:jc w:val="both"/>
        <w:rPr>
          <w:rFonts w:ascii="Arial" w:hAnsi="Arial" w:cs="Arial"/>
          <w:sz w:val="24"/>
          <w:szCs w:val="24"/>
        </w:rPr>
      </w:pPr>
      <w:r w:rsidRPr="007814CD">
        <w:rPr>
          <w:rFonts w:ascii="Arial" w:hAnsi="Arial" w:cs="Arial"/>
          <w:sz w:val="24"/>
          <w:szCs w:val="24"/>
        </w:rPr>
        <w:t>•</w:t>
      </w:r>
      <w:r w:rsidRPr="007814CD">
        <w:rPr>
          <w:rFonts w:ascii="Arial" w:hAnsi="Arial" w:cs="Arial"/>
          <w:sz w:val="24"/>
          <w:szCs w:val="24"/>
        </w:rPr>
        <w:tab/>
        <w:t>Investigación: puede afectar los procesos de investigación criminal.</w:t>
      </w:r>
    </w:p>
    <w:p w:rsidR="007814CD" w:rsidRPr="007814CD" w:rsidRDefault="007814CD" w:rsidP="007814CD">
      <w:pPr>
        <w:autoSpaceDE w:val="0"/>
        <w:autoSpaceDN w:val="0"/>
        <w:adjustRightInd w:val="0"/>
        <w:spacing w:after="0" w:line="240" w:lineRule="auto"/>
        <w:jc w:val="both"/>
        <w:rPr>
          <w:rFonts w:ascii="Arial" w:hAnsi="Arial" w:cs="Arial"/>
          <w:sz w:val="24"/>
          <w:szCs w:val="24"/>
        </w:rPr>
      </w:pPr>
      <w:r w:rsidRPr="007814CD">
        <w:rPr>
          <w:rFonts w:ascii="Arial" w:hAnsi="Arial" w:cs="Arial"/>
          <w:sz w:val="24"/>
          <w:szCs w:val="24"/>
        </w:rPr>
        <w:t>•</w:t>
      </w:r>
      <w:r w:rsidRPr="007814CD">
        <w:rPr>
          <w:rFonts w:ascii="Arial" w:hAnsi="Arial" w:cs="Arial"/>
          <w:sz w:val="24"/>
          <w:szCs w:val="24"/>
        </w:rPr>
        <w:tab/>
        <w:t>Institucional: pone en riesgo la procuración de justicia.</w:t>
      </w:r>
    </w:p>
    <w:p w:rsidR="007814CD" w:rsidRDefault="007814CD" w:rsidP="007814CD">
      <w:pPr>
        <w:autoSpaceDE w:val="0"/>
        <w:autoSpaceDN w:val="0"/>
        <w:adjustRightInd w:val="0"/>
        <w:spacing w:line="240" w:lineRule="auto"/>
        <w:jc w:val="both"/>
        <w:rPr>
          <w:rFonts w:ascii="Arial" w:hAnsi="Arial" w:cs="Arial"/>
          <w:sz w:val="24"/>
          <w:szCs w:val="24"/>
        </w:rPr>
      </w:pP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t>Lo anterior cobra lógica, pues, como lo manifiesta el Lineamiento Trigésimo Segundo la normativa que exime el acceso a la información, lo contemplan los artículos 93, 93 bis, 99, fracciones I y III de la Ley del Sistema Estatal de Seguridad Pública, así como en observancia a la Controversia Constitucional número 325/2019.</w:t>
      </w: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t>Bajo el preámbulo de ser información generada por esta autoridad en ejercicio de sus funciones y con recursos públicos, es, desde luego, información gubernamental a la que todos los ciudadanos deberían tener acceso. No obstante, al ser información que de forma paralela engloba a investigaciones de tipo criminal, se actualiza la excepción que dicta que parte de esta información puede ser reservada por las autoridades para que no sea conocida por el público hasta pasado un lapso de tiempo y bajo ciertas modalidades, ya que exponer determinados datos de manera anticipada puede llevar al fracaso las investigaciones que persiguen delitos.</w:t>
      </w: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t xml:space="preserve">Cabe resaltar que es muy comprensible que las autoridades encargadas de investigar hechos ilícitos guarden sigilo y secrecía sobre sus actuaciones, pues no debe perderse de vista que, en muchos casos, el éxito de las investigaciones de este tipo depende de que sean oportunas y discretamente conducidas, a fin de que no se destruyan los indicios del delito y se evadan responsabilidades. Sin embargo, algunas investigaciones penales demandan un conocimiento público cuando se relacionan con hechos relevantes para la vida nacional, como puede ser la persecución de delitos de corrupción o de delincuencia organizada, y exigen que las </w:t>
      </w:r>
      <w:r w:rsidRPr="007814CD">
        <w:rPr>
          <w:rFonts w:ascii="Arial" w:hAnsi="Arial" w:cs="Arial"/>
          <w:sz w:val="24"/>
          <w:szCs w:val="24"/>
        </w:rPr>
        <w:lastRenderedPageBreak/>
        <w:t>autoridades rindan cuentas de manera constante sobre los avances que esas investigaciones presentan.</w:t>
      </w: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t xml:space="preserve">De lo anteriormente citado, robustece que la revelación de información del personal que tiene a su cargo el desarrollo o ejercicio de la función pública en materia de seguridad pública y procuración de justicia, pondría en conocimiento de la sociedad y más grave aún de los grupos criminales una parte porcentual de la capacidad de reacción de esta Institución, dejando en estado de indefensión a la sociedad y todos los ejes participes para el cumplimiento de la ley en toda su expresión. Daño que resultaría de imposible reparación, y en la que el Estado tiene la calidad de velador de un bien jurídico tutelado. </w:t>
      </w: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t>Concierne señalar que la Fiscalía General del Estado, conoce de los asuntos conexos o relacionados con el ámbito de su competencia, cuidando su integridad y no fragmentación, aun aquellos que versen sobre delincuencia organizada; establece planes y programas para detectar, informar y fomentar la cultura de la denuncia de cualquier hechos delictivo; diseña e implementar mecanismos de colaboración con autoridades que ejercen facultades de fiscalización, con el fin de fortalecer el desarrollo de sus investigaciones, y tramita.</w:t>
      </w: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t>Por su alta complejidad, importancia y trascendencia, relevancia o especialización, esta información podría permitir a los miembros de la delincuencia organizada identificar no solo a los servidores públicos, sino sus actividades concretas, hecho delictivo e incluso la efectividad de la amenaza real y eminente en el entorno social, desde la perspectiva de la Procuración de Justicia, como una expresión de la impericia de la delincuencia organizada y sus alcances hacia la capacidad de respuesta ante las acciones realizadas para abatir actos delictivos, lo que podría poner en riesgo las acciones concretas de la persecución delictiva, tal como lo provee la Suprema Corte de Justicia de la Nación, en su resolución emitida el 12 de mayo de 2022, dentro de la controversia constitucional número 325/2019:</w:t>
      </w: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t>“b) con dicha información se revelarían a detalle las características funcionales del personal y con ello, su organización para el cumplimiento de sus funciones;”</w:t>
      </w: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t>En cuanto al inciso C) de la misma resolución en comento: “c) los Ministerios Públicos de la Federación están sujetos a cambios de adscripción”. De igual forma los agentes del Ministerio Público, además de los Policías, Peritos, inclusive el personal de administrativo y de apoyo, están sujetos a cambios de adscripción, acorde a las necesidades del servicio.</w:t>
      </w: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t>En concreto advierto que los rubros que se reservan, de manera razonable genera vulnerabilidad a la Seguridad Pública y la Paz social de la entidad. Así como a las acciones de procuración de justicia en materia de investigación y persecución de un delito de modo que entorpece diligencias tendientes al cumplimiento de mandamientos judiciales dentro de su competencia, lo que resulta en detrimento de la seguridad pública y la conducción jurídica de investigaciones y el ejercicio de la acción penal, funciones preponderantes de la fiscalía General del Estado.</w:t>
      </w: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lastRenderedPageBreak/>
        <w:t>La Suprema Corte de Justicia contempla, en su resolución emitida el 12 de mayo de 2022, dentro de la Controversia Constitucional número 325/2019, que “la entrega de información a un particular referente al nombre y cargo de todo el personal que realiza tareas sustantivas de investigación y persecución de delitos, podría comprometer el ejercicio de sus facultades constitucionales y, con ello, la seguridad pública del país, en virtud de que: a) la información podría ser aprovechada por los grupos criminales para conocer la capacidad de reacción de la FGR…” Partiendo de esta premisa, se estima que a través de la información correspondiente a “el número de agentes del ministerio público” de la Unidad contra los delitos de Trata de Personas y Tortura y la Fiscalía Especializada en la Investigación de Delitos de Tortura y Otros Tratos o Penas Crueles, revela el número total de personal vinculado en las labores de procuración de justicia de un área específica y de un porcentaje del total del personal asignado a las áreas táctico operativas,  por lo cual resultaría en la revelación concreta de la capacidad de respuesta y capacidad operativa de la Fiscalía, así como establecería una brecha en la que el servidor público pueda ser corrompido para llevar sus actuaciones a directrices en donde no se garantice el Estado de Derecho, lo cual sería aprovechada por la delincuencia organizada, para impedir las acciones de procuración de justicia poniendo en riesgo, la seguridad pública del estado, el orden público, la seguridad de la institución, la seguridad y la vida de los propios servidores públicos, y en casos extremos la seguridad y vida de la ciudadanía, derivado de la posibilidad de que se generen enfrentamientos abiertamente violentos causando daños colaterales, además de la afectación directa en los procesos de investigación y persecución de los actos delictivos.</w:t>
      </w:r>
    </w:p>
    <w:p w:rsidR="007814CD" w:rsidRPr="007814CD"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t>El objeto de la clasificación es preservar la capacidad y con ello se pudiera inferir la fuerza de la corporación, sus funciones operativas en el desarrollo de las competencias de la Fiscalía General del Estado.</w:t>
      </w:r>
    </w:p>
    <w:p w:rsidR="007359E9" w:rsidRPr="009E1D25" w:rsidRDefault="007814CD" w:rsidP="007814CD">
      <w:pPr>
        <w:autoSpaceDE w:val="0"/>
        <w:autoSpaceDN w:val="0"/>
        <w:adjustRightInd w:val="0"/>
        <w:spacing w:line="240" w:lineRule="auto"/>
        <w:jc w:val="both"/>
        <w:rPr>
          <w:rFonts w:ascii="Arial" w:hAnsi="Arial" w:cs="Arial"/>
          <w:sz w:val="24"/>
          <w:szCs w:val="24"/>
        </w:rPr>
      </w:pPr>
      <w:r w:rsidRPr="007814CD">
        <w:rPr>
          <w:rFonts w:ascii="Arial" w:hAnsi="Arial" w:cs="Arial"/>
          <w:sz w:val="24"/>
          <w:szCs w:val="24"/>
        </w:rPr>
        <w:t>Consecuentemente, se busca proteger los preceptos normativos que establecen que, para el ejercicio del derecho humano a la seguridad pública, la prevención, investigación y persecución de los delitos que son materia de su competencia.</w:t>
      </w:r>
    </w:p>
    <w:p w:rsidR="007814CD" w:rsidRDefault="007814CD" w:rsidP="003474AB">
      <w:pPr>
        <w:autoSpaceDE w:val="0"/>
        <w:autoSpaceDN w:val="0"/>
        <w:adjustRightInd w:val="0"/>
        <w:spacing w:line="240" w:lineRule="auto"/>
        <w:jc w:val="both"/>
        <w:rPr>
          <w:rFonts w:ascii="Arial" w:hAnsi="Arial" w:cs="Arial"/>
          <w:sz w:val="24"/>
          <w:szCs w:val="24"/>
          <w:u w:val="single"/>
        </w:rPr>
      </w:pP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I y 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9E1D25">
        <w:rPr>
          <w:rFonts w:ascii="Arial" w:hAnsi="Arial" w:cs="Arial"/>
          <w:sz w:val="24"/>
          <w:szCs w:val="24"/>
        </w:rPr>
        <w:t>primero</w:t>
      </w:r>
      <w:r w:rsidR="005F0249">
        <w:rPr>
          <w:rFonts w:ascii="Arial" w:hAnsi="Arial" w:cs="Arial"/>
          <w:sz w:val="24"/>
          <w:szCs w:val="24"/>
        </w:rPr>
        <w:t>,</w:t>
      </w:r>
      <w:r w:rsidR="009E1D25">
        <w:rPr>
          <w:rFonts w:ascii="Arial" w:hAnsi="Arial" w:cs="Arial"/>
          <w:sz w:val="24"/>
          <w:szCs w:val="24"/>
        </w:rPr>
        <w:t xml:space="preserve"> y </w:t>
      </w:r>
      <w:r w:rsidR="00551990" w:rsidRPr="00115CE3">
        <w:rPr>
          <w:rFonts w:ascii="Arial" w:hAnsi="Arial" w:cs="Arial"/>
          <w:sz w:val="24"/>
          <w:szCs w:val="24"/>
        </w:rPr>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DF085B" w:rsidRDefault="00DF085B" w:rsidP="003474AB">
      <w:pPr>
        <w:spacing w:line="240" w:lineRule="auto"/>
        <w:jc w:val="both"/>
        <w:rPr>
          <w:rFonts w:ascii="Arial" w:hAnsi="Arial" w:cs="Arial"/>
          <w:sz w:val="24"/>
          <w:szCs w:val="24"/>
          <w:u w:val="single"/>
        </w:rPr>
      </w:pP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81523E" w:rsidRDefault="0081523E"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lastRenderedPageBreak/>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el </w:t>
      </w:r>
      <w:r w:rsidR="0080577A">
        <w:rPr>
          <w:rFonts w:ascii="Arial" w:hAnsi="Arial" w:cs="Arial"/>
          <w:sz w:val="24"/>
          <w:szCs w:val="24"/>
        </w:rPr>
        <w:t xml:space="preserve">director General de Administración Cesar Isidro Cruz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b/>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DF085B" w:rsidRDefault="00DF085B" w:rsidP="005F0249">
      <w:pPr>
        <w:spacing w:line="240" w:lineRule="auto"/>
        <w:ind w:left="284"/>
        <w:jc w:val="both"/>
        <w:rPr>
          <w:rFonts w:ascii="Arial" w:hAnsi="Arial" w:cs="Arial"/>
          <w:b/>
          <w:sz w:val="24"/>
          <w:szCs w:val="24"/>
        </w:rPr>
      </w:pP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7814CD" w:rsidRPr="007814CD" w:rsidRDefault="007814CD" w:rsidP="007814CD">
      <w:pPr>
        <w:jc w:val="both"/>
        <w:rPr>
          <w:rFonts w:ascii="Arial" w:eastAsiaTheme="minorHAnsi" w:hAnsi="Arial" w:cs="Arial"/>
          <w:color w:val="000000"/>
          <w:sz w:val="23"/>
          <w:szCs w:val="23"/>
          <w:lang w:eastAsia="en-US"/>
        </w:rPr>
      </w:pPr>
      <w:r w:rsidRPr="007814CD">
        <w:rPr>
          <w:rFonts w:ascii="Arial" w:eastAsiaTheme="minorHAnsi" w:hAnsi="Arial" w:cs="Arial"/>
          <w:color w:val="000000"/>
          <w:sz w:val="23"/>
          <w:szCs w:val="23"/>
          <w:lang w:eastAsia="en-US"/>
        </w:rPr>
        <w:t>La Dirección General de Administración procede a acordar la RESERVA TOTAL de la información que se requiere para dar atención a la Solicitud de Acceso a la Información No. UT-SI-P-402-240469825000402-2025, recurrida por Luis Alfonso Mora Ruenes, consistente en:</w:t>
      </w:r>
    </w:p>
    <w:p w:rsidR="00DF085B" w:rsidRPr="008169B6" w:rsidRDefault="007814CD" w:rsidP="007814CD">
      <w:pPr>
        <w:jc w:val="both"/>
        <w:rPr>
          <w:rFonts w:ascii="Arial" w:eastAsia="Times New Roman" w:hAnsi="Arial" w:cs="Arial"/>
          <w:sz w:val="24"/>
          <w:szCs w:val="24"/>
          <w:lang w:eastAsia="es-ES"/>
        </w:rPr>
      </w:pPr>
      <w:r w:rsidRPr="007814CD">
        <w:rPr>
          <w:rFonts w:ascii="Arial" w:eastAsiaTheme="minorHAnsi" w:hAnsi="Arial" w:cs="Arial"/>
          <w:color w:val="000000"/>
          <w:sz w:val="23"/>
          <w:szCs w:val="23"/>
          <w:lang w:eastAsia="en-US"/>
        </w:rPr>
        <w:t>“… Del periodo del 02 de septiembre del 2024 al 13 de marzo del 2025 el número de Agentes del Ministerio Público con que contó la Unidad contra los delitos de Trata de Personas y Tortura, de la Fiscalía Especializada en Materia de Derechos Humanos, de la Fiscalía General del Estado de San Luis Potosí. Del periodo del 14 de marzo al 02 de septiembre del 2025 el número de Agentes del Ministerio Público de la Fiscalía Especializada en la Investigación de Delitos de Tortura y Otros Tratos o Penas Crueles, Inhumanos o Degradantes…(SIC)”.</w:t>
      </w: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427CA6">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427CA6">
        <w:rPr>
          <w:rFonts w:ascii="Arial" w:eastAsia="Times New Roman" w:hAnsi="Arial" w:cs="Arial"/>
          <w:b/>
          <w:sz w:val="24"/>
          <w:szCs w:val="24"/>
        </w:rPr>
        <w:t>septiembre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DF085B" w:rsidRDefault="00DF085B" w:rsidP="005F0249">
      <w:pPr>
        <w:spacing w:line="240" w:lineRule="auto"/>
        <w:jc w:val="both"/>
        <w:rPr>
          <w:rFonts w:ascii="Arial" w:eastAsia="Times New Roman" w:hAnsi="Arial" w:cs="Arial"/>
          <w:sz w:val="24"/>
          <w:szCs w:val="24"/>
        </w:rPr>
      </w:pP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DF085B" w:rsidRDefault="00DF085B" w:rsidP="005F0249">
      <w:pPr>
        <w:spacing w:line="240" w:lineRule="auto"/>
        <w:jc w:val="both"/>
        <w:rPr>
          <w:rFonts w:ascii="Arial" w:hAnsi="Arial" w:cs="Arial"/>
        </w:rPr>
      </w:pP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lastRenderedPageBreak/>
        <w:t>Efectos de la resolución.</w:t>
      </w:r>
    </w:p>
    <w:p w:rsidR="00E23EF7" w:rsidRPr="00115CE3" w:rsidRDefault="00E23EF7" w:rsidP="005F0249">
      <w:pPr>
        <w:pStyle w:val="Prrafodelista"/>
        <w:jc w:val="both"/>
        <w:rPr>
          <w:rFonts w:ascii="Arial" w:hAnsi="Arial" w:cs="Arial"/>
          <w:b/>
        </w:rPr>
      </w:pPr>
    </w:p>
    <w:p w:rsidR="00FF1B19" w:rsidRPr="00A15922" w:rsidRDefault="00FF1B19" w:rsidP="005F0249">
      <w:pPr>
        <w:spacing w:line="240" w:lineRule="auto"/>
        <w:jc w:val="both"/>
        <w:rPr>
          <w:rFonts w:ascii="Arial" w:hAnsi="Arial" w:cs="Arial"/>
          <w:b/>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F801A9">
        <w:rPr>
          <w:rFonts w:ascii="Arial" w:hAnsi="Arial" w:cs="Arial"/>
          <w:b/>
          <w:sz w:val="24"/>
          <w:szCs w:val="24"/>
        </w:rPr>
        <w:t>total</w:t>
      </w:r>
      <w:r w:rsidR="00A15922">
        <w:rPr>
          <w:rFonts w:ascii="Arial" w:hAnsi="Arial" w:cs="Arial"/>
          <w:b/>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AR/</w:t>
      </w:r>
      <w:r w:rsidR="0080577A">
        <w:rPr>
          <w:rFonts w:ascii="Arial" w:hAnsi="Arial" w:cs="Arial"/>
          <w:b/>
          <w:sz w:val="24"/>
          <w:szCs w:val="24"/>
        </w:rPr>
        <w:t>5</w:t>
      </w:r>
      <w:r w:rsidR="007814CD">
        <w:rPr>
          <w:rFonts w:ascii="Arial" w:hAnsi="Arial" w:cs="Arial"/>
          <w:b/>
          <w:sz w:val="24"/>
          <w:szCs w:val="24"/>
        </w:rPr>
        <w:t>9</w:t>
      </w:r>
      <w:r w:rsidR="00D4742A" w:rsidRPr="00115CE3">
        <w:rPr>
          <w:rFonts w:ascii="Arial" w:hAnsi="Arial" w:cs="Arial"/>
          <w:b/>
          <w:sz w:val="24"/>
          <w:szCs w:val="24"/>
        </w:rPr>
        <w:t>/2025</w:t>
      </w:r>
      <w:r w:rsidR="00D4742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Pr="00115CE3"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al</w:t>
      </w:r>
      <w:r w:rsidR="00E26106">
        <w:rPr>
          <w:rFonts w:ascii="Arial" w:hAnsi="Arial" w:cs="Arial"/>
          <w:sz w:val="24"/>
          <w:szCs w:val="24"/>
        </w:rPr>
        <w:t xml:space="preserve"> </w:t>
      </w:r>
      <w:r w:rsidR="00672FE8">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a</w:t>
      </w:r>
      <w:r w:rsidR="00375ED0">
        <w:rPr>
          <w:rFonts w:ascii="Arial" w:hAnsi="Arial" w:cs="Arial"/>
          <w:sz w:val="24"/>
          <w:szCs w:val="24"/>
        </w:rPr>
        <w:t xml:space="preserve">l </w:t>
      </w:r>
      <w:r w:rsidR="00672FE8">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DF085B" w:rsidRDefault="00DF085B"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DF085B" w:rsidRDefault="00DF085B" w:rsidP="005F0249">
      <w:pPr>
        <w:spacing w:line="240" w:lineRule="auto"/>
        <w:jc w:val="center"/>
        <w:rPr>
          <w:rFonts w:ascii="Arial" w:hAnsi="Arial" w:cs="Arial"/>
          <w:b/>
          <w:sz w:val="24"/>
          <w:szCs w:val="24"/>
        </w:rPr>
      </w:pPr>
    </w:p>
    <w:p w:rsidR="00476EF2" w:rsidRDefault="00476EF2" w:rsidP="005F0249">
      <w:pPr>
        <w:spacing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F801A9">
        <w:rPr>
          <w:rFonts w:ascii="Arial" w:hAnsi="Arial" w:cs="Arial"/>
          <w:b/>
          <w:sz w:val="24"/>
          <w:szCs w:val="24"/>
        </w:rPr>
        <w:t xml:space="preserve">total </w:t>
      </w:r>
      <w:r w:rsidRPr="00115CE3">
        <w:rPr>
          <w:rFonts w:ascii="Arial" w:hAnsi="Arial" w:cs="Arial"/>
          <w:sz w:val="24"/>
          <w:szCs w:val="24"/>
        </w:rPr>
        <w:t xml:space="preserve">número </w:t>
      </w:r>
      <w:r w:rsidR="00375ED0">
        <w:rPr>
          <w:rFonts w:ascii="Arial" w:hAnsi="Arial" w:cs="Arial"/>
          <w:b/>
          <w:sz w:val="24"/>
          <w:szCs w:val="24"/>
        </w:rPr>
        <w:t>AR/</w:t>
      </w:r>
      <w:r w:rsidR="0080577A">
        <w:rPr>
          <w:rFonts w:ascii="Arial" w:hAnsi="Arial" w:cs="Arial"/>
          <w:b/>
          <w:sz w:val="24"/>
          <w:szCs w:val="24"/>
        </w:rPr>
        <w:t>5</w:t>
      </w:r>
      <w:r w:rsidR="007814CD">
        <w:rPr>
          <w:rFonts w:ascii="Arial" w:hAnsi="Arial" w:cs="Arial"/>
          <w:b/>
          <w:sz w:val="24"/>
          <w:szCs w:val="24"/>
        </w:rPr>
        <w:t>9</w:t>
      </w:r>
      <w:r w:rsidR="00D4742A" w:rsidRPr="00115CE3">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375ED0">
        <w:rPr>
          <w:rFonts w:ascii="Arial" w:hAnsi="Arial" w:cs="Arial"/>
          <w:sz w:val="24"/>
          <w:szCs w:val="24"/>
        </w:rPr>
        <w:t xml:space="preserve">el </w:t>
      </w:r>
      <w:r w:rsidR="00672FE8">
        <w:rPr>
          <w:rFonts w:ascii="Arial" w:hAnsi="Arial" w:cs="Arial"/>
          <w:sz w:val="24"/>
          <w:szCs w:val="24"/>
        </w:rPr>
        <w:t>director General de Administración Cesar Isidro Cruz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DF085B" w:rsidRDefault="00DF085B" w:rsidP="005F0249">
      <w:pPr>
        <w:spacing w:line="240" w:lineRule="auto"/>
        <w:jc w:val="both"/>
        <w:rPr>
          <w:rFonts w:ascii="Arial" w:hAnsi="Arial" w:cs="Arial"/>
          <w:sz w:val="24"/>
          <w:szCs w:val="24"/>
        </w:rPr>
      </w:pPr>
    </w:p>
    <w:p w:rsidR="00845C94" w:rsidRDefault="00476EF2" w:rsidP="00845C94">
      <w:pPr>
        <w:spacing w:line="240" w:lineRule="auto"/>
        <w:jc w:val="both"/>
        <w:rPr>
          <w:rFonts w:ascii="Arial" w:hAnsi="Arial" w:cs="Arial"/>
          <w:sz w:val="24"/>
          <w:szCs w:val="24"/>
        </w:rPr>
      </w:pPr>
      <w:r w:rsidRPr="00115CE3">
        <w:rPr>
          <w:rFonts w:ascii="Arial" w:hAnsi="Arial" w:cs="Arial"/>
          <w:b/>
          <w:sz w:val="24"/>
          <w:szCs w:val="24"/>
        </w:rPr>
        <w:t xml:space="preserve">SEGUNDO. </w:t>
      </w:r>
      <w:r w:rsidR="00845C94">
        <w:rPr>
          <w:rFonts w:ascii="Arial" w:hAnsi="Arial" w:cs="Arial"/>
          <w:sz w:val="24"/>
          <w:szCs w:val="24"/>
        </w:rPr>
        <w:t>El director General de Administración Cesar Isidro Cruz</w:t>
      </w:r>
      <w:r w:rsidR="00845C94"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845C94" w:rsidRPr="00115CE3">
        <w:rPr>
          <w:rFonts w:ascii="Arial" w:hAnsi="Arial" w:cs="Arial"/>
          <w:i/>
          <w:sz w:val="24"/>
          <w:szCs w:val="24"/>
        </w:rPr>
        <w:t>tercero</w:t>
      </w:r>
      <w:r w:rsidR="00845C94" w:rsidRPr="00115CE3">
        <w:rPr>
          <w:rFonts w:ascii="Arial" w:hAnsi="Arial" w:cs="Arial"/>
          <w:sz w:val="24"/>
          <w:szCs w:val="24"/>
        </w:rPr>
        <w:t xml:space="preserve"> fracción III de la presente resolución.</w:t>
      </w:r>
    </w:p>
    <w:p w:rsidR="00DF085B" w:rsidRDefault="00DF085B" w:rsidP="00845C94">
      <w:pPr>
        <w:spacing w:line="240" w:lineRule="auto"/>
        <w:jc w:val="both"/>
        <w:rPr>
          <w:rFonts w:ascii="Arial" w:hAnsi="Arial" w:cs="Arial"/>
          <w:sz w:val="24"/>
          <w:szCs w:val="24"/>
        </w:rPr>
      </w:pPr>
    </w:p>
    <w:p w:rsidR="00845C94" w:rsidRDefault="00476EF2" w:rsidP="00845C94">
      <w:pPr>
        <w:spacing w:line="240" w:lineRule="auto"/>
        <w:jc w:val="both"/>
        <w:rPr>
          <w:rFonts w:ascii="Arial" w:hAnsi="Arial" w:cs="Arial"/>
          <w:sz w:val="24"/>
          <w:szCs w:val="24"/>
        </w:rPr>
      </w:pPr>
      <w:r w:rsidRPr="00115CE3">
        <w:rPr>
          <w:rFonts w:ascii="Arial" w:hAnsi="Arial" w:cs="Arial"/>
          <w:b/>
          <w:sz w:val="24"/>
          <w:szCs w:val="24"/>
        </w:rPr>
        <w:t xml:space="preserve">TERCERO. </w:t>
      </w:r>
      <w:bookmarkEnd w:id="1"/>
      <w:r w:rsidR="00845C94" w:rsidRPr="00115CE3">
        <w:rPr>
          <w:rFonts w:ascii="Arial" w:hAnsi="Arial" w:cs="Arial"/>
          <w:sz w:val="24"/>
          <w:szCs w:val="24"/>
        </w:rPr>
        <w:t xml:space="preserve">Se instruye </w:t>
      </w:r>
      <w:r w:rsidR="00845C94">
        <w:rPr>
          <w:rFonts w:ascii="Arial" w:hAnsi="Arial" w:cs="Arial"/>
          <w:sz w:val="24"/>
          <w:szCs w:val="24"/>
        </w:rPr>
        <w:t>al director General de Administración Cesar Isidro Cruz</w:t>
      </w:r>
      <w:r w:rsidR="00845C94" w:rsidRPr="00115CE3">
        <w:rPr>
          <w:rFonts w:ascii="Arial" w:hAnsi="Arial" w:cs="Arial"/>
          <w:sz w:val="24"/>
          <w:szCs w:val="24"/>
        </w:rPr>
        <w:t xml:space="preserve">, para que dé cumplimiento a los efectos de la presente resolución establecidos en el considerando </w:t>
      </w:r>
      <w:r w:rsidR="00845C94" w:rsidRPr="00115CE3">
        <w:rPr>
          <w:rFonts w:ascii="Arial" w:hAnsi="Arial" w:cs="Arial"/>
          <w:i/>
          <w:sz w:val="24"/>
          <w:szCs w:val="24"/>
        </w:rPr>
        <w:t>tercero</w:t>
      </w:r>
      <w:r w:rsidR="00845C94" w:rsidRPr="00115CE3">
        <w:rPr>
          <w:rFonts w:ascii="Arial" w:hAnsi="Arial" w:cs="Arial"/>
          <w:sz w:val="24"/>
          <w:szCs w:val="24"/>
        </w:rPr>
        <w:t xml:space="preserve"> fracción V.</w:t>
      </w:r>
    </w:p>
    <w:p w:rsidR="007814CD" w:rsidRDefault="007814CD" w:rsidP="005F0249">
      <w:pPr>
        <w:spacing w:line="240" w:lineRule="auto"/>
        <w:jc w:val="both"/>
        <w:rPr>
          <w:rFonts w:ascii="Arial" w:hAnsi="Arial" w:cs="Arial"/>
          <w:sz w:val="24"/>
          <w:szCs w:val="24"/>
        </w:rPr>
      </w:pPr>
    </w:p>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B75033">
        <w:rPr>
          <w:rFonts w:ascii="Arial" w:hAnsi="Arial" w:cs="Arial"/>
          <w:b/>
          <w:sz w:val="24"/>
          <w:szCs w:val="24"/>
        </w:rPr>
        <w:t>8</w:t>
      </w:r>
      <w:r w:rsidR="007814CD">
        <w:rPr>
          <w:rFonts w:ascii="Arial" w:hAnsi="Arial" w:cs="Arial"/>
          <w:b/>
          <w:sz w:val="24"/>
          <w:szCs w:val="24"/>
        </w:rPr>
        <w:t>1</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p w:rsidR="00DF085B" w:rsidRDefault="00DF085B" w:rsidP="005F0249">
      <w:pPr>
        <w:spacing w:line="240" w:lineRule="auto"/>
        <w:jc w:val="both"/>
        <w:rPr>
          <w:rFonts w:ascii="Arial" w:hAnsi="Arial" w:cs="Arial"/>
          <w:b/>
          <w:sz w:val="24"/>
          <w:szCs w:val="24"/>
        </w:rPr>
      </w:pPr>
    </w:p>
    <w:bookmarkEnd w:id="2"/>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lastRenderedPageBreak/>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752543" w:rsidRDefault="00752543" w:rsidP="00EF1D58">
      <w:pPr>
        <w:spacing w:after="0"/>
        <w:rPr>
          <w:rFonts w:ascii="Arial" w:hAnsi="Arial" w:cs="Arial"/>
          <w:sz w:val="24"/>
          <w:szCs w:val="24"/>
        </w:rPr>
      </w:pPr>
    </w:p>
    <w:p w:rsidR="004A6229" w:rsidRDefault="004A6229" w:rsidP="00EF1D58">
      <w:pPr>
        <w:spacing w:after="0"/>
        <w:jc w:val="both"/>
        <w:rPr>
          <w:rFonts w:ascii="Arial" w:hAnsi="Arial" w:cs="Arial"/>
          <w:sz w:val="24"/>
          <w:szCs w:val="24"/>
          <w:highlight w:val="yellow"/>
        </w:rPr>
      </w:pPr>
    </w:p>
    <w:p w:rsidR="00845C94" w:rsidRDefault="00845C94" w:rsidP="00EF1D58">
      <w:pPr>
        <w:spacing w:after="0"/>
        <w:jc w:val="both"/>
        <w:rPr>
          <w:rFonts w:ascii="Arial" w:hAnsi="Arial" w:cs="Arial"/>
          <w:sz w:val="24"/>
          <w:szCs w:val="24"/>
          <w:highlight w:val="yellow"/>
        </w:rPr>
      </w:pPr>
    </w:p>
    <w:p w:rsidR="00845C94" w:rsidRPr="00115CE3" w:rsidRDefault="00845C94"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845C94" w:rsidRDefault="00845C94" w:rsidP="00EF1D58">
      <w:pPr>
        <w:tabs>
          <w:tab w:val="left" w:pos="8998"/>
          <w:tab w:val="left" w:pos="9932"/>
        </w:tabs>
        <w:spacing w:before="20" w:after="0"/>
        <w:rPr>
          <w:rFonts w:ascii="Arial" w:eastAsia="Arial" w:hAnsi="Arial" w:cs="Arial"/>
          <w:b/>
          <w:sz w:val="24"/>
          <w:szCs w:val="24"/>
        </w:rPr>
      </w:pPr>
    </w:p>
    <w:p w:rsidR="00845C94" w:rsidRDefault="00845C94" w:rsidP="00EF1D58">
      <w:pPr>
        <w:tabs>
          <w:tab w:val="left" w:pos="8998"/>
          <w:tab w:val="left" w:pos="9932"/>
        </w:tabs>
        <w:spacing w:before="20" w:after="0"/>
        <w:rPr>
          <w:rFonts w:ascii="Arial" w:eastAsia="Arial" w:hAnsi="Arial" w:cs="Arial"/>
          <w:b/>
          <w:sz w:val="24"/>
          <w:szCs w:val="24"/>
        </w:rPr>
      </w:pPr>
    </w:p>
    <w:p w:rsidR="00845C94" w:rsidRDefault="00845C94"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845C94" w:rsidRDefault="00845C94" w:rsidP="00EF1D58">
      <w:pPr>
        <w:spacing w:after="0"/>
        <w:rPr>
          <w:rFonts w:ascii="Arial" w:hAnsi="Arial" w:cs="Arial"/>
          <w:b/>
          <w:sz w:val="24"/>
          <w:szCs w:val="24"/>
        </w:rPr>
      </w:pPr>
    </w:p>
    <w:p w:rsidR="00845C94" w:rsidRDefault="00845C94" w:rsidP="00EF1D58">
      <w:pPr>
        <w:spacing w:after="0"/>
        <w:rPr>
          <w:rFonts w:ascii="Arial" w:hAnsi="Arial" w:cs="Arial"/>
          <w:b/>
          <w:sz w:val="24"/>
          <w:szCs w:val="24"/>
        </w:rPr>
      </w:pPr>
    </w:p>
    <w:p w:rsidR="00845C94" w:rsidRDefault="00845C94"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6FD4" w:rsidRDefault="00316FD4">
      <w:r>
        <w:separator/>
      </w:r>
    </w:p>
  </w:endnote>
  <w:endnote w:type="continuationSeparator" w:id="0">
    <w:p w:rsidR="00316FD4" w:rsidRDefault="00316F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17E1" w:rsidRDefault="00B917E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17E1" w:rsidRDefault="00B917E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6FD4" w:rsidRDefault="00316FD4">
      <w:r>
        <w:separator/>
      </w:r>
    </w:p>
  </w:footnote>
  <w:footnote w:type="continuationSeparator" w:id="0">
    <w:p w:rsidR="00316FD4" w:rsidRDefault="00316F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17E1" w:rsidRDefault="00B917E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4110922"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B917E1">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4110923"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764AA">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AR/</w:t>
                          </w:r>
                          <w:r w:rsidR="00CE3272">
                            <w:rPr>
                              <w:rFonts w:ascii="Arial" w:hAnsi="Arial" w:cs="Arial"/>
                              <w:b/>
                              <w:color w:val="FFFFFF" w:themeColor="background1"/>
                              <w:sz w:val="18"/>
                              <w:szCs w:val="18"/>
                              <w:lang w:val="es-ES"/>
                            </w:rPr>
                            <w:t>0</w:t>
                          </w:r>
                          <w:r w:rsidR="00672FE8">
                            <w:rPr>
                              <w:rFonts w:ascii="Arial" w:hAnsi="Arial" w:cs="Arial"/>
                              <w:b/>
                              <w:color w:val="FFFFFF" w:themeColor="background1"/>
                              <w:sz w:val="18"/>
                              <w:szCs w:val="18"/>
                              <w:lang w:val="es-ES"/>
                            </w:rPr>
                            <w:t>5</w:t>
                          </w:r>
                          <w:r w:rsidR="007814CD">
                            <w:rPr>
                              <w:rFonts w:ascii="Arial" w:hAnsi="Arial" w:cs="Arial"/>
                              <w:b/>
                              <w:color w:val="FFFFFF" w:themeColor="background1"/>
                              <w:sz w:val="18"/>
                              <w:szCs w:val="18"/>
                              <w:lang w:val="es-ES"/>
                            </w:rPr>
                            <w:t>9</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director General de Administración</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764AA">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AR/</w:t>
                    </w:r>
                    <w:r w:rsidR="00CE3272">
                      <w:rPr>
                        <w:rFonts w:ascii="Arial" w:hAnsi="Arial" w:cs="Arial"/>
                        <w:b/>
                        <w:color w:val="FFFFFF" w:themeColor="background1"/>
                        <w:sz w:val="18"/>
                        <w:szCs w:val="18"/>
                        <w:lang w:val="es-ES"/>
                      </w:rPr>
                      <w:t>0</w:t>
                    </w:r>
                    <w:r w:rsidR="00672FE8">
                      <w:rPr>
                        <w:rFonts w:ascii="Arial" w:hAnsi="Arial" w:cs="Arial"/>
                        <w:b/>
                        <w:color w:val="FFFFFF" w:themeColor="background1"/>
                        <w:sz w:val="18"/>
                        <w:szCs w:val="18"/>
                        <w:lang w:val="es-ES"/>
                      </w:rPr>
                      <w:t>5</w:t>
                    </w:r>
                    <w:r w:rsidR="007814CD">
                      <w:rPr>
                        <w:rFonts w:ascii="Arial" w:hAnsi="Arial" w:cs="Arial"/>
                        <w:b/>
                        <w:color w:val="FFFFFF" w:themeColor="background1"/>
                        <w:sz w:val="18"/>
                        <w:szCs w:val="18"/>
                        <w:lang w:val="es-ES"/>
                      </w:rPr>
                      <w:t>9</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director General de Administración</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17E1" w:rsidRDefault="00B917E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4110921"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6FD4"/>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617AB"/>
    <w:rsid w:val="00364780"/>
    <w:rsid w:val="00374F51"/>
    <w:rsid w:val="00375ED0"/>
    <w:rsid w:val="00376B01"/>
    <w:rsid w:val="0037773A"/>
    <w:rsid w:val="0038167B"/>
    <w:rsid w:val="003834BC"/>
    <w:rsid w:val="00385479"/>
    <w:rsid w:val="0039067D"/>
    <w:rsid w:val="003924E6"/>
    <w:rsid w:val="003930E6"/>
    <w:rsid w:val="00394C05"/>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291"/>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4CD"/>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45C94"/>
    <w:rsid w:val="00850661"/>
    <w:rsid w:val="00854CCF"/>
    <w:rsid w:val="008565C9"/>
    <w:rsid w:val="0086255E"/>
    <w:rsid w:val="0086360B"/>
    <w:rsid w:val="008669B5"/>
    <w:rsid w:val="008669E7"/>
    <w:rsid w:val="00870789"/>
    <w:rsid w:val="00871464"/>
    <w:rsid w:val="0087353B"/>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08DE"/>
    <w:rsid w:val="00A027E0"/>
    <w:rsid w:val="00A11177"/>
    <w:rsid w:val="00A1332F"/>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75033"/>
    <w:rsid w:val="00B80027"/>
    <w:rsid w:val="00B82063"/>
    <w:rsid w:val="00B835A7"/>
    <w:rsid w:val="00B8766D"/>
    <w:rsid w:val="00B87F89"/>
    <w:rsid w:val="00B90860"/>
    <w:rsid w:val="00B90A8A"/>
    <w:rsid w:val="00B917E1"/>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5708"/>
    <w:rsid w:val="00C40442"/>
    <w:rsid w:val="00C42AC3"/>
    <w:rsid w:val="00C42F42"/>
    <w:rsid w:val="00C43AFA"/>
    <w:rsid w:val="00C44251"/>
    <w:rsid w:val="00C4433F"/>
    <w:rsid w:val="00C45988"/>
    <w:rsid w:val="00C5041B"/>
    <w:rsid w:val="00C54B5D"/>
    <w:rsid w:val="00C60803"/>
    <w:rsid w:val="00C61363"/>
    <w:rsid w:val="00C61851"/>
    <w:rsid w:val="00C621B7"/>
    <w:rsid w:val="00C62917"/>
    <w:rsid w:val="00C63027"/>
    <w:rsid w:val="00C65A95"/>
    <w:rsid w:val="00C65C22"/>
    <w:rsid w:val="00C70971"/>
    <w:rsid w:val="00C71829"/>
    <w:rsid w:val="00C75574"/>
    <w:rsid w:val="00C760CF"/>
    <w:rsid w:val="00C76C0B"/>
    <w:rsid w:val="00C8519A"/>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E3272"/>
    <w:rsid w:val="00CF11DE"/>
    <w:rsid w:val="00CF5326"/>
    <w:rsid w:val="00CF5772"/>
    <w:rsid w:val="00D01046"/>
    <w:rsid w:val="00D024F4"/>
    <w:rsid w:val="00D0353D"/>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34BA"/>
    <w:rsid w:val="00D550D0"/>
    <w:rsid w:val="00D60FCE"/>
    <w:rsid w:val="00D73BF1"/>
    <w:rsid w:val="00D77002"/>
    <w:rsid w:val="00D7765F"/>
    <w:rsid w:val="00D812EA"/>
    <w:rsid w:val="00D843EF"/>
    <w:rsid w:val="00D855D5"/>
    <w:rsid w:val="00D90F51"/>
    <w:rsid w:val="00D93F6F"/>
    <w:rsid w:val="00D951F0"/>
    <w:rsid w:val="00D96174"/>
    <w:rsid w:val="00DA1553"/>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085B"/>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01A9"/>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8B1F7D-F412-4FB1-B90F-68BDBF1AC1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11</Pages>
  <Words>4290</Words>
  <Characters>23596</Characters>
  <Application>Microsoft Office Word</Application>
  <DocSecurity>0</DocSecurity>
  <Lines>196</Lines>
  <Paragraphs>55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27831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4</cp:revision>
  <cp:lastPrinted>2025-07-07T16:07:00Z</cp:lastPrinted>
  <dcterms:created xsi:type="dcterms:W3CDTF">2025-09-05T16:23:00Z</dcterms:created>
  <dcterms:modified xsi:type="dcterms:W3CDTF">2025-09-18T17:51:00Z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