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F3665" w:rsidRPr="00E61018" w:rsidRDefault="00C246B2" w:rsidP="00E61018">
      <w:pPr>
        <w:pStyle w:val="Subttulo"/>
        <w:jc w:val="both"/>
        <w:rPr>
          <w:rFonts w:ascii="Arial" w:hAnsi="Arial" w:cs="Arial"/>
          <w:color w:val="auto"/>
          <w:spacing w:val="0"/>
          <w:sz w:val="24"/>
          <w:szCs w:val="24"/>
        </w:rPr>
      </w:pPr>
      <w:bookmarkStart w:id="0" w:name="_GoBack"/>
      <w:bookmarkEnd w:id="0"/>
      <w:r w:rsidRPr="00E61018">
        <w:rPr>
          <w:rFonts w:ascii="Arial" w:hAnsi="Arial" w:cs="Arial"/>
          <w:color w:val="auto"/>
          <w:spacing w:val="0"/>
          <w:sz w:val="24"/>
          <w:szCs w:val="24"/>
        </w:rPr>
        <w:t>En la ciudad de San Luis Potosí, San Luis Potosí</w:t>
      </w:r>
      <w:r w:rsidR="007F24DE" w:rsidRPr="00E61018">
        <w:rPr>
          <w:rFonts w:ascii="Arial" w:hAnsi="Arial" w:cs="Arial"/>
          <w:color w:val="auto"/>
          <w:spacing w:val="0"/>
          <w:sz w:val="24"/>
          <w:szCs w:val="24"/>
        </w:rPr>
        <w:t xml:space="preserve"> a los </w:t>
      </w:r>
      <w:r w:rsidR="00A9088A">
        <w:rPr>
          <w:rFonts w:ascii="Arial" w:hAnsi="Arial" w:cs="Arial"/>
          <w:b/>
          <w:color w:val="auto"/>
          <w:spacing w:val="0"/>
          <w:sz w:val="24"/>
          <w:szCs w:val="24"/>
        </w:rPr>
        <w:t>seis</w:t>
      </w:r>
      <w:r w:rsidR="009B0D72">
        <w:rPr>
          <w:rFonts w:ascii="Arial" w:hAnsi="Arial" w:cs="Arial"/>
          <w:b/>
          <w:color w:val="auto"/>
          <w:spacing w:val="0"/>
          <w:sz w:val="24"/>
          <w:szCs w:val="24"/>
        </w:rPr>
        <w:t xml:space="preserve"> </w:t>
      </w:r>
      <w:r w:rsidR="007F24DE" w:rsidRPr="00E61018">
        <w:rPr>
          <w:rFonts w:ascii="Arial" w:hAnsi="Arial" w:cs="Arial"/>
          <w:color w:val="auto"/>
          <w:spacing w:val="0"/>
          <w:sz w:val="24"/>
          <w:szCs w:val="24"/>
        </w:rPr>
        <w:t xml:space="preserve"> días del mes de </w:t>
      </w:r>
      <w:r w:rsidR="007D231E">
        <w:rPr>
          <w:rFonts w:ascii="Arial" w:hAnsi="Arial" w:cs="Arial"/>
          <w:b/>
          <w:color w:val="auto"/>
          <w:spacing w:val="0"/>
          <w:sz w:val="24"/>
          <w:szCs w:val="24"/>
        </w:rPr>
        <w:t>noviembre</w:t>
      </w:r>
      <w:r w:rsidR="00662DF6" w:rsidRPr="00E61018">
        <w:rPr>
          <w:rFonts w:ascii="Arial" w:hAnsi="Arial" w:cs="Arial"/>
          <w:color w:val="auto"/>
          <w:spacing w:val="0"/>
          <w:sz w:val="24"/>
          <w:szCs w:val="24"/>
        </w:rPr>
        <w:t xml:space="preserve"> 2025</w:t>
      </w:r>
      <w:r w:rsidRPr="00E61018">
        <w:rPr>
          <w:rFonts w:ascii="Arial" w:hAnsi="Arial" w:cs="Arial"/>
          <w:color w:val="auto"/>
          <w:spacing w:val="0"/>
          <w:sz w:val="24"/>
          <w:szCs w:val="24"/>
        </w:rPr>
        <w:t>, en</w:t>
      </w:r>
      <w:r w:rsidR="009819AE" w:rsidRPr="00E61018">
        <w:rPr>
          <w:rFonts w:ascii="Arial" w:hAnsi="Arial" w:cs="Arial"/>
          <w:color w:val="auto"/>
          <w:spacing w:val="0"/>
          <w:sz w:val="24"/>
          <w:szCs w:val="24"/>
        </w:rPr>
        <w:t xml:space="preserve"> cumplimiento al acuerdo emitido por el Comité de Transparencia de la Fiscalía General en </w:t>
      </w:r>
      <w:r w:rsidRPr="00E61018">
        <w:rPr>
          <w:rFonts w:ascii="Arial" w:hAnsi="Arial" w:cs="Arial"/>
          <w:color w:val="auto"/>
          <w:spacing w:val="0"/>
          <w:sz w:val="24"/>
          <w:szCs w:val="24"/>
        </w:rPr>
        <w:t xml:space="preserve">su </w:t>
      </w:r>
      <w:r w:rsidR="00A9088A">
        <w:rPr>
          <w:rFonts w:ascii="Arial" w:hAnsi="Arial" w:cs="Arial"/>
          <w:b/>
          <w:color w:val="auto"/>
          <w:spacing w:val="0"/>
          <w:sz w:val="24"/>
          <w:szCs w:val="24"/>
        </w:rPr>
        <w:t>décim</w:t>
      </w:r>
      <w:r w:rsidR="009B0D72">
        <w:rPr>
          <w:rFonts w:ascii="Arial" w:hAnsi="Arial" w:cs="Arial"/>
          <w:b/>
          <w:color w:val="auto"/>
          <w:spacing w:val="0"/>
          <w:sz w:val="24"/>
          <w:szCs w:val="24"/>
        </w:rPr>
        <w:t>a</w:t>
      </w:r>
      <w:r w:rsidR="007D231E">
        <w:rPr>
          <w:rFonts w:ascii="Arial" w:hAnsi="Arial" w:cs="Arial"/>
          <w:b/>
          <w:color w:val="auto"/>
          <w:spacing w:val="0"/>
          <w:sz w:val="24"/>
          <w:szCs w:val="24"/>
        </w:rPr>
        <w:t xml:space="preserve"> primera</w:t>
      </w:r>
      <w:r w:rsidR="003F4878" w:rsidRPr="00E61018">
        <w:rPr>
          <w:rFonts w:ascii="Arial" w:hAnsi="Arial" w:cs="Arial"/>
          <w:color w:val="auto"/>
          <w:spacing w:val="0"/>
          <w:sz w:val="24"/>
          <w:szCs w:val="24"/>
        </w:rPr>
        <w:t xml:space="preserve"> </w:t>
      </w:r>
      <w:r w:rsidRPr="00E61018">
        <w:rPr>
          <w:rFonts w:ascii="Arial" w:hAnsi="Arial" w:cs="Arial"/>
          <w:color w:val="auto"/>
          <w:spacing w:val="0"/>
          <w:sz w:val="24"/>
          <w:szCs w:val="24"/>
        </w:rPr>
        <w:t>s</w:t>
      </w:r>
      <w:r w:rsidR="009819AE" w:rsidRPr="00E61018">
        <w:rPr>
          <w:rFonts w:ascii="Arial" w:hAnsi="Arial" w:cs="Arial"/>
          <w:color w:val="auto"/>
          <w:spacing w:val="0"/>
          <w:sz w:val="24"/>
          <w:szCs w:val="24"/>
        </w:rPr>
        <w:t xml:space="preserve">esión </w:t>
      </w:r>
      <w:r w:rsidR="007F24DE" w:rsidRPr="00E61018">
        <w:rPr>
          <w:rFonts w:ascii="Arial" w:hAnsi="Arial" w:cs="Arial"/>
          <w:color w:val="auto"/>
          <w:spacing w:val="0"/>
          <w:sz w:val="24"/>
          <w:szCs w:val="24"/>
        </w:rPr>
        <w:t>ordinaria</w:t>
      </w:r>
      <w:r w:rsidR="009819AE" w:rsidRPr="00E61018">
        <w:rPr>
          <w:rFonts w:ascii="Arial" w:hAnsi="Arial" w:cs="Arial"/>
          <w:color w:val="auto"/>
          <w:spacing w:val="0"/>
          <w:sz w:val="24"/>
          <w:szCs w:val="24"/>
        </w:rPr>
        <w:t xml:space="preserve"> 202</w:t>
      </w:r>
      <w:r w:rsidR="00662DF6" w:rsidRPr="00E61018">
        <w:rPr>
          <w:rFonts w:ascii="Arial" w:hAnsi="Arial" w:cs="Arial"/>
          <w:color w:val="auto"/>
          <w:spacing w:val="0"/>
          <w:sz w:val="24"/>
          <w:szCs w:val="24"/>
        </w:rPr>
        <w:t>5</w:t>
      </w:r>
      <w:r w:rsidR="009819AE" w:rsidRPr="00E61018">
        <w:rPr>
          <w:rFonts w:ascii="Arial" w:hAnsi="Arial" w:cs="Arial"/>
          <w:color w:val="auto"/>
          <w:spacing w:val="0"/>
          <w:sz w:val="24"/>
          <w:szCs w:val="24"/>
        </w:rPr>
        <w:t xml:space="preserve">, </w:t>
      </w:r>
      <w:r w:rsidRPr="00E61018">
        <w:rPr>
          <w:rFonts w:ascii="Arial" w:hAnsi="Arial" w:cs="Arial"/>
          <w:color w:val="auto"/>
          <w:spacing w:val="0"/>
          <w:sz w:val="24"/>
          <w:szCs w:val="24"/>
        </w:rPr>
        <w:t xml:space="preserve">y </w:t>
      </w:r>
      <w:r w:rsidR="009819AE" w:rsidRPr="00E61018">
        <w:rPr>
          <w:rFonts w:ascii="Arial" w:hAnsi="Arial" w:cs="Arial"/>
          <w:color w:val="auto"/>
          <w:spacing w:val="0"/>
          <w:sz w:val="24"/>
          <w:szCs w:val="24"/>
        </w:rPr>
        <w:t xml:space="preserve">en términos de lo dispuesto por los artículos 51, 52 fracción II, 127 de la </w:t>
      </w:r>
      <w:r w:rsidR="001771BC" w:rsidRPr="00E61018">
        <w:rPr>
          <w:rFonts w:ascii="Arial" w:hAnsi="Arial" w:cs="Arial"/>
          <w:color w:val="auto"/>
          <w:spacing w:val="0"/>
          <w:sz w:val="24"/>
          <w:szCs w:val="24"/>
        </w:rPr>
        <w:t>l</w:t>
      </w:r>
      <w:r w:rsidR="009819AE" w:rsidRPr="00E61018">
        <w:rPr>
          <w:rFonts w:ascii="Arial" w:hAnsi="Arial" w:cs="Arial"/>
          <w:color w:val="auto"/>
          <w:spacing w:val="0"/>
          <w:sz w:val="24"/>
          <w:szCs w:val="24"/>
        </w:rPr>
        <w:t xml:space="preserve">ey de Transparencia y Acceso a la Información Pública del </w:t>
      </w:r>
      <w:r w:rsidR="001771BC" w:rsidRPr="00E61018">
        <w:rPr>
          <w:rFonts w:ascii="Arial" w:hAnsi="Arial" w:cs="Arial"/>
          <w:color w:val="auto"/>
          <w:spacing w:val="0"/>
          <w:sz w:val="24"/>
          <w:szCs w:val="24"/>
        </w:rPr>
        <w:t>e</w:t>
      </w:r>
      <w:r w:rsidR="009819AE" w:rsidRPr="00E61018">
        <w:rPr>
          <w:rFonts w:ascii="Arial" w:hAnsi="Arial" w:cs="Arial"/>
          <w:color w:val="auto"/>
          <w:spacing w:val="0"/>
          <w:sz w:val="24"/>
          <w:szCs w:val="24"/>
        </w:rPr>
        <w:t xml:space="preserve">stado de San Luis Potosí </w:t>
      </w:r>
      <w:r w:rsidR="001771BC" w:rsidRPr="00E61018">
        <w:rPr>
          <w:rFonts w:ascii="Arial" w:hAnsi="Arial" w:cs="Arial"/>
          <w:color w:val="auto"/>
          <w:spacing w:val="0"/>
          <w:sz w:val="24"/>
          <w:szCs w:val="24"/>
        </w:rPr>
        <w:t>-</w:t>
      </w:r>
      <w:r w:rsidR="009819AE" w:rsidRPr="00E61018">
        <w:rPr>
          <w:rFonts w:ascii="Arial" w:hAnsi="Arial" w:cs="Arial"/>
          <w:color w:val="auto"/>
          <w:spacing w:val="0"/>
          <w:sz w:val="24"/>
          <w:szCs w:val="24"/>
        </w:rPr>
        <w:t>LTAIPSLP</w:t>
      </w:r>
      <w:r w:rsidR="001771BC" w:rsidRPr="00E61018">
        <w:rPr>
          <w:rFonts w:ascii="Arial" w:hAnsi="Arial" w:cs="Arial"/>
          <w:color w:val="auto"/>
          <w:spacing w:val="0"/>
          <w:sz w:val="24"/>
          <w:szCs w:val="24"/>
        </w:rPr>
        <w:t>-</w:t>
      </w:r>
      <w:r w:rsidR="009819AE" w:rsidRPr="00E61018">
        <w:rPr>
          <w:rFonts w:ascii="Arial" w:hAnsi="Arial" w:cs="Arial"/>
          <w:color w:val="auto"/>
          <w:spacing w:val="0"/>
          <w:sz w:val="24"/>
          <w:szCs w:val="24"/>
        </w:rPr>
        <w:t xml:space="preserve">, lineamiento </w:t>
      </w:r>
      <w:r w:rsidR="005B0E50" w:rsidRPr="00E61018">
        <w:rPr>
          <w:rFonts w:ascii="Arial" w:hAnsi="Arial" w:cs="Arial"/>
          <w:color w:val="auto"/>
          <w:spacing w:val="0"/>
          <w:sz w:val="24"/>
          <w:szCs w:val="24"/>
        </w:rPr>
        <w:t>q</w:t>
      </w:r>
      <w:r w:rsidR="009819AE" w:rsidRPr="00E61018">
        <w:rPr>
          <w:rFonts w:ascii="Arial" w:hAnsi="Arial" w:cs="Arial"/>
          <w:color w:val="auto"/>
          <w:spacing w:val="0"/>
          <w:sz w:val="24"/>
          <w:szCs w:val="24"/>
        </w:rPr>
        <w:t xml:space="preserve">uincuagésimo </w:t>
      </w:r>
      <w:r w:rsidR="001771BC" w:rsidRPr="00E61018">
        <w:rPr>
          <w:rFonts w:ascii="Arial" w:hAnsi="Arial" w:cs="Arial"/>
          <w:color w:val="auto"/>
          <w:spacing w:val="0"/>
          <w:sz w:val="24"/>
          <w:szCs w:val="24"/>
        </w:rPr>
        <w:t>p</w:t>
      </w:r>
      <w:r w:rsidR="009819AE" w:rsidRPr="00E61018">
        <w:rPr>
          <w:rFonts w:ascii="Arial" w:hAnsi="Arial" w:cs="Arial"/>
          <w:color w:val="auto"/>
          <w:spacing w:val="0"/>
          <w:sz w:val="24"/>
          <w:szCs w:val="24"/>
        </w:rPr>
        <w:t xml:space="preserve">rimero de los Lineamientos Generales para la Clasificación y Desclasificación de la Información, así como para la </w:t>
      </w:r>
      <w:r w:rsidR="001771BC" w:rsidRPr="00E61018">
        <w:rPr>
          <w:rFonts w:ascii="Arial" w:hAnsi="Arial" w:cs="Arial"/>
          <w:color w:val="auto"/>
          <w:spacing w:val="0"/>
          <w:sz w:val="24"/>
          <w:szCs w:val="24"/>
        </w:rPr>
        <w:t>e</w:t>
      </w:r>
      <w:r w:rsidR="009819AE" w:rsidRPr="00E61018">
        <w:rPr>
          <w:rFonts w:ascii="Arial" w:hAnsi="Arial" w:cs="Arial"/>
          <w:color w:val="auto"/>
          <w:spacing w:val="0"/>
          <w:sz w:val="24"/>
          <w:szCs w:val="24"/>
        </w:rPr>
        <w:t>laboración de Versiones Públicas</w:t>
      </w:r>
      <w:r w:rsidR="00CE31CC" w:rsidRPr="00E61018">
        <w:rPr>
          <w:rFonts w:ascii="Arial" w:hAnsi="Arial" w:cs="Arial"/>
          <w:color w:val="auto"/>
          <w:spacing w:val="0"/>
          <w:sz w:val="24"/>
          <w:szCs w:val="24"/>
        </w:rPr>
        <w:t xml:space="preserve"> </w:t>
      </w:r>
      <w:r w:rsidR="001771BC" w:rsidRPr="00E61018">
        <w:rPr>
          <w:rFonts w:ascii="Arial" w:hAnsi="Arial" w:cs="Arial"/>
          <w:color w:val="auto"/>
          <w:spacing w:val="0"/>
          <w:sz w:val="24"/>
          <w:szCs w:val="24"/>
        </w:rPr>
        <w:t>-</w:t>
      </w:r>
      <w:r w:rsidR="009819AE" w:rsidRPr="00E61018">
        <w:rPr>
          <w:rFonts w:ascii="Arial" w:hAnsi="Arial" w:cs="Arial"/>
          <w:color w:val="auto"/>
          <w:spacing w:val="0"/>
          <w:sz w:val="24"/>
          <w:szCs w:val="24"/>
        </w:rPr>
        <w:t>LGCDIEVP</w:t>
      </w:r>
      <w:r w:rsidR="001771BC" w:rsidRPr="00E61018">
        <w:rPr>
          <w:rFonts w:ascii="Arial" w:hAnsi="Arial" w:cs="Arial"/>
          <w:color w:val="auto"/>
          <w:spacing w:val="0"/>
          <w:sz w:val="24"/>
          <w:szCs w:val="24"/>
        </w:rPr>
        <w:t>-</w:t>
      </w:r>
      <w:r w:rsidR="009819AE" w:rsidRPr="00E61018">
        <w:rPr>
          <w:rFonts w:ascii="Arial" w:hAnsi="Arial" w:cs="Arial"/>
          <w:color w:val="auto"/>
          <w:spacing w:val="0"/>
          <w:sz w:val="24"/>
          <w:szCs w:val="24"/>
        </w:rPr>
        <w:t xml:space="preserve">, se procede a emitir la siguiente </w:t>
      </w:r>
      <w:r w:rsidR="001771BC" w:rsidRPr="00E61018">
        <w:rPr>
          <w:rFonts w:ascii="Arial" w:hAnsi="Arial" w:cs="Arial"/>
          <w:color w:val="auto"/>
          <w:spacing w:val="0"/>
          <w:sz w:val="24"/>
          <w:szCs w:val="24"/>
        </w:rPr>
        <w:t>r</w:t>
      </w:r>
      <w:r w:rsidR="009819AE" w:rsidRPr="00E61018">
        <w:rPr>
          <w:rFonts w:ascii="Arial" w:hAnsi="Arial" w:cs="Arial"/>
          <w:color w:val="auto"/>
          <w:spacing w:val="0"/>
          <w:sz w:val="24"/>
          <w:szCs w:val="24"/>
        </w:rPr>
        <w:t xml:space="preserve">esolución. </w:t>
      </w:r>
    </w:p>
    <w:p w:rsidR="00B11FCD" w:rsidRDefault="00B11FCD" w:rsidP="00662DF6">
      <w:pPr>
        <w:jc w:val="both"/>
        <w:rPr>
          <w:rFonts w:ascii="Arial" w:hAnsi="Arial" w:cs="Arial"/>
        </w:rPr>
      </w:pPr>
    </w:p>
    <w:p w:rsidR="00BF3665" w:rsidRDefault="009819AE" w:rsidP="00662DF6">
      <w:pPr>
        <w:jc w:val="center"/>
        <w:rPr>
          <w:rFonts w:ascii="Arial" w:hAnsi="Arial" w:cs="Arial"/>
          <w:b/>
        </w:rPr>
      </w:pPr>
      <w:r>
        <w:rPr>
          <w:rFonts w:ascii="Arial" w:hAnsi="Arial" w:cs="Arial"/>
          <w:b/>
        </w:rPr>
        <w:t>RESULTANDO</w:t>
      </w:r>
    </w:p>
    <w:p w:rsidR="00B51013" w:rsidRDefault="00B51013" w:rsidP="00662DF6">
      <w:pPr>
        <w:jc w:val="center"/>
        <w:rPr>
          <w:rFonts w:ascii="Arial" w:hAnsi="Arial" w:cs="Arial"/>
          <w:b/>
        </w:rPr>
      </w:pPr>
    </w:p>
    <w:p w:rsidR="00BF3665" w:rsidRDefault="009819AE" w:rsidP="00662DF6">
      <w:pPr>
        <w:jc w:val="both"/>
        <w:rPr>
          <w:rFonts w:ascii="Arial" w:hAnsi="Arial" w:cs="Arial"/>
        </w:rPr>
      </w:pPr>
      <w:r>
        <w:rPr>
          <w:rFonts w:ascii="Arial" w:hAnsi="Arial" w:cs="Arial"/>
          <w:b/>
        </w:rPr>
        <w:t>I</w:t>
      </w:r>
      <w:r>
        <w:rPr>
          <w:rFonts w:ascii="Arial" w:hAnsi="Arial" w:cs="Arial"/>
        </w:rPr>
        <w:t xml:space="preserve">. </w:t>
      </w:r>
      <w:r w:rsidR="003F4878">
        <w:rPr>
          <w:rFonts w:ascii="Arial" w:hAnsi="Arial" w:cs="Arial"/>
        </w:rPr>
        <w:t xml:space="preserve">El </w:t>
      </w:r>
      <w:r w:rsidR="00C24991">
        <w:rPr>
          <w:rFonts w:ascii="Arial" w:hAnsi="Arial" w:cs="Arial"/>
        </w:rPr>
        <w:t>d</w:t>
      </w:r>
      <w:r w:rsidR="003F4878">
        <w:rPr>
          <w:rFonts w:ascii="Arial" w:hAnsi="Arial" w:cs="Arial"/>
        </w:rPr>
        <w:t>octor Jesús Rafael Rodríguez López</w:t>
      </w:r>
      <w:r w:rsidR="006F3DBB">
        <w:rPr>
          <w:rFonts w:ascii="Arial" w:hAnsi="Arial" w:cs="Arial"/>
        </w:rPr>
        <w:t xml:space="preserve">, titular del </w:t>
      </w:r>
      <w:r w:rsidR="0031213A">
        <w:rPr>
          <w:rFonts w:ascii="Arial" w:hAnsi="Arial" w:cs="Arial"/>
        </w:rPr>
        <w:t>Órgano Interno de Control</w:t>
      </w:r>
      <w:r w:rsidR="00376B01">
        <w:rPr>
          <w:rFonts w:ascii="Arial" w:hAnsi="Arial" w:cs="Arial"/>
        </w:rPr>
        <w:t>,</w:t>
      </w:r>
      <w:r>
        <w:rPr>
          <w:rFonts w:ascii="Arial" w:hAnsi="Arial" w:cs="Arial"/>
        </w:rPr>
        <w:t xml:space="preserve"> mediante </w:t>
      </w:r>
      <w:r w:rsidR="006F3DBB">
        <w:rPr>
          <w:rFonts w:ascii="Arial" w:hAnsi="Arial" w:cs="Arial"/>
        </w:rPr>
        <w:t xml:space="preserve">acuerdo </w:t>
      </w:r>
      <w:r w:rsidR="006F3DBB" w:rsidRPr="00662DF6">
        <w:rPr>
          <w:rFonts w:ascii="Arial" w:hAnsi="Arial" w:cs="Arial"/>
          <w:b/>
        </w:rPr>
        <w:t>AR/</w:t>
      </w:r>
      <w:r w:rsidR="00803FA7">
        <w:rPr>
          <w:rFonts w:ascii="Arial" w:hAnsi="Arial" w:cs="Arial"/>
          <w:b/>
        </w:rPr>
        <w:t>2</w:t>
      </w:r>
      <w:r w:rsidR="007D231E">
        <w:rPr>
          <w:rFonts w:ascii="Arial" w:hAnsi="Arial" w:cs="Arial"/>
          <w:b/>
        </w:rPr>
        <w:t>9</w:t>
      </w:r>
      <w:r w:rsidR="006F3DBB" w:rsidRPr="00662DF6">
        <w:rPr>
          <w:rFonts w:ascii="Arial" w:hAnsi="Arial" w:cs="Arial"/>
          <w:b/>
        </w:rPr>
        <w:t>/202</w:t>
      </w:r>
      <w:r w:rsidR="00662DF6">
        <w:rPr>
          <w:rFonts w:ascii="Arial" w:hAnsi="Arial" w:cs="Arial"/>
          <w:b/>
        </w:rPr>
        <w:t>5</w:t>
      </w:r>
      <w:r w:rsidRPr="00662DF6">
        <w:rPr>
          <w:rFonts w:ascii="Arial" w:hAnsi="Arial" w:cs="Arial"/>
          <w:b/>
        </w:rPr>
        <w:t xml:space="preserve"> </w:t>
      </w:r>
      <w:r>
        <w:rPr>
          <w:rFonts w:ascii="Arial" w:hAnsi="Arial" w:cs="Arial"/>
        </w:rPr>
        <w:t xml:space="preserve">manifiesta </w:t>
      </w:r>
      <w:r w:rsidR="006F3DBB">
        <w:rPr>
          <w:rFonts w:ascii="Arial" w:hAnsi="Arial" w:cs="Arial"/>
        </w:rPr>
        <w:t xml:space="preserve">contar con la obligación establecida en </w:t>
      </w:r>
      <w:r>
        <w:rPr>
          <w:rFonts w:ascii="Arial" w:hAnsi="Arial" w:cs="Arial"/>
        </w:rPr>
        <w:t xml:space="preserve">el supuesto del artículo </w:t>
      </w:r>
      <w:r w:rsidR="00376B01">
        <w:rPr>
          <w:rFonts w:ascii="Arial" w:hAnsi="Arial" w:cs="Arial"/>
        </w:rPr>
        <w:t>120</w:t>
      </w:r>
      <w:r>
        <w:rPr>
          <w:rFonts w:ascii="Arial" w:hAnsi="Arial" w:cs="Arial"/>
        </w:rPr>
        <w:t xml:space="preserve"> fracción</w:t>
      </w:r>
      <w:r w:rsidR="00376B01">
        <w:rPr>
          <w:rFonts w:ascii="Arial" w:hAnsi="Arial" w:cs="Arial"/>
        </w:rPr>
        <w:t xml:space="preserve"> I</w:t>
      </w:r>
      <w:r w:rsidR="006F3DBB">
        <w:rPr>
          <w:rFonts w:ascii="Arial" w:hAnsi="Arial" w:cs="Arial"/>
        </w:rPr>
        <w:t>II</w:t>
      </w:r>
      <w:r>
        <w:rPr>
          <w:rFonts w:ascii="Arial" w:hAnsi="Arial" w:cs="Arial"/>
        </w:rPr>
        <w:t xml:space="preserve"> de la LTAIPSLP, es decir, </w:t>
      </w:r>
      <w:r w:rsidR="006F3DBB">
        <w:rPr>
          <w:rFonts w:ascii="Arial" w:hAnsi="Arial" w:cs="Arial"/>
        </w:rPr>
        <w:t xml:space="preserve">deberá de publicar la información en versión pública de las declaraciones, de situación patrimonial, fiscal y de interés de los servidores públicos recibidas en el mes de </w:t>
      </w:r>
      <w:r w:rsidR="007D231E">
        <w:rPr>
          <w:rFonts w:ascii="Arial" w:hAnsi="Arial" w:cs="Arial"/>
          <w:b/>
        </w:rPr>
        <w:t>octubre</w:t>
      </w:r>
      <w:r w:rsidR="006F3DBB">
        <w:rPr>
          <w:rFonts w:ascii="Arial" w:hAnsi="Arial" w:cs="Arial"/>
        </w:rPr>
        <w:t xml:space="preserve"> </w:t>
      </w:r>
      <w:r w:rsidR="006F3DBB" w:rsidRPr="00662DF6">
        <w:rPr>
          <w:rFonts w:ascii="Arial" w:hAnsi="Arial" w:cs="Arial"/>
          <w:b/>
        </w:rPr>
        <w:t>202</w:t>
      </w:r>
      <w:r w:rsidR="00662DF6" w:rsidRPr="00662DF6">
        <w:rPr>
          <w:rFonts w:ascii="Arial" w:hAnsi="Arial" w:cs="Arial"/>
          <w:b/>
        </w:rPr>
        <w:t>5</w:t>
      </w:r>
      <w:r>
        <w:rPr>
          <w:rFonts w:ascii="Arial" w:hAnsi="Arial" w:cs="Arial"/>
        </w:rPr>
        <w:t xml:space="preserve">. </w:t>
      </w:r>
    </w:p>
    <w:p w:rsidR="00B51013" w:rsidRDefault="00B51013" w:rsidP="00662DF6">
      <w:pPr>
        <w:jc w:val="both"/>
        <w:rPr>
          <w:rFonts w:ascii="Arial" w:hAnsi="Arial" w:cs="Arial"/>
        </w:rPr>
      </w:pPr>
    </w:p>
    <w:p w:rsidR="00BF3665" w:rsidRDefault="009819AE" w:rsidP="00662DF6">
      <w:pPr>
        <w:jc w:val="both"/>
        <w:rPr>
          <w:rFonts w:ascii="Arial" w:hAnsi="Arial" w:cs="Arial"/>
        </w:rPr>
      </w:pPr>
      <w:r>
        <w:rPr>
          <w:rFonts w:ascii="Arial" w:hAnsi="Arial" w:cs="Arial"/>
          <w:b/>
        </w:rPr>
        <w:t>II.</w:t>
      </w:r>
      <w:r>
        <w:rPr>
          <w:rFonts w:ascii="Arial" w:hAnsi="Arial" w:cs="Arial"/>
        </w:rPr>
        <w:t xml:space="preserve"> </w:t>
      </w:r>
      <w:r w:rsidR="003F4878">
        <w:rPr>
          <w:rFonts w:ascii="Arial" w:hAnsi="Arial" w:cs="Arial"/>
        </w:rPr>
        <w:t xml:space="preserve">El </w:t>
      </w:r>
      <w:r w:rsidR="00C24991">
        <w:rPr>
          <w:rFonts w:ascii="Arial" w:hAnsi="Arial" w:cs="Arial"/>
        </w:rPr>
        <w:t>d</w:t>
      </w:r>
      <w:r w:rsidR="003F4878">
        <w:rPr>
          <w:rFonts w:ascii="Arial" w:hAnsi="Arial" w:cs="Arial"/>
        </w:rPr>
        <w:t>octor Jesús Rafael Rodríguez López</w:t>
      </w:r>
      <w:r w:rsidR="006F3DBB">
        <w:rPr>
          <w:rFonts w:ascii="Arial" w:hAnsi="Arial" w:cs="Arial"/>
        </w:rPr>
        <w:t xml:space="preserve">, titular del </w:t>
      </w:r>
      <w:r w:rsidR="0031213A">
        <w:rPr>
          <w:rFonts w:ascii="Arial" w:hAnsi="Arial" w:cs="Arial"/>
        </w:rPr>
        <w:t>Órgano Interno de Control</w:t>
      </w:r>
      <w:r w:rsidR="008D7FD6">
        <w:rPr>
          <w:rFonts w:ascii="Arial" w:hAnsi="Arial" w:cs="Arial"/>
        </w:rPr>
        <w:t>,</w:t>
      </w:r>
      <w:r w:rsidR="00590B9B">
        <w:rPr>
          <w:rFonts w:ascii="Arial" w:hAnsi="Arial" w:cs="Arial"/>
        </w:rPr>
        <w:t xml:space="preserve"> </w:t>
      </w:r>
      <w:r>
        <w:rPr>
          <w:rFonts w:ascii="Arial" w:hAnsi="Arial" w:cs="Arial"/>
        </w:rPr>
        <w:t xml:space="preserve">al realizar el estudio de </w:t>
      </w:r>
      <w:r w:rsidR="006F3DBB">
        <w:rPr>
          <w:rFonts w:ascii="Arial" w:hAnsi="Arial" w:cs="Arial"/>
        </w:rPr>
        <w:t xml:space="preserve">las declaraciones </w:t>
      </w:r>
      <w:r w:rsidR="00F91CB5">
        <w:rPr>
          <w:rFonts w:ascii="Arial" w:hAnsi="Arial" w:cs="Arial"/>
        </w:rPr>
        <w:t xml:space="preserve">de </w:t>
      </w:r>
      <w:r w:rsidR="00F91CB5">
        <w:rPr>
          <w:rFonts w:ascii="Arial" w:hAnsi="Arial" w:cs="Arial"/>
          <w:b/>
        </w:rPr>
        <w:t xml:space="preserve">conclusión </w:t>
      </w:r>
      <w:r w:rsidR="00F91CB5">
        <w:rPr>
          <w:rFonts w:ascii="Arial" w:hAnsi="Arial" w:cs="Arial"/>
        </w:rPr>
        <w:t xml:space="preserve">de situación patrimonial </w:t>
      </w:r>
      <w:r w:rsidR="00F91CB5">
        <w:rPr>
          <w:rFonts w:ascii="Arial" w:hAnsi="Arial" w:cs="Arial"/>
          <w:b/>
        </w:rPr>
        <w:t xml:space="preserve">simplificadas </w:t>
      </w:r>
      <w:r w:rsidR="006F3DBB">
        <w:rPr>
          <w:rFonts w:ascii="Arial" w:hAnsi="Arial" w:cs="Arial"/>
        </w:rPr>
        <w:t xml:space="preserve">que le fueron presentadas en el mes de </w:t>
      </w:r>
      <w:r w:rsidR="007D231E">
        <w:rPr>
          <w:rFonts w:ascii="Arial" w:hAnsi="Arial" w:cs="Arial"/>
          <w:b/>
        </w:rPr>
        <w:t>octubre</w:t>
      </w:r>
      <w:r w:rsidR="006F3DBB" w:rsidRPr="00662DF6">
        <w:rPr>
          <w:rFonts w:ascii="Arial" w:hAnsi="Arial" w:cs="Arial"/>
          <w:b/>
        </w:rPr>
        <w:t xml:space="preserve"> 202</w:t>
      </w:r>
      <w:r w:rsidR="00662DF6" w:rsidRPr="00662DF6">
        <w:rPr>
          <w:rFonts w:ascii="Arial" w:hAnsi="Arial" w:cs="Arial"/>
          <w:b/>
        </w:rPr>
        <w:t>5</w:t>
      </w:r>
      <w:r w:rsidR="006F3DBB">
        <w:rPr>
          <w:rFonts w:ascii="Arial" w:hAnsi="Arial" w:cs="Arial"/>
        </w:rPr>
        <w:t xml:space="preserve">, </w:t>
      </w:r>
      <w:r>
        <w:rPr>
          <w:rFonts w:ascii="Arial" w:hAnsi="Arial" w:cs="Arial"/>
        </w:rPr>
        <w:t xml:space="preserve">advierte que la información </w:t>
      </w:r>
      <w:r w:rsidR="006F3DBB">
        <w:rPr>
          <w:rFonts w:ascii="Arial" w:hAnsi="Arial" w:cs="Arial"/>
        </w:rPr>
        <w:t xml:space="preserve">guarda relevancia con los acuerdos de reserva </w:t>
      </w:r>
      <w:r w:rsidR="006F3DBB" w:rsidRPr="00662DF6">
        <w:rPr>
          <w:rFonts w:ascii="Arial" w:hAnsi="Arial" w:cs="Arial"/>
          <w:b/>
        </w:rPr>
        <w:t>AR/</w:t>
      </w:r>
      <w:r w:rsidR="00A9088A">
        <w:rPr>
          <w:rFonts w:ascii="Arial" w:hAnsi="Arial" w:cs="Arial"/>
          <w:b/>
        </w:rPr>
        <w:t>0</w:t>
      </w:r>
      <w:r w:rsidR="007D231E">
        <w:rPr>
          <w:rFonts w:ascii="Arial" w:hAnsi="Arial" w:cs="Arial"/>
          <w:b/>
        </w:rPr>
        <w:t>6</w:t>
      </w:r>
      <w:r w:rsidR="00A9088A">
        <w:rPr>
          <w:rFonts w:ascii="Arial" w:hAnsi="Arial" w:cs="Arial"/>
          <w:b/>
        </w:rPr>
        <w:t>6</w:t>
      </w:r>
      <w:r w:rsidR="006F3DBB" w:rsidRPr="00662DF6">
        <w:rPr>
          <w:rFonts w:ascii="Arial" w:hAnsi="Arial" w:cs="Arial"/>
          <w:b/>
        </w:rPr>
        <w:t>/202</w:t>
      </w:r>
      <w:r w:rsidR="00662DF6" w:rsidRPr="00662DF6">
        <w:rPr>
          <w:rFonts w:ascii="Arial" w:hAnsi="Arial" w:cs="Arial"/>
          <w:b/>
        </w:rPr>
        <w:t>5</w:t>
      </w:r>
      <w:r w:rsidR="006F3DBB">
        <w:rPr>
          <w:rFonts w:ascii="Arial" w:hAnsi="Arial" w:cs="Arial"/>
        </w:rPr>
        <w:t xml:space="preserve"> emitidos por el </w:t>
      </w:r>
      <w:r w:rsidR="006F3DBB" w:rsidRPr="00662DF6">
        <w:rPr>
          <w:rFonts w:ascii="Arial" w:hAnsi="Arial" w:cs="Arial"/>
          <w:b/>
        </w:rPr>
        <w:t xml:space="preserve">director </w:t>
      </w:r>
      <w:r w:rsidR="00662DF6" w:rsidRPr="00662DF6">
        <w:rPr>
          <w:rFonts w:ascii="Arial" w:hAnsi="Arial" w:cs="Arial"/>
          <w:b/>
        </w:rPr>
        <w:t>G</w:t>
      </w:r>
      <w:r w:rsidR="006F3DBB" w:rsidRPr="00662DF6">
        <w:rPr>
          <w:rFonts w:ascii="Arial" w:hAnsi="Arial" w:cs="Arial"/>
          <w:b/>
        </w:rPr>
        <w:t xml:space="preserve">eneral de </w:t>
      </w:r>
      <w:r w:rsidR="00662DF6" w:rsidRPr="00662DF6">
        <w:rPr>
          <w:rFonts w:ascii="Arial" w:hAnsi="Arial" w:cs="Arial"/>
          <w:b/>
        </w:rPr>
        <w:t>A</w:t>
      </w:r>
      <w:r w:rsidR="006F3DBB" w:rsidRPr="00662DF6">
        <w:rPr>
          <w:rFonts w:ascii="Arial" w:hAnsi="Arial" w:cs="Arial"/>
          <w:b/>
        </w:rPr>
        <w:t>dministración</w:t>
      </w:r>
      <w:r>
        <w:rPr>
          <w:rFonts w:ascii="Arial" w:hAnsi="Arial" w:cs="Arial"/>
        </w:rPr>
        <w:t>.</w:t>
      </w:r>
    </w:p>
    <w:p w:rsidR="00B51013" w:rsidRPr="00D90F51" w:rsidRDefault="00B51013" w:rsidP="00662DF6">
      <w:pPr>
        <w:jc w:val="both"/>
        <w:rPr>
          <w:rFonts w:ascii="Arial" w:hAnsi="Arial" w:cs="Arial"/>
        </w:rPr>
      </w:pPr>
    </w:p>
    <w:p w:rsidR="00BF3665" w:rsidRPr="00044847" w:rsidRDefault="009819AE" w:rsidP="00662DF6">
      <w:pPr>
        <w:jc w:val="both"/>
        <w:rPr>
          <w:rFonts w:ascii="Arial" w:hAnsi="Arial" w:cs="Arial"/>
        </w:rPr>
      </w:pPr>
      <w:r w:rsidRPr="00D90F51">
        <w:rPr>
          <w:rFonts w:ascii="Arial" w:hAnsi="Arial" w:cs="Arial"/>
          <w:b/>
        </w:rPr>
        <w:t>III.</w:t>
      </w:r>
      <w:r w:rsidRPr="00D90F51">
        <w:rPr>
          <w:rFonts w:ascii="Arial" w:hAnsi="Arial" w:cs="Arial"/>
        </w:rPr>
        <w:t xml:space="preserve"> </w:t>
      </w:r>
      <w:r w:rsidR="003F4878">
        <w:rPr>
          <w:rFonts w:ascii="Arial" w:hAnsi="Arial" w:cs="Arial"/>
        </w:rPr>
        <w:t>D</w:t>
      </w:r>
      <w:r w:rsidR="006F3DBB">
        <w:rPr>
          <w:rFonts w:ascii="Arial" w:hAnsi="Arial" w:cs="Arial"/>
        </w:rPr>
        <w:t>el estudio citado en el párrafo que antecede e</w:t>
      </w:r>
      <w:r w:rsidR="00376B01">
        <w:rPr>
          <w:rFonts w:ascii="Arial" w:hAnsi="Arial" w:cs="Arial"/>
        </w:rPr>
        <w:t xml:space="preserve">l </w:t>
      </w:r>
      <w:r w:rsidR="00C24991">
        <w:rPr>
          <w:rFonts w:ascii="Arial" w:hAnsi="Arial" w:cs="Arial"/>
        </w:rPr>
        <w:t>d</w:t>
      </w:r>
      <w:r w:rsidR="003F4878">
        <w:rPr>
          <w:rFonts w:ascii="Arial" w:hAnsi="Arial" w:cs="Arial"/>
        </w:rPr>
        <w:t>octor Jesús Rafael Rodríguez López</w:t>
      </w:r>
      <w:r w:rsidR="006F3DBB">
        <w:rPr>
          <w:rFonts w:ascii="Arial" w:hAnsi="Arial" w:cs="Arial"/>
        </w:rPr>
        <w:t xml:space="preserve">, titular del </w:t>
      </w:r>
      <w:r w:rsidR="0031213A">
        <w:rPr>
          <w:rFonts w:ascii="Arial" w:hAnsi="Arial" w:cs="Arial"/>
        </w:rPr>
        <w:t>Órgano Interno de Control</w:t>
      </w:r>
      <w:r w:rsidR="00376B01">
        <w:rPr>
          <w:rFonts w:ascii="Arial" w:hAnsi="Arial" w:cs="Arial"/>
        </w:rPr>
        <w:t xml:space="preserve"> emite el acuerdo de reserva </w:t>
      </w:r>
      <w:r w:rsidR="008D7FD6">
        <w:rPr>
          <w:rFonts w:ascii="Arial" w:hAnsi="Arial" w:cs="Arial"/>
          <w:b/>
        </w:rPr>
        <w:t>total</w:t>
      </w:r>
      <w:r w:rsidR="00376B01">
        <w:rPr>
          <w:rFonts w:ascii="Arial" w:hAnsi="Arial" w:cs="Arial"/>
        </w:rPr>
        <w:t xml:space="preserve"> número </w:t>
      </w:r>
      <w:r w:rsidR="008D7FD6" w:rsidRPr="00662DF6">
        <w:rPr>
          <w:rFonts w:ascii="Arial" w:hAnsi="Arial" w:cs="Arial"/>
          <w:b/>
        </w:rPr>
        <w:t>AR/</w:t>
      </w:r>
      <w:r w:rsidR="00803FA7">
        <w:rPr>
          <w:rFonts w:ascii="Arial" w:hAnsi="Arial" w:cs="Arial"/>
          <w:b/>
        </w:rPr>
        <w:t>2</w:t>
      </w:r>
      <w:r w:rsidR="007D231E">
        <w:rPr>
          <w:rFonts w:ascii="Arial" w:hAnsi="Arial" w:cs="Arial"/>
          <w:b/>
        </w:rPr>
        <w:t>9</w:t>
      </w:r>
      <w:r w:rsidR="00590B9B" w:rsidRPr="00662DF6">
        <w:rPr>
          <w:rFonts w:ascii="Arial" w:hAnsi="Arial" w:cs="Arial"/>
          <w:b/>
        </w:rPr>
        <w:t>/202</w:t>
      </w:r>
      <w:r w:rsidR="00662DF6">
        <w:rPr>
          <w:rFonts w:ascii="Arial" w:hAnsi="Arial" w:cs="Arial"/>
          <w:b/>
        </w:rPr>
        <w:t>5</w:t>
      </w:r>
      <w:r w:rsidR="00376B01">
        <w:rPr>
          <w:rFonts w:ascii="Arial" w:hAnsi="Arial" w:cs="Arial"/>
        </w:rPr>
        <w:t>.</w:t>
      </w:r>
    </w:p>
    <w:p w:rsidR="007D4996" w:rsidRDefault="007D4996" w:rsidP="00662DF6">
      <w:pPr>
        <w:jc w:val="both"/>
        <w:rPr>
          <w:rFonts w:ascii="Arial" w:hAnsi="Arial" w:cs="Arial"/>
          <w:shd w:val="clear" w:color="auto" w:fill="FFFFFF"/>
        </w:rPr>
      </w:pPr>
    </w:p>
    <w:p w:rsidR="00480799" w:rsidRDefault="00480799" w:rsidP="00662DF6">
      <w:pPr>
        <w:jc w:val="center"/>
        <w:rPr>
          <w:rFonts w:ascii="Arial" w:hAnsi="Arial" w:cs="Arial"/>
          <w:b/>
        </w:rPr>
      </w:pPr>
    </w:p>
    <w:p w:rsidR="00BF3665" w:rsidRDefault="009819AE" w:rsidP="00662DF6">
      <w:pPr>
        <w:jc w:val="center"/>
        <w:rPr>
          <w:rFonts w:ascii="Arial" w:hAnsi="Arial" w:cs="Arial"/>
          <w:b/>
        </w:rPr>
      </w:pPr>
      <w:r>
        <w:rPr>
          <w:rFonts w:ascii="Arial" w:hAnsi="Arial" w:cs="Arial"/>
          <w:b/>
        </w:rPr>
        <w:t>CONSIDERANDO</w:t>
      </w:r>
    </w:p>
    <w:p w:rsidR="00B11FCD" w:rsidRDefault="00B11FCD" w:rsidP="00662DF6">
      <w:pPr>
        <w:jc w:val="center"/>
        <w:rPr>
          <w:rFonts w:ascii="Arial" w:hAnsi="Arial" w:cs="Arial"/>
          <w:b/>
        </w:rPr>
      </w:pPr>
    </w:p>
    <w:p w:rsidR="00BF3665" w:rsidRDefault="009819AE" w:rsidP="00662DF6">
      <w:pPr>
        <w:jc w:val="both"/>
        <w:rPr>
          <w:rFonts w:ascii="Arial" w:hAnsi="Arial" w:cs="Arial"/>
        </w:rPr>
      </w:pPr>
      <w:r>
        <w:rPr>
          <w:rFonts w:ascii="Arial" w:hAnsi="Arial" w:cs="Arial"/>
          <w:b/>
        </w:rPr>
        <w:t>PRIMERO.</w:t>
      </w:r>
      <w:r>
        <w:rPr>
          <w:rFonts w:ascii="Arial" w:hAnsi="Arial" w:cs="Arial"/>
        </w:rPr>
        <w:t xml:space="preserve"> </w:t>
      </w:r>
      <w:r>
        <w:rPr>
          <w:rFonts w:ascii="Arial" w:hAnsi="Arial" w:cs="Arial"/>
          <w:b/>
        </w:rPr>
        <w:t>Competencia.</w:t>
      </w:r>
      <w:r>
        <w:rPr>
          <w:rFonts w:ascii="Arial" w:hAnsi="Arial" w:cs="Arial"/>
        </w:rPr>
        <w:t xml:space="preserve"> </w:t>
      </w:r>
    </w:p>
    <w:p w:rsidR="00B51013" w:rsidRDefault="00B51013" w:rsidP="00662DF6">
      <w:pPr>
        <w:jc w:val="both"/>
        <w:rPr>
          <w:rFonts w:ascii="Arial" w:hAnsi="Arial" w:cs="Arial"/>
        </w:rPr>
      </w:pPr>
    </w:p>
    <w:p w:rsidR="00BF3665" w:rsidRDefault="009819AE" w:rsidP="00662DF6">
      <w:pPr>
        <w:jc w:val="both"/>
        <w:rPr>
          <w:rFonts w:ascii="Arial" w:hAnsi="Arial" w:cs="Arial"/>
        </w:rPr>
      </w:pPr>
      <w:r>
        <w:rPr>
          <w:rFonts w:ascii="Arial" w:hAnsi="Arial" w:cs="Arial"/>
        </w:rPr>
        <w:t>E</w:t>
      </w:r>
      <w:r w:rsidR="00995ED3">
        <w:rPr>
          <w:rFonts w:ascii="Arial" w:hAnsi="Arial" w:cs="Arial"/>
        </w:rPr>
        <w:t>l</w:t>
      </w:r>
      <w:r>
        <w:rPr>
          <w:rFonts w:ascii="Arial" w:hAnsi="Arial" w:cs="Arial"/>
        </w:rPr>
        <w:t xml:space="preserve"> Comité de Transparencia es competente para determinar sobre la confirmación, modificación o revocación del </w:t>
      </w:r>
      <w:r w:rsidR="00376B01" w:rsidRPr="008D7FD6">
        <w:rPr>
          <w:rFonts w:ascii="Arial" w:hAnsi="Arial" w:cs="Arial"/>
        </w:rPr>
        <w:t>a</w:t>
      </w:r>
      <w:r w:rsidRPr="008D7FD6">
        <w:rPr>
          <w:rFonts w:ascii="Arial" w:hAnsi="Arial" w:cs="Arial"/>
        </w:rPr>
        <w:t xml:space="preserve">cuerdo de </w:t>
      </w:r>
      <w:r w:rsidR="00376B01" w:rsidRPr="008D7FD6">
        <w:rPr>
          <w:rFonts w:ascii="Arial" w:hAnsi="Arial" w:cs="Arial"/>
        </w:rPr>
        <w:t>r</w:t>
      </w:r>
      <w:r w:rsidRPr="008D7FD6">
        <w:rPr>
          <w:rFonts w:ascii="Arial" w:hAnsi="Arial" w:cs="Arial"/>
        </w:rPr>
        <w:t>eserva</w:t>
      </w:r>
      <w:r>
        <w:rPr>
          <w:rFonts w:ascii="Arial" w:hAnsi="Arial" w:cs="Arial"/>
          <w:b/>
        </w:rPr>
        <w:t xml:space="preserve"> </w:t>
      </w:r>
      <w:r w:rsidR="008D7FD6">
        <w:rPr>
          <w:rFonts w:ascii="Arial" w:hAnsi="Arial" w:cs="Arial"/>
          <w:b/>
        </w:rPr>
        <w:t>total</w:t>
      </w:r>
      <w:r>
        <w:rPr>
          <w:rFonts w:ascii="Arial" w:hAnsi="Arial" w:cs="Arial"/>
        </w:rPr>
        <w:t xml:space="preserve"> número </w:t>
      </w:r>
      <w:r w:rsidR="006F7D0F">
        <w:rPr>
          <w:rFonts w:ascii="Arial" w:hAnsi="Arial" w:cs="Arial"/>
          <w:b/>
        </w:rPr>
        <w:t>AR/</w:t>
      </w:r>
      <w:r w:rsidR="00803FA7">
        <w:rPr>
          <w:rFonts w:ascii="Arial" w:hAnsi="Arial" w:cs="Arial"/>
          <w:b/>
        </w:rPr>
        <w:t>2</w:t>
      </w:r>
      <w:r w:rsidR="007D231E">
        <w:rPr>
          <w:rFonts w:ascii="Arial" w:hAnsi="Arial" w:cs="Arial"/>
          <w:b/>
        </w:rPr>
        <w:t>9</w:t>
      </w:r>
      <w:r w:rsidR="006F7D0F">
        <w:rPr>
          <w:rFonts w:ascii="Arial" w:hAnsi="Arial" w:cs="Arial"/>
          <w:b/>
        </w:rPr>
        <w:t>/202</w:t>
      </w:r>
      <w:r w:rsidR="00662DF6">
        <w:rPr>
          <w:rFonts w:ascii="Arial" w:hAnsi="Arial" w:cs="Arial"/>
          <w:b/>
        </w:rPr>
        <w:t>5</w:t>
      </w:r>
      <w:r>
        <w:rPr>
          <w:rFonts w:ascii="Arial" w:hAnsi="Arial" w:cs="Arial"/>
          <w:b/>
        </w:rPr>
        <w:t>,</w:t>
      </w:r>
      <w:r>
        <w:rPr>
          <w:rFonts w:ascii="Arial" w:hAnsi="Arial" w:cs="Arial"/>
        </w:rPr>
        <w:t xml:space="preserve"> por lo que se </w:t>
      </w:r>
      <w:r w:rsidR="00376B01">
        <w:rPr>
          <w:rFonts w:ascii="Arial" w:hAnsi="Arial" w:cs="Arial"/>
        </w:rPr>
        <w:t>sometió</w:t>
      </w:r>
      <w:r>
        <w:rPr>
          <w:rFonts w:ascii="Arial" w:hAnsi="Arial" w:cs="Arial"/>
        </w:rPr>
        <w:t xml:space="preserve"> a consideración</w:t>
      </w:r>
      <w:r w:rsidR="00376B01">
        <w:rPr>
          <w:rFonts w:ascii="Arial" w:hAnsi="Arial" w:cs="Arial"/>
        </w:rPr>
        <w:t xml:space="preserve"> del </w:t>
      </w:r>
      <w:r w:rsidR="008D7FD6">
        <w:rPr>
          <w:rFonts w:ascii="Arial" w:hAnsi="Arial" w:cs="Arial"/>
        </w:rPr>
        <w:t>c</w:t>
      </w:r>
      <w:r w:rsidR="00376B01">
        <w:rPr>
          <w:rFonts w:ascii="Arial" w:hAnsi="Arial" w:cs="Arial"/>
        </w:rPr>
        <w:t>olegiado</w:t>
      </w:r>
      <w:r>
        <w:rPr>
          <w:rFonts w:ascii="Arial" w:hAnsi="Arial" w:cs="Arial"/>
        </w:rPr>
        <w:t xml:space="preserve"> en términos de lo dispuesto por los artículos 51, 52, fracción II de la LTAIPSLP, </w:t>
      </w:r>
      <w:r w:rsidR="008D7FD6">
        <w:rPr>
          <w:rFonts w:ascii="Arial" w:hAnsi="Arial" w:cs="Arial"/>
        </w:rPr>
        <w:t>l</w:t>
      </w:r>
      <w:r>
        <w:rPr>
          <w:rFonts w:ascii="Arial" w:hAnsi="Arial" w:cs="Arial"/>
        </w:rPr>
        <w:t xml:space="preserve">ineamiento </w:t>
      </w:r>
      <w:r w:rsidR="008D7FD6">
        <w:rPr>
          <w:rFonts w:ascii="Arial" w:hAnsi="Arial" w:cs="Arial"/>
        </w:rPr>
        <w:t>s</w:t>
      </w:r>
      <w:r>
        <w:rPr>
          <w:rFonts w:ascii="Arial" w:hAnsi="Arial" w:cs="Arial"/>
        </w:rPr>
        <w:t xml:space="preserve">egundo fracción III de los LGCDIEVP, artículo </w:t>
      </w:r>
      <w:r w:rsidR="008D7FD6">
        <w:rPr>
          <w:rFonts w:ascii="Arial" w:hAnsi="Arial" w:cs="Arial"/>
        </w:rPr>
        <w:t>t</w:t>
      </w:r>
      <w:r>
        <w:rPr>
          <w:rFonts w:ascii="Arial" w:hAnsi="Arial" w:cs="Arial"/>
        </w:rPr>
        <w:t xml:space="preserve">ercero del </w:t>
      </w:r>
      <w:r w:rsidR="005B0E50">
        <w:rPr>
          <w:rFonts w:ascii="Arial" w:hAnsi="Arial" w:cs="Arial"/>
        </w:rPr>
        <w:t>a</w:t>
      </w:r>
      <w:r>
        <w:rPr>
          <w:rFonts w:ascii="Arial" w:hAnsi="Arial" w:cs="Arial"/>
        </w:rPr>
        <w:t xml:space="preserve">cuerdo </w:t>
      </w:r>
      <w:r w:rsidR="005B0E50">
        <w:rPr>
          <w:rFonts w:ascii="Arial" w:hAnsi="Arial" w:cs="Arial"/>
        </w:rPr>
        <w:t>g</w:t>
      </w:r>
      <w:r>
        <w:rPr>
          <w:rFonts w:ascii="Arial" w:hAnsi="Arial" w:cs="Arial"/>
        </w:rPr>
        <w:t>eneral número AG/003/2023, así como</w:t>
      </w:r>
      <w:r w:rsidR="008D7FD6">
        <w:rPr>
          <w:rFonts w:ascii="Arial" w:hAnsi="Arial" w:cs="Arial"/>
        </w:rPr>
        <w:t>,</w:t>
      </w:r>
      <w:r>
        <w:rPr>
          <w:rFonts w:ascii="Arial" w:hAnsi="Arial" w:cs="Arial"/>
        </w:rPr>
        <w:t xml:space="preserve"> acuerdo general AG/011/2020.</w:t>
      </w:r>
    </w:p>
    <w:p w:rsidR="005B0E50" w:rsidRDefault="005B0E50" w:rsidP="00662DF6">
      <w:pPr>
        <w:jc w:val="both"/>
        <w:rPr>
          <w:rFonts w:ascii="Arial" w:hAnsi="Arial" w:cs="Arial"/>
        </w:rPr>
      </w:pPr>
    </w:p>
    <w:p w:rsidR="005117B5" w:rsidRDefault="005117B5" w:rsidP="00662DF6">
      <w:pPr>
        <w:jc w:val="both"/>
        <w:rPr>
          <w:rFonts w:ascii="Arial" w:hAnsi="Arial" w:cs="Arial"/>
          <w:b/>
        </w:rPr>
      </w:pPr>
      <w:r w:rsidRPr="005117B5">
        <w:rPr>
          <w:rFonts w:ascii="Arial" w:hAnsi="Arial" w:cs="Arial"/>
          <w:b/>
        </w:rPr>
        <w:t xml:space="preserve">SEGUNDO. Análisis. </w:t>
      </w:r>
    </w:p>
    <w:p w:rsidR="00376B01" w:rsidRPr="005117B5" w:rsidRDefault="00376B01" w:rsidP="00662DF6">
      <w:pPr>
        <w:jc w:val="both"/>
        <w:rPr>
          <w:rFonts w:ascii="Arial" w:hAnsi="Arial" w:cs="Arial"/>
        </w:rPr>
      </w:pPr>
    </w:p>
    <w:p w:rsidR="005117B5" w:rsidRPr="005117B5" w:rsidRDefault="005117B5" w:rsidP="00662DF6">
      <w:pPr>
        <w:jc w:val="both"/>
        <w:rPr>
          <w:rFonts w:ascii="Arial" w:hAnsi="Arial" w:cs="Arial"/>
        </w:rPr>
      </w:pPr>
      <w:r w:rsidRPr="005117B5">
        <w:rPr>
          <w:rFonts w:ascii="Arial" w:hAnsi="Arial" w:cs="Arial"/>
        </w:rPr>
        <w:t xml:space="preserve">Del </w:t>
      </w:r>
      <w:r w:rsidR="00DA4A66" w:rsidRPr="007F24DE">
        <w:rPr>
          <w:rFonts w:ascii="Arial" w:hAnsi="Arial" w:cs="Arial"/>
        </w:rPr>
        <w:t>acuerdo de reserva</w:t>
      </w:r>
      <w:r w:rsidR="00DA4A66" w:rsidRPr="005117B5">
        <w:rPr>
          <w:rFonts w:ascii="Arial" w:hAnsi="Arial" w:cs="Arial"/>
          <w:b/>
        </w:rPr>
        <w:t xml:space="preserve"> </w:t>
      </w:r>
      <w:r w:rsidR="008D7FD6">
        <w:rPr>
          <w:rFonts w:ascii="Arial" w:hAnsi="Arial" w:cs="Arial"/>
          <w:b/>
        </w:rPr>
        <w:t>total</w:t>
      </w:r>
      <w:r w:rsidR="00DA4A66" w:rsidRPr="005117B5">
        <w:rPr>
          <w:rFonts w:ascii="Arial" w:hAnsi="Arial" w:cs="Arial"/>
        </w:rPr>
        <w:t xml:space="preserve"> </w:t>
      </w:r>
      <w:r w:rsidRPr="005117B5">
        <w:rPr>
          <w:rFonts w:ascii="Arial" w:hAnsi="Arial" w:cs="Arial"/>
        </w:rPr>
        <w:t xml:space="preserve">número </w:t>
      </w:r>
      <w:r w:rsidR="006F7D0F">
        <w:rPr>
          <w:rFonts w:ascii="Arial" w:hAnsi="Arial" w:cs="Arial"/>
          <w:b/>
        </w:rPr>
        <w:t>AR/</w:t>
      </w:r>
      <w:r w:rsidR="00803FA7">
        <w:rPr>
          <w:rFonts w:ascii="Arial" w:hAnsi="Arial" w:cs="Arial"/>
          <w:b/>
        </w:rPr>
        <w:t>2</w:t>
      </w:r>
      <w:r w:rsidR="007D231E">
        <w:rPr>
          <w:rFonts w:ascii="Arial" w:hAnsi="Arial" w:cs="Arial"/>
          <w:b/>
        </w:rPr>
        <w:t>9</w:t>
      </w:r>
      <w:r w:rsidR="006F7D0F">
        <w:rPr>
          <w:rFonts w:ascii="Arial" w:hAnsi="Arial" w:cs="Arial"/>
          <w:b/>
        </w:rPr>
        <w:t>/202</w:t>
      </w:r>
      <w:r w:rsidR="00662DF6">
        <w:rPr>
          <w:rFonts w:ascii="Arial" w:hAnsi="Arial" w:cs="Arial"/>
          <w:b/>
        </w:rPr>
        <w:t>5</w:t>
      </w:r>
      <w:r w:rsidRPr="005117B5">
        <w:rPr>
          <w:rFonts w:ascii="Arial" w:hAnsi="Arial" w:cs="Arial"/>
        </w:rPr>
        <w:t xml:space="preserve">, se advierte que el mismo contiene los requisitos mínimos establecidos por el artículo 128 de LTAIPSLP, y que a sabed son: </w:t>
      </w:r>
    </w:p>
    <w:p w:rsidR="005117B5" w:rsidRPr="005117B5" w:rsidRDefault="005117B5" w:rsidP="00662DF6">
      <w:pPr>
        <w:pStyle w:val="Prrafodelista"/>
        <w:numPr>
          <w:ilvl w:val="0"/>
          <w:numId w:val="1"/>
        </w:numPr>
        <w:jc w:val="both"/>
        <w:rPr>
          <w:rFonts w:ascii="Arial" w:hAnsi="Arial" w:cs="Arial"/>
        </w:rPr>
      </w:pPr>
      <w:r w:rsidRPr="005117B5">
        <w:rPr>
          <w:rFonts w:ascii="Arial" w:hAnsi="Arial" w:cs="Arial"/>
        </w:rPr>
        <w:t>La fuente y el archivo donde se encuentra la información;</w:t>
      </w:r>
    </w:p>
    <w:p w:rsidR="005117B5" w:rsidRPr="005117B5" w:rsidRDefault="005117B5" w:rsidP="00662DF6">
      <w:pPr>
        <w:pStyle w:val="Prrafodelista"/>
        <w:numPr>
          <w:ilvl w:val="0"/>
          <w:numId w:val="1"/>
        </w:numPr>
        <w:jc w:val="both"/>
        <w:rPr>
          <w:rFonts w:ascii="Arial" w:hAnsi="Arial" w:cs="Arial"/>
        </w:rPr>
      </w:pPr>
      <w:r w:rsidRPr="005117B5">
        <w:rPr>
          <w:rFonts w:ascii="Arial" w:hAnsi="Arial" w:cs="Arial"/>
        </w:rPr>
        <w:lastRenderedPageBreak/>
        <w:t>La fundamentación y motivación del acuerdo;</w:t>
      </w:r>
    </w:p>
    <w:p w:rsidR="005117B5" w:rsidRPr="005117B5" w:rsidRDefault="005117B5" w:rsidP="00662DF6">
      <w:pPr>
        <w:pStyle w:val="Prrafodelista"/>
        <w:numPr>
          <w:ilvl w:val="0"/>
          <w:numId w:val="1"/>
        </w:numPr>
        <w:jc w:val="both"/>
        <w:rPr>
          <w:rFonts w:ascii="Arial" w:hAnsi="Arial" w:cs="Arial"/>
        </w:rPr>
      </w:pPr>
      <w:r w:rsidRPr="005117B5">
        <w:rPr>
          <w:rFonts w:ascii="Arial" w:hAnsi="Arial" w:cs="Arial"/>
        </w:rPr>
        <w:t xml:space="preserve">El documento, la parte o las partes de los mismos, que se reservan; </w:t>
      </w:r>
    </w:p>
    <w:p w:rsidR="005117B5" w:rsidRPr="005117B5" w:rsidRDefault="005117B5" w:rsidP="00662DF6">
      <w:pPr>
        <w:pStyle w:val="Prrafodelista"/>
        <w:numPr>
          <w:ilvl w:val="0"/>
          <w:numId w:val="1"/>
        </w:numPr>
        <w:jc w:val="both"/>
        <w:rPr>
          <w:rFonts w:ascii="Arial" w:hAnsi="Arial" w:cs="Arial"/>
        </w:rPr>
      </w:pPr>
      <w:r w:rsidRPr="005117B5">
        <w:rPr>
          <w:rFonts w:ascii="Arial" w:hAnsi="Arial" w:cs="Arial"/>
        </w:rPr>
        <w:t xml:space="preserve">El plazo por el que se reserva la información; </w:t>
      </w:r>
    </w:p>
    <w:p w:rsidR="005117B5" w:rsidRPr="005117B5" w:rsidRDefault="005117B5" w:rsidP="00662DF6">
      <w:pPr>
        <w:pStyle w:val="Prrafodelista"/>
        <w:numPr>
          <w:ilvl w:val="0"/>
          <w:numId w:val="1"/>
        </w:numPr>
        <w:jc w:val="both"/>
        <w:rPr>
          <w:rFonts w:ascii="Arial" w:hAnsi="Arial" w:cs="Arial"/>
        </w:rPr>
      </w:pPr>
      <w:r w:rsidRPr="005117B5">
        <w:rPr>
          <w:rFonts w:ascii="Arial" w:hAnsi="Arial" w:cs="Arial"/>
        </w:rPr>
        <w:t>La designación de la autoridad responsable de su protección;</w:t>
      </w:r>
    </w:p>
    <w:p w:rsidR="005117B5" w:rsidRPr="005117B5" w:rsidRDefault="005117B5" w:rsidP="00662DF6">
      <w:pPr>
        <w:pStyle w:val="Prrafodelista"/>
        <w:numPr>
          <w:ilvl w:val="0"/>
          <w:numId w:val="1"/>
        </w:numPr>
        <w:jc w:val="both"/>
        <w:rPr>
          <w:rFonts w:ascii="Arial" w:hAnsi="Arial" w:cs="Arial"/>
        </w:rPr>
      </w:pPr>
      <w:r w:rsidRPr="005117B5">
        <w:rPr>
          <w:rFonts w:ascii="Arial" w:hAnsi="Arial" w:cs="Arial"/>
        </w:rPr>
        <w:t xml:space="preserve">Número de identificación del acuerdo de reserva; </w:t>
      </w:r>
    </w:p>
    <w:p w:rsidR="005117B5" w:rsidRPr="005117B5" w:rsidRDefault="005117B5" w:rsidP="00662DF6">
      <w:pPr>
        <w:pStyle w:val="Prrafodelista"/>
        <w:numPr>
          <w:ilvl w:val="0"/>
          <w:numId w:val="1"/>
        </w:numPr>
        <w:jc w:val="both"/>
        <w:rPr>
          <w:rFonts w:ascii="Arial" w:hAnsi="Arial" w:cs="Arial"/>
        </w:rPr>
      </w:pPr>
      <w:r w:rsidRPr="005117B5">
        <w:rPr>
          <w:rFonts w:ascii="Arial" w:hAnsi="Arial" w:cs="Arial"/>
        </w:rPr>
        <w:t xml:space="preserve">La aplicación de la prueba del daño; </w:t>
      </w:r>
    </w:p>
    <w:p w:rsidR="005117B5" w:rsidRPr="005117B5" w:rsidRDefault="005117B5" w:rsidP="00662DF6">
      <w:pPr>
        <w:pStyle w:val="Prrafodelista"/>
        <w:numPr>
          <w:ilvl w:val="0"/>
          <w:numId w:val="1"/>
        </w:numPr>
        <w:jc w:val="both"/>
        <w:rPr>
          <w:rFonts w:ascii="Arial" w:hAnsi="Arial" w:cs="Arial"/>
        </w:rPr>
      </w:pPr>
      <w:r w:rsidRPr="005117B5">
        <w:rPr>
          <w:rFonts w:ascii="Arial" w:hAnsi="Arial" w:cs="Arial"/>
        </w:rPr>
        <w:t>Fecha del acuerdo de clasificación.</w:t>
      </w:r>
    </w:p>
    <w:p w:rsidR="005117B5" w:rsidRPr="005117B5" w:rsidRDefault="005117B5" w:rsidP="00662DF6">
      <w:pPr>
        <w:jc w:val="both"/>
        <w:rPr>
          <w:rFonts w:ascii="Arial" w:hAnsi="Arial" w:cs="Arial"/>
        </w:rPr>
      </w:pPr>
    </w:p>
    <w:p w:rsidR="00E17D56" w:rsidRDefault="00842F00" w:rsidP="00662DF6">
      <w:pPr>
        <w:jc w:val="both"/>
        <w:rPr>
          <w:rFonts w:ascii="Arial" w:hAnsi="Arial" w:cs="Arial"/>
        </w:rPr>
      </w:pPr>
      <w:r w:rsidRPr="0096658D">
        <w:rPr>
          <w:rFonts w:ascii="Arial" w:hAnsi="Arial" w:cs="Arial"/>
        </w:rPr>
        <w:t xml:space="preserve">Dichos requisitos se encuentran concatenados a los lineamientos </w:t>
      </w:r>
      <w:r w:rsidR="008D7FD6">
        <w:rPr>
          <w:rFonts w:ascii="Arial" w:hAnsi="Arial" w:cs="Arial"/>
        </w:rPr>
        <w:t>o</w:t>
      </w:r>
      <w:r w:rsidRPr="0096658D">
        <w:rPr>
          <w:rFonts w:ascii="Arial" w:hAnsi="Arial" w:cs="Arial"/>
        </w:rPr>
        <w:t xml:space="preserve">ctavo, </w:t>
      </w:r>
      <w:r w:rsidR="008D7FD6">
        <w:rPr>
          <w:rFonts w:ascii="Arial" w:hAnsi="Arial" w:cs="Arial"/>
        </w:rPr>
        <w:t>d</w:t>
      </w:r>
      <w:r w:rsidRPr="0096658D">
        <w:rPr>
          <w:rFonts w:ascii="Arial" w:hAnsi="Arial" w:cs="Arial"/>
        </w:rPr>
        <w:t xml:space="preserve">écimo </w:t>
      </w:r>
      <w:r w:rsidR="008D7FD6">
        <w:rPr>
          <w:rFonts w:ascii="Arial" w:hAnsi="Arial" w:cs="Arial"/>
        </w:rPr>
        <w:t>s</w:t>
      </w:r>
      <w:r w:rsidRPr="0096658D">
        <w:rPr>
          <w:rFonts w:ascii="Arial" w:hAnsi="Arial" w:cs="Arial"/>
        </w:rPr>
        <w:t>éptimo</w:t>
      </w:r>
      <w:r w:rsidR="008D7FD6">
        <w:rPr>
          <w:rFonts w:ascii="Arial" w:hAnsi="Arial" w:cs="Arial"/>
        </w:rPr>
        <w:t>,</w:t>
      </w:r>
      <w:r w:rsidRPr="0096658D">
        <w:rPr>
          <w:rFonts w:ascii="Arial" w:hAnsi="Arial" w:cs="Arial"/>
        </w:rPr>
        <w:t xml:space="preserve"> </w:t>
      </w:r>
      <w:r w:rsidR="008D7FD6">
        <w:rPr>
          <w:rFonts w:ascii="Arial" w:hAnsi="Arial" w:cs="Arial"/>
        </w:rPr>
        <w:t>d</w:t>
      </w:r>
      <w:r w:rsidRPr="0096658D">
        <w:rPr>
          <w:rFonts w:ascii="Arial" w:hAnsi="Arial" w:cs="Arial"/>
        </w:rPr>
        <w:t xml:space="preserve">écimo </w:t>
      </w:r>
      <w:r w:rsidR="008D7FD6">
        <w:rPr>
          <w:rFonts w:ascii="Arial" w:hAnsi="Arial" w:cs="Arial"/>
        </w:rPr>
        <w:t>o</w:t>
      </w:r>
      <w:r w:rsidRPr="0096658D">
        <w:rPr>
          <w:rFonts w:ascii="Arial" w:hAnsi="Arial" w:cs="Arial"/>
        </w:rPr>
        <w:t>ctavo</w:t>
      </w:r>
      <w:r w:rsidR="008D7FD6">
        <w:rPr>
          <w:rFonts w:ascii="Arial" w:hAnsi="Arial" w:cs="Arial"/>
        </w:rPr>
        <w:t>,</w:t>
      </w:r>
      <w:r w:rsidRPr="0096658D">
        <w:rPr>
          <w:rFonts w:ascii="Arial" w:hAnsi="Arial" w:cs="Arial"/>
        </w:rPr>
        <w:t xml:space="preserve"> </w:t>
      </w:r>
      <w:r w:rsidR="008D7FD6">
        <w:rPr>
          <w:rFonts w:ascii="Arial" w:hAnsi="Arial" w:cs="Arial"/>
        </w:rPr>
        <w:t>v</w:t>
      </w:r>
      <w:r w:rsidRPr="0096658D">
        <w:rPr>
          <w:rFonts w:ascii="Arial" w:hAnsi="Arial" w:cs="Arial"/>
        </w:rPr>
        <w:t xml:space="preserve">igésimo </w:t>
      </w:r>
      <w:r w:rsidR="008D7FD6">
        <w:rPr>
          <w:rFonts w:ascii="Arial" w:hAnsi="Arial" w:cs="Arial"/>
        </w:rPr>
        <w:t>t</w:t>
      </w:r>
      <w:r w:rsidRPr="0096658D">
        <w:rPr>
          <w:rFonts w:ascii="Arial" w:hAnsi="Arial" w:cs="Arial"/>
        </w:rPr>
        <w:t xml:space="preserve">ercero, </w:t>
      </w:r>
      <w:r w:rsidR="008D7FD6">
        <w:rPr>
          <w:rFonts w:ascii="Arial" w:hAnsi="Arial" w:cs="Arial"/>
        </w:rPr>
        <w:t>t</w:t>
      </w:r>
      <w:r w:rsidRPr="0096658D">
        <w:rPr>
          <w:rFonts w:ascii="Arial" w:hAnsi="Arial" w:cs="Arial"/>
        </w:rPr>
        <w:t xml:space="preserve">rigésimo primero, </w:t>
      </w:r>
      <w:r w:rsidR="008D7FD6">
        <w:rPr>
          <w:rFonts w:ascii="Arial" w:hAnsi="Arial" w:cs="Arial"/>
        </w:rPr>
        <w:t>t</w:t>
      </w:r>
      <w:r w:rsidRPr="0096658D">
        <w:rPr>
          <w:rFonts w:ascii="Arial" w:hAnsi="Arial" w:cs="Arial"/>
        </w:rPr>
        <w:t xml:space="preserve">rigésimo segundo, </w:t>
      </w:r>
      <w:r w:rsidR="008D7FD6">
        <w:rPr>
          <w:rFonts w:ascii="Arial" w:hAnsi="Arial" w:cs="Arial"/>
        </w:rPr>
        <w:t>t</w:t>
      </w:r>
      <w:r w:rsidRPr="0096658D">
        <w:rPr>
          <w:rFonts w:ascii="Arial" w:hAnsi="Arial" w:cs="Arial"/>
        </w:rPr>
        <w:t xml:space="preserve">rigésimo </w:t>
      </w:r>
      <w:r w:rsidR="008D7FD6">
        <w:rPr>
          <w:rFonts w:ascii="Arial" w:hAnsi="Arial" w:cs="Arial"/>
        </w:rPr>
        <w:t>t</w:t>
      </w:r>
      <w:r w:rsidRPr="0096658D">
        <w:rPr>
          <w:rFonts w:ascii="Arial" w:hAnsi="Arial" w:cs="Arial"/>
        </w:rPr>
        <w:t xml:space="preserve">ercero, y </w:t>
      </w:r>
      <w:r w:rsidR="008D7FD6">
        <w:rPr>
          <w:rFonts w:ascii="Arial" w:hAnsi="Arial" w:cs="Arial"/>
        </w:rPr>
        <w:t>t</w:t>
      </w:r>
      <w:r w:rsidRPr="0096658D">
        <w:rPr>
          <w:rFonts w:ascii="Arial" w:hAnsi="Arial" w:cs="Arial"/>
        </w:rPr>
        <w:t xml:space="preserve">rigésimo </w:t>
      </w:r>
      <w:r w:rsidR="008D7FD6">
        <w:rPr>
          <w:rFonts w:ascii="Arial" w:hAnsi="Arial" w:cs="Arial"/>
        </w:rPr>
        <w:t>c</w:t>
      </w:r>
      <w:r w:rsidRPr="0096658D">
        <w:rPr>
          <w:rFonts w:ascii="Arial" w:hAnsi="Arial" w:cs="Arial"/>
        </w:rPr>
        <w:t>uarto de los LGCDIEVP</w:t>
      </w:r>
      <w:r>
        <w:rPr>
          <w:rFonts w:ascii="Arial" w:hAnsi="Arial" w:cs="Arial"/>
        </w:rPr>
        <w:t>.</w:t>
      </w:r>
    </w:p>
    <w:p w:rsidR="00B51013" w:rsidRDefault="00B51013" w:rsidP="00662DF6">
      <w:pPr>
        <w:jc w:val="both"/>
        <w:rPr>
          <w:rFonts w:ascii="Arial" w:hAnsi="Arial" w:cs="Arial"/>
        </w:rPr>
      </w:pPr>
    </w:p>
    <w:p w:rsidR="00BF3665" w:rsidRDefault="009819AE" w:rsidP="00662DF6">
      <w:pPr>
        <w:jc w:val="both"/>
        <w:rPr>
          <w:rFonts w:ascii="Arial" w:hAnsi="Arial" w:cs="Arial"/>
          <w:b/>
        </w:rPr>
      </w:pPr>
      <w:r>
        <w:rPr>
          <w:rFonts w:ascii="Arial" w:hAnsi="Arial" w:cs="Arial"/>
          <w:b/>
        </w:rPr>
        <w:t>TERCERO. Sentido de la resolución.</w:t>
      </w:r>
    </w:p>
    <w:p w:rsidR="001C2EAB" w:rsidRDefault="001C2EAB" w:rsidP="00662DF6">
      <w:pPr>
        <w:jc w:val="both"/>
        <w:rPr>
          <w:rFonts w:ascii="Arial" w:hAnsi="Arial" w:cs="Arial"/>
        </w:rPr>
      </w:pPr>
    </w:p>
    <w:p w:rsidR="00BF3665" w:rsidRDefault="009819AE" w:rsidP="00662DF6">
      <w:pPr>
        <w:pStyle w:val="Prrafodelista"/>
        <w:numPr>
          <w:ilvl w:val="0"/>
          <w:numId w:val="2"/>
        </w:numPr>
        <w:jc w:val="both"/>
        <w:rPr>
          <w:rFonts w:ascii="Arial" w:hAnsi="Arial" w:cs="Arial"/>
          <w:b/>
        </w:rPr>
      </w:pPr>
      <w:r>
        <w:rPr>
          <w:rFonts w:ascii="Arial" w:hAnsi="Arial" w:cs="Arial"/>
          <w:b/>
        </w:rPr>
        <w:t>Los motivos y razonamientos que sustenten la confirmación o modificación de la prueba de daño.</w:t>
      </w:r>
    </w:p>
    <w:p w:rsidR="005621F2" w:rsidRDefault="005621F2" w:rsidP="00662DF6">
      <w:pPr>
        <w:pStyle w:val="Prrafodelista"/>
        <w:ind w:left="1080"/>
        <w:jc w:val="both"/>
        <w:rPr>
          <w:rFonts w:ascii="Arial" w:hAnsi="Arial" w:cs="Arial"/>
          <w:b/>
        </w:rPr>
      </w:pPr>
    </w:p>
    <w:p w:rsidR="003F4878" w:rsidRPr="003F4878" w:rsidRDefault="007336C3" w:rsidP="00662DF6">
      <w:pPr>
        <w:autoSpaceDE w:val="0"/>
        <w:autoSpaceDN w:val="0"/>
        <w:adjustRightInd w:val="0"/>
        <w:jc w:val="both"/>
        <w:rPr>
          <w:rFonts w:ascii="Arial" w:hAnsi="Arial" w:cs="Arial"/>
          <w:b/>
        </w:rPr>
      </w:pPr>
      <w:r w:rsidRPr="003F4878">
        <w:rPr>
          <w:rFonts w:ascii="Arial" w:hAnsi="Arial" w:cs="Arial"/>
          <w:b/>
        </w:rPr>
        <w:t>Motivación.</w:t>
      </w:r>
      <w:r w:rsidR="008565C9" w:rsidRPr="003F4878">
        <w:rPr>
          <w:rFonts w:ascii="Arial" w:hAnsi="Arial" w:cs="Arial"/>
          <w:b/>
        </w:rPr>
        <w:t xml:space="preserve"> </w:t>
      </w:r>
    </w:p>
    <w:p w:rsidR="00514D65" w:rsidRDefault="00514D65" w:rsidP="00662DF6">
      <w:pPr>
        <w:jc w:val="both"/>
        <w:rPr>
          <w:rFonts w:ascii="Arial" w:hAnsi="Arial" w:cs="Arial"/>
        </w:rPr>
      </w:pPr>
    </w:p>
    <w:p w:rsidR="003F4878" w:rsidRPr="003F4878" w:rsidRDefault="003F4878" w:rsidP="003F4878">
      <w:pPr>
        <w:jc w:val="both"/>
        <w:rPr>
          <w:rFonts w:ascii="Arial" w:hAnsi="Arial" w:cs="Arial"/>
        </w:rPr>
      </w:pPr>
      <w:r w:rsidRPr="003F4878">
        <w:rPr>
          <w:rFonts w:ascii="Arial" w:hAnsi="Arial" w:cs="Arial"/>
        </w:rPr>
        <w:t xml:space="preserve">Primero. La Dirección General de Administración emitió un acuerdo de reserva número </w:t>
      </w:r>
      <w:r w:rsidRPr="00961FA4">
        <w:rPr>
          <w:rFonts w:ascii="Arial" w:hAnsi="Arial" w:cs="Arial"/>
          <w:b/>
        </w:rPr>
        <w:t>AR/</w:t>
      </w:r>
      <w:r w:rsidR="00A9088A">
        <w:rPr>
          <w:rFonts w:ascii="Arial" w:hAnsi="Arial" w:cs="Arial"/>
          <w:b/>
        </w:rPr>
        <w:t>0</w:t>
      </w:r>
      <w:r w:rsidR="007D231E">
        <w:rPr>
          <w:rFonts w:ascii="Arial" w:hAnsi="Arial" w:cs="Arial"/>
          <w:b/>
        </w:rPr>
        <w:t>6</w:t>
      </w:r>
      <w:r w:rsidR="00A9088A">
        <w:rPr>
          <w:rFonts w:ascii="Arial" w:hAnsi="Arial" w:cs="Arial"/>
          <w:b/>
        </w:rPr>
        <w:t>6</w:t>
      </w:r>
      <w:r w:rsidRPr="00961FA4">
        <w:rPr>
          <w:rFonts w:ascii="Arial" w:hAnsi="Arial" w:cs="Arial"/>
          <w:b/>
        </w:rPr>
        <w:t>/2025</w:t>
      </w:r>
      <w:r w:rsidRPr="003F4878">
        <w:rPr>
          <w:rFonts w:ascii="Arial" w:hAnsi="Arial" w:cs="Arial"/>
        </w:rPr>
        <w:t xml:space="preserve">, el cual fue confirmado por el Comité de Transparencia, en el cual reserva </w:t>
      </w:r>
      <w:r w:rsidR="00C24991" w:rsidRPr="003F4878">
        <w:rPr>
          <w:rFonts w:ascii="Arial" w:hAnsi="Arial" w:cs="Arial"/>
        </w:rPr>
        <w:t xml:space="preserve">nombres, primer apellido, segundo apellido, sexo y área de adscripción, </w:t>
      </w:r>
      <w:r w:rsidRPr="003F4878">
        <w:rPr>
          <w:rFonts w:ascii="Arial" w:hAnsi="Arial" w:cs="Arial"/>
        </w:rPr>
        <w:t xml:space="preserve">únicamente por lo que corresponde al personal que se describe en el Manual de Remuneraciones para los Servidores Públicos de la Fiscalía General del Estado de San Luis Potosí, aprobado para el Ejercicio Fiscal 2025, que no realicen funciones directivas y que se encuentren adscrito a los Órganos Tácticos Operativos de la Fiscalía General del Estado como lo son Vice fiscalías, Fiscalías Especializadas y Dirección General de Métodos de Investigación, y de los Órganos Estratégicos: adscritos a la Dirección General de Política de Persecución Penal y Análisis Estratégico, </w:t>
      </w:r>
      <w:r w:rsidR="00CE31CC" w:rsidRPr="003F4878">
        <w:rPr>
          <w:rFonts w:ascii="Arial" w:hAnsi="Arial" w:cs="Arial"/>
        </w:rPr>
        <w:t>Visitaduría</w:t>
      </w:r>
      <w:r w:rsidRPr="003F4878">
        <w:rPr>
          <w:rFonts w:ascii="Arial" w:hAnsi="Arial" w:cs="Arial"/>
        </w:rPr>
        <w:t xml:space="preserve"> General y la Dirección General de Análisis Criminal.</w:t>
      </w:r>
    </w:p>
    <w:p w:rsidR="003F4878" w:rsidRDefault="003F4878" w:rsidP="003F4878">
      <w:pPr>
        <w:jc w:val="both"/>
        <w:rPr>
          <w:rFonts w:ascii="Arial" w:hAnsi="Arial" w:cs="Arial"/>
        </w:rPr>
      </w:pPr>
    </w:p>
    <w:p w:rsidR="003F4878" w:rsidRPr="003F4878" w:rsidRDefault="003F4878" w:rsidP="003F4878">
      <w:pPr>
        <w:jc w:val="both"/>
        <w:rPr>
          <w:rFonts w:ascii="Arial" w:hAnsi="Arial" w:cs="Arial"/>
        </w:rPr>
      </w:pPr>
      <w:r w:rsidRPr="003F4878">
        <w:rPr>
          <w:rFonts w:ascii="Arial" w:hAnsi="Arial" w:cs="Arial"/>
        </w:rPr>
        <w:t xml:space="preserve">Segundo. Dentro de las obligaciones de la Fiscalía General del Estado establecidas en la Ley de Transparencia y Acceso a la Información Pública del Estado de San Luis Potosí en su artículo 84, se encuentra la señalada en la fracción XVII, La información en versión pública de las declaraciones, de situación patrimonial, fiscal y de intereses de los servidores públicos, en los sistemas habilitados para ello. </w:t>
      </w:r>
    </w:p>
    <w:p w:rsidR="003F4878" w:rsidRPr="003F4878" w:rsidRDefault="003F4878" w:rsidP="003F4878">
      <w:pPr>
        <w:jc w:val="both"/>
        <w:rPr>
          <w:rFonts w:ascii="Arial" w:hAnsi="Arial" w:cs="Arial"/>
        </w:rPr>
      </w:pPr>
    </w:p>
    <w:p w:rsidR="00C24991" w:rsidRDefault="003F4878" w:rsidP="003F4878">
      <w:pPr>
        <w:jc w:val="both"/>
        <w:rPr>
          <w:rFonts w:ascii="Arial" w:hAnsi="Arial" w:cs="Arial"/>
        </w:rPr>
      </w:pPr>
      <w:r w:rsidRPr="003F4878">
        <w:rPr>
          <w:rFonts w:ascii="Arial" w:hAnsi="Arial" w:cs="Arial"/>
        </w:rPr>
        <w:t xml:space="preserve">Tercero. </w:t>
      </w:r>
      <w:r>
        <w:rPr>
          <w:rFonts w:ascii="Arial" w:hAnsi="Arial" w:cs="Arial"/>
        </w:rPr>
        <w:t>S</w:t>
      </w:r>
      <w:r w:rsidRPr="003F4878">
        <w:rPr>
          <w:rFonts w:ascii="Arial" w:hAnsi="Arial" w:cs="Arial"/>
        </w:rPr>
        <w:t xml:space="preserve">e acuerda una </w:t>
      </w:r>
      <w:r w:rsidR="00A9088A" w:rsidRPr="003F4878">
        <w:rPr>
          <w:rFonts w:ascii="Arial" w:hAnsi="Arial" w:cs="Arial"/>
        </w:rPr>
        <w:t xml:space="preserve">reserva total </w:t>
      </w:r>
      <w:r w:rsidRPr="003F4878">
        <w:rPr>
          <w:rFonts w:ascii="Arial" w:hAnsi="Arial" w:cs="Arial"/>
        </w:rPr>
        <w:t>en relación a: la información contenida en las  declaraciones</w:t>
      </w:r>
      <w:r w:rsidR="008941EF">
        <w:rPr>
          <w:rFonts w:ascii="Arial" w:hAnsi="Arial" w:cs="Arial"/>
        </w:rPr>
        <w:t xml:space="preserve"> de</w:t>
      </w:r>
      <w:r w:rsidRPr="003F4878">
        <w:rPr>
          <w:rFonts w:ascii="Arial" w:hAnsi="Arial" w:cs="Arial"/>
        </w:rPr>
        <w:t xml:space="preserve"> </w:t>
      </w:r>
      <w:r w:rsidR="008941EF">
        <w:rPr>
          <w:rFonts w:ascii="Arial" w:hAnsi="Arial" w:cs="Arial"/>
          <w:b/>
        </w:rPr>
        <w:t>conclusión</w:t>
      </w:r>
      <w:r w:rsidR="00961FA4">
        <w:rPr>
          <w:rFonts w:ascii="Arial" w:hAnsi="Arial" w:cs="Arial"/>
          <w:b/>
        </w:rPr>
        <w:t xml:space="preserve"> </w:t>
      </w:r>
      <w:r w:rsidR="00961FA4" w:rsidRPr="008941EF">
        <w:rPr>
          <w:rFonts w:ascii="Arial" w:hAnsi="Arial" w:cs="Arial"/>
        </w:rPr>
        <w:t xml:space="preserve">de situación </w:t>
      </w:r>
      <w:r w:rsidRPr="008941EF">
        <w:rPr>
          <w:rFonts w:ascii="Arial" w:hAnsi="Arial" w:cs="Arial"/>
        </w:rPr>
        <w:t>patrimonial</w:t>
      </w:r>
      <w:r w:rsidRPr="003F4878">
        <w:rPr>
          <w:rFonts w:ascii="Arial" w:hAnsi="Arial" w:cs="Arial"/>
          <w:b/>
        </w:rPr>
        <w:t xml:space="preserve"> </w:t>
      </w:r>
      <w:r w:rsidR="00F91CB5">
        <w:rPr>
          <w:rFonts w:ascii="Arial" w:hAnsi="Arial" w:cs="Arial"/>
          <w:b/>
        </w:rPr>
        <w:t>simplificadas</w:t>
      </w:r>
      <w:r w:rsidRPr="003F4878">
        <w:rPr>
          <w:rFonts w:ascii="Arial" w:hAnsi="Arial" w:cs="Arial"/>
        </w:rPr>
        <w:t xml:space="preserve"> presentadas en el mes de </w:t>
      </w:r>
      <w:r w:rsidR="007D231E">
        <w:rPr>
          <w:rFonts w:ascii="Arial" w:hAnsi="Arial" w:cs="Arial"/>
          <w:b/>
        </w:rPr>
        <w:t>octubre</w:t>
      </w:r>
      <w:r w:rsidR="00CE31CC">
        <w:rPr>
          <w:rFonts w:ascii="Arial" w:hAnsi="Arial" w:cs="Arial"/>
          <w:b/>
        </w:rPr>
        <w:t xml:space="preserve"> </w:t>
      </w:r>
      <w:r w:rsidRPr="003F4878">
        <w:rPr>
          <w:rFonts w:ascii="Arial" w:hAnsi="Arial" w:cs="Arial"/>
        </w:rPr>
        <w:t>de 2025</w:t>
      </w:r>
      <w:r>
        <w:rPr>
          <w:rFonts w:ascii="Arial" w:hAnsi="Arial" w:cs="Arial"/>
        </w:rPr>
        <w:t>,</w:t>
      </w:r>
      <w:r w:rsidRPr="003F4878">
        <w:rPr>
          <w:rFonts w:ascii="Arial" w:hAnsi="Arial" w:cs="Arial"/>
        </w:rPr>
        <w:t xml:space="preserve"> del personal </w:t>
      </w:r>
      <w:r w:rsidR="00391F8E">
        <w:rPr>
          <w:rFonts w:ascii="Arial" w:hAnsi="Arial" w:cs="Arial"/>
        </w:rPr>
        <w:t xml:space="preserve">que se describe en </w:t>
      </w:r>
      <w:r w:rsidR="00391F8E">
        <w:rPr>
          <w:rFonts w:ascii="Arial" w:hAnsi="Arial" w:cs="Arial"/>
          <w:color w:val="231F20"/>
        </w:rPr>
        <w:t xml:space="preserve">el Manual de Remuneraciones para los Servidores Públicos de la Fiscalía General del Estado de San Luis Potosí, aprobado para el Ejercicio Fiscal 2025, que no realicen funciones directivas y </w:t>
      </w:r>
      <w:r w:rsidR="00391F8E">
        <w:rPr>
          <w:rFonts w:ascii="Arial" w:hAnsi="Arial" w:cs="Arial"/>
        </w:rPr>
        <w:t xml:space="preserve">que se encuentren adscrito a los Órganos Tácticos Operativos de la Fiscalía General del Estado como lo son Vicefiscalías, </w:t>
      </w:r>
      <w:r w:rsidR="00391F8E">
        <w:rPr>
          <w:rFonts w:ascii="Arial" w:hAnsi="Arial" w:cs="Arial"/>
        </w:rPr>
        <w:lastRenderedPageBreak/>
        <w:t>Fiscalías Especializadas y Dirección General de Métodos de Investigación, y de los Órganos Estratégicos: adscritos a la Dirección General de Política de Persecución Penal y Análisis Estratégico, Visitaduría General y la Dirección General de Análisis Criminal;</w:t>
      </w:r>
      <w:r w:rsidR="00391F8E">
        <w:rPr>
          <w:rFonts w:ascii="Arial" w:hAnsi="Arial" w:cs="Arial"/>
          <w:b/>
        </w:rPr>
        <w:t xml:space="preserve"> </w:t>
      </w:r>
      <w:r w:rsidR="00391F8E">
        <w:rPr>
          <w:rFonts w:ascii="Arial" w:hAnsi="Arial" w:cs="Arial"/>
        </w:rPr>
        <w:t>además del personal operativo de seguridad y custodia que desempeñan los cargos de: Perito A, Perito B, Perito C, Inspector jefe, Inspector, Subinspector, Oficial Suboficial, Jefe de departamento B, Jefe de departamento C, Policía, Policía Primero, Policía Segundo, Policía Tercero, Auxiliar A, Auxiliar B, Auxiliar C, Agente del Ministerio Público B, Agente del Ministerio Público C, Cabo de ordenanzas.</w:t>
      </w:r>
    </w:p>
    <w:p w:rsidR="00391F8E" w:rsidRDefault="00391F8E" w:rsidP="003F4878">
      <w:pPr>
        <w:jc w:val="both"/>
        <w:rPr>
          <w:rFonts w:ascii="Arial" w:hAnsi="Arial" w:cs="Arial"/>
        </w:rPr>
      </w:pPr>
    </w:p>
    <w:p w:rsidR="003F4878" w:rsidRPr="003F4878" w:rsidRDefault="003F4878" w:rsidP="003F4878">
      <w:pPr>
        <w:jc w:val="both"/>
        <w:rPr>
          <w:rFonts w:ascii="Arial" w:hAnsi="Arial" w:cs="Arial"/>
        </w:rPr>
      </w:pPr>
      <w:r w:rsidRPr="003F4878">
        <w:rPr>
          <w:rFonts w:ascii="Arial" w:hAnsi="Arial" w:cs="Arial"/>
        </w:rPr>
        <w:t xml:space="preserve">Por lo que una vez analizado el personal que realiza sus </w:t>
      </w:r>
      <w:r w:rsidR="00961FA4" w:rsidRPr="008941EF">
        <w:rPr>
          <w:rFonts w:ascii="Arial" w:hAnsi="Arial" w:cs="Arial"/>
        </w:rPr>
        <w:t xml:space="preserve">declaraciones </w:t>
      </w:r>
      <w:r w:rsidR="008941EF" w:rsidRPr="008941EF">
        <w:rPr>
          <w:rFonts w:ascii="Arial" w:hAnsi="Arial" w:cs="Arial"/>
        </w:rPr>
        <w:t>de</w:t>
      </w:r>
      <w:r w:rsidR="008941EF">
        <w:rPr>
          <w:rFonts w:ascii="Arial" w:hAnsi="Arial" w:cs="Arial"/>
          <w:b/>
        </w:rPr>
        <w:t xml:space="preserve"> conclusión </w:t>
      </w:r>
      <w:r w:rsidR="00961FA4" w:rsidRPr="008941EF">
        <w:rPr>
          <w:rFonts w:ascii="Arial" w:hAnsi="Arial" w:cs="Arial"/>
        </w:rPr>
        <w:t>de situación patrimonial</w:t>
      </w:r>
      <w:r w:rsidR="00961FA4">
        <w:rPr>
          <w:rFonts w:ascii="Arial" w:hAnsi="Arial" w:cs="Arial"/>
          <w:b/>
        </w:rPr>
        <w:t xml:space="preserve"> </w:t>
      </w:r>
      <w:r w:rsidR="00F91CB5">
        <w:rPr>
          <w:rFonts w:ascii="Arial" w:hAnsi="Arial" w:cs="Arial"/>
          <w:b/>
        </w:rPr>
        <w:t>simplificadas</w:t>
      </w:r>
      <w:r w:rsidRPr="003F4878">
        <w:rPr>
          <w:rFonts w:ascii="Arial" w:hAnsi="Arial" w:cs="Arial"/>
        </w:rPr>
        <w:t>, se advierte que entre ellos se encuentra el personal que se describe en el Manual de Remuneraciones para los Servidores Públicos de la Fiscalía General del Estado de San Luis Potosí, aprobado para el Ejercicio Fiscal 2025, que no realicen funciones directivas y que se encuentren adscrito a los Órganos Tácticos Operativos de la Fiscalía General del Estado como lo son Vicefiscalías, Fiscalías Especializadas y Dirección General de Métodos de Investigación, y de los Órganos Estratégicos: adscritos a la Dirección General de Política de Persecución Penal y Análisis Estratégico, Visitaduría General y la Dirección General de Análisis Criminal</w:t>
      </w:r>
      <w:r>
        <w:rPr>
          <w:rFonts w:ascii="Arial" w:hAnsi="Arial" w:cs="Arial"/>
        </w:rPr>
        <w:t xml:space="preserve">. </w:t>
      </w:r>
      <w:r w:rsidRPr="003F4878">
        <w:rPr>
          <w:rFonts w:ascii="Arial" w:hAnsi="Arial" w:cs="Arial"/>
        </w:rPr>
        <w:t xml:space="preserve">Información que se encuentra reservada mediante acuerdo </w:t>
      </w:r>
      <w:r w:rsidRPr="00961FA4">
        <w:rPr>
          <w:rFonts w:ascii="Arial" w:hAnsi="Arial" w:cs="Arial"/>
          <w:b/>
        </w:rPr>
        <w:t>AR/</w:t>
      </w:r>
      <w:r w:rsidR="00A9088A">
        <w:rPr>
          <w:rFonts w:ascii="Arial" w:hAnsi="Arial" w:cs="Arial"/>
          <w:b/>
        </w:rPr>
        <w:t>0</w:t>
      </w:r>
      <w:r w:rsidR="007D231E">
        <w:rPr>
          <w:rFonts w:ascii="Arial" w:hAnsi="Arial" w:cs="Arial"/>
          <w:b/>
        </w:rPr>
        <w:t>6</w:t>
      </w:r>
      <w:r w:rsidR="00A9088A">
        <w:rPr>
          <w:rFonts w:ascii="Arial" w:hAnsi="Arial" w:cs="Arial"/>
          <w:b/>
        </w:rPr>
        <w:t>6</w:t>
      </w:r>
      <w:r w:rsidRPr="00961FA4">
        <w:rPr>
          <w:rFonts w:ascii="Arial" w:hAnsi="Arial" w:cs="Arial"/>
          <w:b/>
        </w:rPr>
        <w:t>/2025</w:t>
      </w:r>
      <w:r w:rsidRPr="003F4878">
        <w:rPr>
          <w:rFonts w:ascii="Arial" w:hAnsi="Arial" w:cs="Arial"/>
        </w:rPr>
        <w:t xml:space="preserve"> emitido por el Director General de Administración. </w:t>
      </w:r>
    </w:p>
    <w:p w:rsidR="003F4878" w:rsidRDefault="003F4878" w:rsidP="003F4878">
      <w:pPr>
        <w:jc w:val="both"/>
        <w:rPr>
          <w:rFonts w:ascii="Arial" w:hAnsi="Arial" w:cs="Arial"/>
        </w:rPr>
      </w:pPr>
    </w:p>
    <w:p w:rsidR="003F4878" w:rsidRDefault="00EE7429" w:rsidP="003F4878">
      <w:pPr>
        <w:jc w:val="both"/>
        <w:rPr>
          <w:rFonts w:ascii="Arial" w:hAnsi="Arial" w:cs="Arial"/>
        </w:rPr>
      </w:pPr>
      <w:r w:rsidRPr="003F4878">
        <w:rPr>
          <w:rFonts w:ascii="Arial" w:hAnsi="Arial" w:cs="Arial"/>
        </w:rPr>
        <w:t>Cuarto.</w:t>
      </w:r>
      <w:r w:rsidR="003F4878" w:rsidRPr="003F4878">
        <w:rPr>
          <w:rFonts w:ascii="Arial" w:hAnsi="Arial" w:cs="Arial"/>
        </w:rPr>
        <w:t xml:space="preserve"> El artículo 17 fracción III de la Constitución Política del Estado de San Luis Potosí, toda persona tiene derecho al acceso a la información que es garantizado por el Estado, sujetando su ejercicio a diversos principios y bases, prevaleciendo entre otros el de máxima publicidad, como criterio establecido para todas las autoridades administrativas, jurisdiccionales e incluso legislativas, responsables de garantizar el debido cumplimiento de acceso a la información pública, sin más restricciones que las debidamente establecidas conforme a derecho.</w:t>
      </w:r>
    </w:p>
    <w:p w:rsidR="00961FA4" w:rsidRPr="003F4878" w:rsidRDefault="00961FA4" w:rsidP="003F4878">
      <w:pPr>
        <w:jc w:val="both"/>
        <w:rPr>
          <w:rFonts w:ascii="Arial" w:hAnsi="Arial" w:cs="Arial"/>
        </w:rPr>
      </w:pPr>
    </w:p>
    <w:p w:rsidR="003F4878" w:rsidRPr="003F4878" w:rsidRDefault="003F4878" w:rsidP="003F4878">
      <w:pPr>
        <w:jc w:val="both"/>
        <w:rPr>
          <w:rFonts w:ascii="Arial" w:hAnsi="Arial" w:cs="Arial"/>
        </w:rPr>
      </w:pPr>
      <w:r w:rsidRPr="003F4878">
        <w:rPr>
          <w:rFonts w:ascii="Arial" w:hAnsi="Arial" w:cs="Arial"/>
        </w:rPr>
        <w:t>Por ello, la Ley de Transparencia y Acceso a la Información Pública, emitida en el Periódico Oficial del Estado el 9 de mayo del año 2016, reglamenta el ejercicio del derecho a la información pública y señala que debe considerarse Información pública: “la que es creada, administrada o en posesión de los sujetos obligados, exceptuando la clasificada como reservada o confidencial.”</w:t>
      </w:r>
    </w:p>
    <w:p w:rsidR="00C24991" w:rsidRPr="003F4878" w:rsidRDefault="00C24991" w:rsidP="003F4878">
      <w:pPr>
        <w:jc w:val="both"/>
        <w:rPr>
          <w:rFonts w:ascii="Arial" w:hAnsi="Arial" w:cs="Arial"/>
        </w:rPr>
      </w:pPr>
    </w:p>
    <w:p w:rsidR="003F4878" w:rsidRPr="003F4878" w:rsidRDefault="003F4878" w:rsidP="003F4878">
      <w:pPr>
        <w:jc w:val="both"/>
        <w:rPr>
          <w:rFonts w:ascii="Arial" w:hAnsi="Arial" w:cs="Arial"/>
        </w:rPr>
      </w:pPr>
      <w:r w:rsidRPr="003F4878">
        <w:rPr>
          <w:rFonts w:ascii="Arial" w:hAnsi="Arial" w:cs="Arial"/>
        </w:rPr>
        <w:t xml:space="preserve">Si bien, lo relatado con anterioridad establece el derecho humano al acceso a la información, también lo es que, este derecho tiene sus excepciones que se encuentran establecidas en el numeral 113 de la Ley de Transparencia en el Estado, es decir, la figura jurídica de información reservada e información confidencial. </w:t>
      </w:r>
    </w:p>
    <w:p w:rsidR="00A9088A" w:rsidRDefault="00A9088A" w:rsidP="003F4878">
      <w:pPr>
        <w:jc w:val="both"/>
        <w:rPr>
          <w:rFonts w:ascii="Arial" w:hAnsi="Arial" w:cs="Arial"/>
        </w:rPr>
      </w:pPr>
    </w:p>
    <w:p w:rsidR="003F4878" w:rsidRPr="003F4878" w:rsidRDefault="003F4878" w:rsidP="003F4878">
      <w:pPr>
        <w:jc w:val="both"/>
        <w:rPr>
          <w:rFonts w:ascii="Arial" w:hAnsi="Arial" w:cs="Arial"/>
        </w:rPr>
      </w:pPr>
      <w:r w:rsidRPr="003F4878">
        <w:rPr>
          <w:rFonts w:ascii="Arial" w:hAnsi="Arial" w:cs="Arial"/>
        </w:rPr>
        <w:t>En el caso que nos ocupa, se considera que se está ante información cuya publicación puede comprometer, por un lado, la seguridad y vida de los servidores públicos operativos y su familia y, por el otro la procuración de justicia, esto último como función imperante en esta dependencia.</w:t>
      </w:r>
    </w:p>
    <w:p w:rsidR="003F4878" w:rsidRPr="003F4878" w:rsidRDefault="003F4878" w:rsidP="003F4878">
      <w:pPr>
        <w:jc w:val="both"/>
        <w:rPr>
          <w:rFonts w:ascii="Arial" w:hAnsi="Arial" w:cs="Arial"/>
        </w:rPr>
      </w:pPr>
      <w:r w:rsidRPr="003F4878">
        <w:rPr>
          <w:rFonts w:ascii="Arial" w:hAnsi="Arial" w:cs="Arial"/>
        </w:rPr>
        <w:lastRenderedPageBreak/>
        <w:t>Y dar a conocer la información contenida en las declaraciones</w:t>
      </w:r>
      <w:r w:rsidR="008941EF">
        <w:rPr>
          <w:rFonts w:ascii="Arial" w:hAnsi="Arial" w:cs="Arial"/>
        </w:rPr>
        <w:t xml:space="preserve"> de</w:t>
      </w:r>
      <w:r w:rsidRPr="003F4878">
        <w:rPr>
          <w:rFonts w:ascii="Arial" w:hAnsi="Arial" w:cs="Arial"/>
        </w:rPr>
        <w:t xml:space="preserve"> </w:t>
      </w:r>
      <w:r w:rsidR="008941EF">
        <w:rPr>
          <w:rFonts w:ascii="Arial" w:hAnsi="Arial" w:cs="Arial"/>
          <w:b/>
        </w:rPr>
        <w:t>conclusión</w:t>
      </w:r>
      <w:r w:rsidR="00A51397">
        <w:rPr>
          <w:rFonts w:ascii="Arial" w:hAnsi="Arial" w:cs="Arial"/>
          <w:b/>
        </w:rPr>
        <w:t xml:space="preserve"> </w:t>
      </w:r>
      <w:r w:rsidR="00961FA4" w:rsidRPr="008941EF">
        <w:rPr>
          <w:rFonts w:ascii="Arial" w:hAnsi="Arial" w:cs="Arial"/>
        </w:rPr>
        <w:t>de situación patrimonial</w:t>
      </w:r>
      <w:r w:rsidR="00961FA4">
        <w:rPr>
          <w:rFonts w:ascii="Arial" w:hAnsi="Arial" w:cs="Arial"/>
          <w:b/>
        </w:rPr>
        <w:t xml:space="preserve"> </w:t>
      </w:r>
      <w:r w:rsidR="00F91CB5">
        <w:rPr>
          <w:rFonts w:ascii="Arial" w:hAnsi="Arial" w:cs="Arial"/>
          <w:b/>
        </w:rPr>
        <w:t>simplificadas</w:t>
      </w:r>
      <w:r w:rsidRPr="003F4878">
        <w:rPr>
          <w:rFonts w:ascii="Arial" w:hAnsi="Arial" w:cs="Arial"/>
        </w:rPr>
        <w:t xml:space="preserve"> contraviene lo dispuesto en el Artículo 93 Bis de la ley del Sistema de Seguridad del Estado de San Luis Potosí que rige al personal de esta Fiscalía, en el que se considera “como reservada la información contenida en todas y cada una de las bases de datos del sistema, y la información contenida en ellos, en materia de detenciones, información criminal, personal de seguridad pública…” Por lo que resulta de gran importancia la reserva de la información referente a totalidad de la información contenida en las declaraciones</w:t>
      </w:r>
      <w:r w:rsidR="008941EF">
        <w:rPr>
          <w:rFonts w:ascii="Arial" w:hAnsi="Arial" w:cs="Arial"/>
        </w:rPr>
        <w:t xml:space="preserve"> de</w:t>
      </w:r>
      <w:r w:rsidRPr="003F4878">
        <w:rPr>
          <w:rFonts w:ascii="Arial" w:hAnsi="Arial" w:cs="Arial"/>
        </w:rPr>
        <w:t xml:space="preserve"> </w:t>
      </w:r>
      <w:r w:rsidR="008941EF">
        <w:rPr>
          <w:rFonts w:ascii="Arial" w:hAnsi="Arial" w:cs="Arial"/>
          <w:b/>
        </w:rPr>
        <w:t>conclusión</w:t>
      </w:r>
      <w:r w:rsidR="00A51397">
        <w:rPr>
          <w:rFonts w:ascii="Arial" w:hAnsi="Arial" w:cs="Arial"/>
          <w:b/>
        </w:rPr>
        <w:t xml:space="preserve"> </w:t>
      </w:r>
      <w:r w:rsidR="00FC0201">
        <w:rPr>
          <w:rFonts w:ascii="Arial" w:hAnsi="Arial" w:cs="Arial"/>
          <w:b/>
        </w:rPr>
        <w:t xml:space="preserve"> </w:t>
      </w:r>
      <w:r w:rsidR="00F239B9" w:rsidRPr="008941EF">
        <w:rPr>
          <w:rFonts w:ascii="Arial" w:hAnsi="Arial" w:cs="Arial"/>
        </w:rPr>
        <w:t>de situación patrimonial</w:t>
      </w:r>
      <w:r w:rsidR="00F239B9">
        <w:rPr>
          <w:rFonts w:ascii="Arial" w:hAnsi="Arial" w:cs="Arial"/>
          <w:b/>
        </w:rPr>
        <w:t xml:space="preserve"> </w:t>
      </w:r>
      <w:r w:rsidR="00F91CB5">
        <w:rPr>
          <w:rFonts w:ascii="Arial" w:hAnsi="Arial" w:cs="Arial"/>
          <w:b/>
        </w:rPr>
        <w:t>simplificadas</w:t>
      </w:r>
      <w:r w:rsidR="00F239B9" w:rsidRPr="003F4878">
        <w:rPr>
          <w:rFonts w:ascii="Arial" w:hAnsi="Arial" w:cs="Arial"/>
        </w:rPr>
        <w:t xml:space="preserve"> </w:t>
      </w:r>
      <w:r w:rsidRPr="003F4878">
        <w:rPr>
          <w:rFonts w:ascii="Arial" w:hAnsi="Arial" w:cs="Arial"/>
        </w:rPr>
        <w:t xml:space="preserve">presentadas en el mes de </w:t>
      </w:r>
      <w:r w:rsidR="007D231E">
        <w:rPr>
          <w:rFonts w:ascii="Arial" w:hAnsi="Arial" w:cs="Arial"/>
          <w:b/>
        </w:rPr>
        <w:t xml:space="preserve">octubre </w:t>
      </w:r>
      <w:r w:rsidRPr="003F4878">
        <w:rPr>
          <w:rFonts w:ascii="Arial" w:hAnsi="Arial" w:cs="Arial"/>
          <w:b/>
        </w:rPr>
        <w:t>2025</w:t>
      </w:r>
      <w:r w:rsidRPr="003F4878">
        <w:rPr>
          <w:rFonts w:ascii="Arial" w:hAnsi="Arial" w:cs="Arial"/>
        </w:rPr>
        <w:t xml:space="preserve"> del personal que se describe en el Manual de Remuneraciones para los Servidores Públicos de la Fiscalía General del Estado de San Luis Potosí, aprobado para el Ejercicio Fiscal 2025, que no realicen funciones directivas y que se encuentren adscrito a los Órganos Tácticos Operativos de la Fiscalía General del Estado como lo son Vice fiscalías, Fiscalías Especializadas y Dirección General de Métodos de Investigación, y de los Órganos Estratégicos: adscritos a la Dirección General de Política de Persecución Penal y Análisis Estratégico, </w:t>
      </w:r>
      <w:r w:rsidR="00CE31CC" w:rsidRPr="003F4878">
        <w:rPr>
          <w:rFonts w:ascii="Arial" w:hAnsi="Arial" w:cs="Arial"/>
        </w:rPr>
        <w:t>Visitaduría</w:t>
      </w:r>
      <w:r w:rsidRPr="003F4878">
        <w:rPr>
          <w:rFonts w:ascii="Arial" w:hAnsi="Arial" w:cs="Arial"/>
        </w:rPr>
        <w:t xml:space="preserve"> General y la Dirección General de Análisis Criminal así como del personal administrativo y de apoyo adscrito a los órganos estratégicos: Vice fiscalía Jurídica, Dirección General de Política de Persecución Penal y Análisis Estratégico y la Dirección General de Análisis Criminal, y que desempeñan los cargos que se describieron con anterioridad. </w:t>
      </w:r>
    </w:p>
    <w:p w:rsidR="00A51397" w:rsidRDefault="00A51397" w:rsidP="00662DF6">
      <w:pPr>
        <w:jc w:val="both"/>
        <w:rPr>
          <w:rFonts w:ascii="Arial" w:hAnsi="Arial" w:cs="Arial"/>
          <w:b/>
        </w:rPr>
      </w:pPr>
    </w:p>
    <w:p w:rsidR="003F4878" w:rsidRDefault="00045C57" w:rsidP="00662DF6">
      <w:pPr>
        <w:jc w:val="both"/>
        <w:rPr>
          <w:rFonts w:ascii="Arial" w:hAnsi="Arial" w:cs="Arial"/>
          <w:b/>
        </w:rPr>
      </w:pPr>
      <w:r w:rsidRPr="003F4878">
        <w:rPr>
          <w:rFonts w:ascii="Arial" w:hAnsi="Arial" w:cs="Arial"/>
          <w:b/>
        </w:rPr>
        <w:t xml:space="preserve">Fundamentación. </w:t>
      </w:r>
    </w:p>
    <w:p w:rsidR="00C24991" w:rsidRPr="003F4878" w:rsidRDefault="00C24991" w:rsidP="00662DF6">
      <w:pPr>
        <w:jc w:val="both"/>
        <w:rPr>
          <w:rFonts w:ascii="Arial" w:hAnsi="Arial" w:cs="Arial"/>
          <w:b/>
        </w:rPr>
      </w:pPr>
    </w:p>
    <w:p w:rsidR="00045C57" w:rsidRDefault="00045C57" w:rsidP="00662DF6">
      <w:pPr>
        <w:jc w:val="both"/>
        <w:rPr>
          <w:rFonts w:ascii="Arial" w:hAnsi="Arial" w:cs="Arial"/>
        </w:rPr>
      </w:pPr>
      <w:r>
        <w:rPr>
          <w:rFonts w:ascii="Arial" w:hAnsi="Arial" w:cs="Arial"/>
        </w:rPr>
        <w:t xml:space="preserve">La normativa que utiliza el </w:t>
      </w:r>
      <w:r w:rsidR="00514D65">
        <w:rPr>
          <w:rFonts w:ascii="Arial" w:hAnsi="Arial" w:cs="Arial"/>
        </w:rPr>
        <w:t>titular del órgano interno de control</w:t>
      </w:r>
      <w:r>
        <w:rPr>
          <w:rFonts w:ascii="Arial" w:hAnsi="Arial" w:cs="Arial"/>
        </w:rPr>
        <w:t xml:space="preserve"> es la correcta pues aplica los numerales 6º de la Constitución </w:t>
      </w:r>
      <w:r w:rsidR="00164F0D">
        <w:rPr>
          <w:rFonts w:ascii="Arial" w:hAnsi="Arial" w:cs="Arial"/>
        </w:rPr>
        <w:t>P</w:t>
      </w:r>
      <w:r>
        <w:rPr>
          <w:rFonts w:ascii="Arial" w:hAnsi="Arial" w:cs="Arial"/>
        </w:rPr>
        <w:t xml:space="preserve">olítica de los </w:t>
      </w:r>
      <w:r w:rsidR="00164F0D">
        <w:rPr>
          <w:rFonts w:ascii="Arial" w:hAnsi="Arial" w:cs="Arial"/>
        </w:rPr>
        <w:t>E</w:t>
      </w:r>
      <w:r>
        <w:rPr>
          <w:rFonts w:ascii="Arial" w:hAnsi="Arial" w:cs="Arial"/>
        </w:rPr>
        <w:t xml:space="preserve">stados </w:t>
      </w:r>
      <w:r w:rsidR="00164F0D">
        <w:rPr>
          <w:rFonts w:ascii="Arial" w:hAnsi="Arial" w:cs="Arial"/>
        </w:rPr>
        <w:t>U</w:t>
      </w:r>
      <w:r>
        <w:rPr>
          <w:rFonts w:ascii="Arial" w:hAnsi="Arial" w:cs="Arial"/>
        </w:rPr>
        <w:t xml:space="preserve">nidos </w:t>
      </w:r>
      <w:r w:rsidR="00164F0D">
        <w:rPr>
          <w:rFonts w:ascii="Arial" w:hAnsi="Arial" w:cs="Arial"/>
        </w:rPr>
        <w:t>M</w:t>
      </w:r>
      <w:r>
        <w:rPr>
          <w:rFonts w:ascii="Arial" w:hAnsi="Arial" w:cs="Arial"/>
        </w:rPr>
        <w:t>exicanos,</w:t>
      </w:r>
      <w:r w:rsidR="00374F51">
        <w:rPr>
          <w:rFonts w:ascii="Arial" w:hAnsi="Arial" w:cs="Arial"/>
        </w:rPr>
        <w:t xml:space="preserve"> 17, fracción III,</w:t>
      </w:r>
      <w:r w:rsidR="00514D65">
        <w:rPr>
          <w:rFonts w:ascii="Arial" w:hAnsi="Arial" w:cs="Arial"/>
        </w:rPr>
        <w:t xml:space="preserve"> de la Constitución </w:t>
      </w:r>
      <w:r w:rsidR="00164F0D">
        <w:rPr>
          <w:rFonts w:ascii="Arial" w:hAnsi="Arial" w:cs="Arial"/>
        </w:rPr>
        <w:t>P</w:t>
      </w:r>
      <w:r w:rsidR="00514D65">
        <w:rPr>
          <w:rFonts w:ascii="Arial" w:hAnsi="Arial" w:cs="Arial"/>
        </w:rPr>
        <w:t xml:space="preserve">olítica del </w:t>
      </w:r>
      <w:r w:rsidR="00164F0D">
        <w:rPr>
          <w:rFonts w:ascii="Arial" w:hAnsi="Arial" w:cs="Arial"/>
        </w:rPr>
        <w:t>E</w:t>
      </w:r>
      <w:r w:rsidR="00514D65">
        <w:rPr>
          <w:rFonts w:ascii="Arial" w:hAnsi="Arial" w:cs="Arial"/>
        </w:rPr>
        <w:t>stado de San Luis Potosí,</w:t>
      </w:r>
      <w:r w:rsidR="00374F51">
        <w:rPr>
          <w:rFonts w:ascii="Arial" w:hAnsi="Arial" w:cs="Arial"/>
        </w:rPr>
        <w:t xml:space="preserve"> 93 BIS de la </w:t>
      </w:r>
      <w:r w:rsidR="00164F0D">
        <w:rPr>
          <w:rFonts w:ascii="Arial" w:hAnsi="Arial" w:cs="Arial"/>
        </w:rPr>
        <w:t>L</w:t>
      </w:r>
      <w:r w:rsidR="00374F51">
        <w:rPr>
          <w:rFonts w:ascii="Arial" w:hAnsi="Arial" w:cs="Arial"/>
        </w:rPr>
        <w:t xml:space="preserve">ey del </w:t>
      </w:r>
      <w:r w:rsidR="00164F0D">
        <w:rPr>
          <w:rFonts w:ascii="Arial" w:hAnsi="Arial" w:cs="Arial"/>
        </w:rPr>
        <w:t>S</w:t>
      </w:r>
      <w:r w:rsidR="00374F51">
        <w:rPr>
          <w:rFonts w:ascii="Arial" w:hAnsi="Arial" w:cs="Arial"/>
        </w:rPr>
        <w:t xml:space="preserve">istema de </w:t>
      </w:r>
      <w:r w:rsidR="00164F0D">
        <w:rPr>
          <w:rFonts w:ascii="Arial" w:hAnsi="Arial" w:cs="Arial"/>
        </w:rPr>
        <w:t>S</w:t>
      </w:r>
      <w:r w:rsidR="00374F51">
        <w:rPr>
          <w:rFonts w:ascii="Arial" w:hAnsi="Arial" w:cs="Arial"/>
        </w:rPr>
        <w:t xml:space="preserve">eguridad </w:t>
      </w:r>
      <w:r w:rsidR="00164F0D">
        <w:rPr>
          <w:rFonts w:ascii="Arial" w:hAnsi="Arial" w:cs="Arial"/>
        </w:rPr>
        <w:t>P</w:t>
      </w:r>
      <w:r w:rsidR="00374F51">
        <w:rPr>
          <w:rFonts w:ascii="Arial" w:hAnsi="Arial" w:cs="Arial"/>
        </w:rPr>
        <w:t xml:space="preserve">ública del </w:t>
      </w:r>
      <w:r w:rsidR="00164F0D">
        <w:rPr>
          <w:rFonts w:ascii="Arial" w:hAnsi="Arial" w:cs="Arial"/>
        </w:rPr>
        <w:t>E</w:t>
      </w:r>
      <w:r w:rsidR="00374F51">
        <w:rPr>
          <w:rFonts w:ascii="Arial" w:hAnsi="Arial" w:cs="Arial"/>
        </w:rPr>
        <w:t xml:space="preserve">stado de San Luis Potosí, 3º fracciones II, XIII, XX, y XXI, </w:t>
      </w:r>
      <w:r w:rsidR="00B23791">
        <w:rPr>
          <w:rFonts w:ascii="Arial" w:hAnsi="Arial" w:cs="Arial"/>
        </w:rPr>
        <w:t xml:space="preserve">20, 24, fracción VI, </w:t>
      </w:r>
      <w:r w:rsidR="00374F51">
        <w:rPr>
          <w:rFonts w:ascii="Arial" w:hAnsi="Arial" w:cs="Arial"/>
        </w:rPr>
        <w:t xml:space="preserve">113, </w:t>
      </w:r>
      <w:r w:rsidR="00B23791">
        <w:rPr>
          <w:rFonts w:ascii="Arial" w:hAnsi="Arial" w:cs="Arial"/>
        </w:rPr>
        <w:t>114, 117, 118, 119</w:t>
      </w:r>
      <w:r w:rsidR="00472BF5">
        <w:rPr>
          <w:rFonts w:ascii="Arial" w:hAnsi="Arial" w:cs="Arial"/>
        </w:rPr>
        <w:t>,</w:t>
      </w:r>
      <w:r w:rsidR="00B23791">
        <w:rPr>
          <w:rFonts w:ascii="Arial" w:hAnsi="Arial" w:cs="Arial"/>
        </w:rPr>
        <w:t xml:space="preserve"> 120 </w:t>
      </w:r>
      <w:r w:rsidR="00374F51">
        <w:rPr>
          <w:rFonts w:ascii="Arial" w:hAnsi="Arial" w:cs="Arial"/>
        </w:rPr>
        <w:t xml:space="preserve">fracción </w:t>
      </w:r>
      <w:r w:rsidR="00B23791">
        <w:rPr>
          <w:rFonts w:ascii="Arial" w:hAnsi="Arial" w:cs="Arial"/>
        </w:rPr>
        <w:t>II</w:t>
      </w:r>
      <w:r w:rsidR="00374F51">
        <w:rPr>
          <w:rFonts w:ascii="Arial" w:hAnsi="Arial" w:cs="Arial"/>
        </w:rPr>
        <w:t xml:space="preserve">I, 129 fracciones </w:t>
      </w:r>
      <w:r w:rsidR="005160BF">
        <w:rPr>
          <w:rFonts w:ascii="Arial" w:hAnsi="Arial" w:cs="Arial"/>
        </w:rPr>
        <w:t>I, y XII</w:t>
      </w:r>
      <w:r w:rsidR="00374F51">
        <w:rPr>
          <w:rFonts w:ascii="Arial" w:hAnsi="Arial" w:cs="Arial"/>
        </w:rPr>
        <w:t>, y 132 de la ley de transparencia y acceso a la información pública del estado,</w:t>
      </w:r>
      <w:r w:rsidR="005160BF">
        <w:rPr>
          <w:rFonts w:ascii="Arial" w:hAnsi="Arial" w:cs="Arial"/>
        </w:rPr>
        <w:t xml:space="preserve"> 218 del código nacional de procedimientos penales</w:t>
      </w:r>
      <w:r w:rsidR="00A5063A">
        <w:rPr>
          <w:rFonts w:ascii="Arial" w:hAnsi="Arial" w:cs="Arial"/>
        </w:rPr>
        <w:t>,</w:t>
      </w:r>
      <w:r w:rsidR="00374F51">
        <w:rPr>
          <w:rFonts w:ascii="Arial" w:hAnsi="Arial" w:cs="Arial"/>
        </w:rPr>
        <w:t xml:space="preserve"> lineamientos, </w:t>
      </w:r>
      <w:r w:rsidR="00B23791">
        <w:rPr>
          <w:rFonts w:ascii="Arial" w:hAnsi="Arial" w:cs="Arial"/>
        </w:rPr>
        <w:t xml:space="preserve">décimo séptimo, </w:t>
      </w:r>
      <w:r w:rsidR="00374F51">
        <w:rPr>
          <w:rFonts w:ascii="Arial" w:hAnsi="Arial" w:cs="Arial"/>
        </w:rPr>
        <w:t>décimo octavo,</w:t>
      </w:r>
      <w:r w:rsidR="00B23791">
        <w:rPr>
          <w:rFonts w:ascii="Arial" w:hAnsi="Arial" w:cs="Arial"/>
        </w:rPr>
        <w:t xml:space="preserve"> trigésimo primero, </w:t>
      </w:r>
      <w:r w:rsidR="00374F51">
        <w:rPr>
          <w:rFonts w:ascii="Arial" w:hAnsi="Arial" w:cs="Arial"/>
        </w:rPr>
        <w:t>de los LGCDIEVP.</w:t>
      </w:r>
    </w:p>
    <w:p w:rsidR="007D231E" w:rsidRDefault="007D231E" w:rsidP="00662DF6">
      <w:pPr>
        <w:jc w:val="both"/>
        <w:rPr>
          <w:rFonts w:ascii="Arial" w:hAnsi="Arial" w:cs="Arial"/>
          <w:b/>
        </w:rPr>
      </w:pPr>
    </w:p>
    <w:p w:rsidR="003F4878" w:rsidRPr="003F4878" w:rsidRDefault="007336C3" w:rsidP="00662DF6">
      <w:pPr>
        <w:jc w:val="both"/>
        <w:rPr>
          <w:rFonts w:ascii="Arial" w:hAnsi="Arial" w:cs="Arial"/>
          <w:b/>
        </w:rPr>
      </w:pPr>
      <w:r w:rsidRPr="003F4878">
        <w:rPr>
          <w:rFonts w:ascii="Arial" w:hAnsi="Arial" w:cs="Arial"/>
          <w:b/>
        </w:rPr>
        <w:t xml:space="preserve">Razonamiento. </w:t>
      </w:r>
    </w:p>
    <w:p w:rsidR="009B0D72" w:rsidRDefault="009B0D72" w:rsidP="00662DF6">
      <w:pPr>
        <w:jc w:val="both"/>
        <w:rPr>
          <w:rFonts w:ascii="Arial" w:hAnsi="Arial" w:cs="Arial"/>
        </w:rPr>
      </w:pPr>
    </w:p>
    <w:p w:rsidR="00BF3665" w:rsidRDefault="00EE7429" w:rsidP="00662DF6">
      <w:pPr>
        <w:jc w:val="both"/>
        <w:rPr>
          <w:rFonts w:ascii="Arial" w:hAnsi="Arial" w:cs="Arial"/>
        </w:rPr>
      </w:pPr>
      <w:r>
        <w:rPr>
          <w:rFonts w:ascii="Arial" w:hAnsi="Arial" w:cs="Arial"/>
        </w:rPr>
        <w:t xml:space="preserve">El </w:t>
      </w:r>
      <w:r w:rsidR="00E61018">
        <w:rPr>
          <w:rFonts w:ascii="Arial" w:hAnsi="Arial" w:cs="Arial"/>
        </w:rPr>
        <w:t>d</w:t>
      </w:r>
      <w:r>
        <w:rPr>
          <w:rFonts w:ascii="Arial" w:hAnsi="Arial" w:cs="Arial"/>
        </w:rPr>
        <w:t>octor Jesús Rafael Rodríguez López</w:t>
      </w:r>
      <w:r w:rsidR="003E4299">
        <w:rPr>
          <w:rFonts w:ascii="Arial" w:hAnsi="Arial" w:cs="Arial"/>
        </w:rPr>
        <w:t xml:space="preserve">, titular del </w:t>
      </w:r>
      <w:r w:rsidR="00164F0D">
        <w:rPr>
          <w:rFonts w:ascii="Arial" w:hAnsi="Arial" w:cs="Arial"/>
        </w:rPr>
        <w:t>Ó</w:t>
      </w:r>
      <w:r w:rsidR="003E4299">
        <w:rPr>
          <w:rFonts w:ascii="Arial" w:hAnsi="Arial" w:cs="Arial"/>
        </w:rPr>
        <w:t xml:space="preserve">rgano </w:t>
      </w:r>
      <w:r w:rsidR="00164F0D">
        <w:rPr>
          <w:rFonts w:ascii="Arial" w:hAnsi="Arial" w:cs="Arial"/>
        </w:rPr>
        <w:t>I</w:t>
      </w:r>
      <w:r w:rsidR="003E4299">
        <w:rPr>
          <w:rFonts w:ascii="Arial" w:hAnsi="Arial" w:cs="Arial"/>
        </w:rPr>
        <w:t xml:space="preserve">nterno de </w:t>
      </w:r>
      <w:r w:rsidR="00164F0D">
        <w:rPr>
          <w:rFonts w:ascii="Arial" w:hAnsi="Arial" w:cs="Arial"/>
        </w:rPr>
        <w:t>C</w:t>
      </w:r>
      <w:r w:rsidR="003E4299">
        <w:rPr>
          <w:rFonts w:ascii="Arial" w:hAnsi="Arial" w:cs="Arial"/>
        </w:rPr>
        <w:t xml:space="preserve">ontrol </w:t>
      </w:r>
      <w:r w:rsidR="009819AE">
        <w:rPr>
          <w:rFonts w:ascii="Arial" w:hAnsi="Arial" w:cs="Arial"/>
        </w:rPr>
        <w:t xml:space="preserve">adminicula las causales de procedencia de la reserva con las justificaciones en la aplicación de la prueba de daño en las tres hipótesis aplicables de acuerdo a la LTAIPSLP, concatenado con lo establecido en el lineamiento </w:t>
      </w:r>
      <w:r w:rsidR="00481D63">
        <w:rPr>
          <w:rFonts w:ascii="Arial" w:hAnsi="Arial" w:cs="Arial"/>
        </w:rPr>
        <w:t>t</w:t>
      </w:r>
      <w:r w:rsidR="009819AE">
        <w:rPr>
          <w:rFonts w:ascii="Arial" w:hAnsi="Arial" w:cs="Arial"/>
        </w:rPr>
        <w:t>rigésimo tercero de los LGCDIEVP, los que a la letra establecen;</w:t>
      </w:r>
    </w:p>
    <w:p w:rsidR="00DF2157" w:rsidRDefault="00DF2157" w:rsidP="00662DF6">
      <w:pPr>
        <w:jc w:val="both"/>
        <w:rPr>
          <w:rFonts w:ascii="Arial" w:hAnsi="Arial" w:cs="Arial"/>
        </w:rPr>
      </w:pPr>
    </w:p>
    <w:p w:rsidR="00BF3665" w:rsidRDefault="009819AE" w:rsidP="00391F8E">
      <w:pPr>
        <w:ind w:right="49"/>
        <w:jc w:val="both"/>
        <w:rPr>
          <w:rFonts w:ascii="Arial" w:hAnsi="Arial" w:cs="Arial"/>
          <w:i/>
          <w:sz w:val="18"/>
          <w:szCs w:val="18"/>
        </w:rPr>
      </w:pPr>
      <w:r>
        <w:rPr>
          <w:rFonts w:ascii="Arial" w:hAnsi="Arial" w:cs="Arial"/>
          <w:b/>
          <w:i/>
          <w:sz w:val="18"/>
          <w:szCs w:val="18"/>
        </w:rPr>
        <w:t>Artículo 118.</w:t>
      </w:r>
      <w:r>
        <w:rPr>
          <w:rFonts w:ascii="Arial" w:hAnsi="Arial" w:cs="Arial"/>
          <w:i/>
          <w:sz w:val="18"/>
          <w:szCs w:val="18"/>
        </w:rPr>
        <w:t xml:space="preserve"> En la aplicación de la prueba de daño, el sujeto obligado deberá justificar que:</w:t>
      </w:r>
    </w:p>
    <w:p w:rsidR="00BF3665" w:rsidRDefault="00BF3665" w:rsidP="00391F8E">
      <w:pPr>
        <w:ind w:right="49"/>
        <w:jc w:val="both"/>
        <w:rPr>
          <w:rFonts w:ascii="Arial" w:hAnsi="Arial" w:cs="Arial"/>
          <w:i/>
          <w:sz w:val="18"/>
          <w:szCs w:val="18"/>
        </w:rPr>
      </w:pPr>
    </w:p>
    <w:p w:rsidR="00BF3665" w:rsidRDefault="009819AE" w:rsidP="00391F8E">
      <w:pPr>
        <w:ind w:right="49"/>
        <w:jc w:val="both"/>
        <w:rPr>
          <w:rFonts w:ascii="Arial" w:hAnsi="Arial" w:cs="Arial"/>
          <w:i/>
          <w:sz w:val="18"/>
          <w:szCs w:val="18"/>
        </w:rPr>
      </w:pPr>
      <w:r>
        <w:rPr>
          <w:rFonts w:ascii="Arial" w:hAnsi="Arial" w:cs="Arial"/>
          <w:i/>
          <w:sz w:val="18"/>
          <w:szCs w:val="18"/>
        </w:rPr>
        <w:t>I. La divulgación de la información representa un riesgo real, demostrable e identificable de perjuicio significativo al interés público;</w:t>
      </w:r>
    </w:p>
    <w:p w:rsidR="00BF3665" w:rsidRDefault="00BF3665" w:rsidP="00391F8E">
      <w:pPr>
        <w:ind w:right="49"/>
        <w:jc w:val="both"/>
        <w:rPr>
          <w:rFonts w:ascii="Arial" w:hAnsi="Arial" w:cs="Arial"/>
          <w:i/>
          <w:sz w:val="18"/>
          <w:szCs w:val="18"/>
        </w:rPr>
      </w:pPr>
    </w:p>
    <w:p w:rsidR="00BF3665" w:rsidRDefault="009819AE" w:rsidP="00391F8E">
      <w:pPr>
        <w:ind w:right="49"/>
        <w:jc w:val="both"/>
        <w:rPr>
          <w:rFonts w:ascii="Arial" w:hAnsi="Arial" w:cs="Arial"/>
          <w:i/>
          <w:sz w:val="18"/>
          <w:szCs w:val="18"/>
        </w:rPr>
      </w:pPr>
      <w:r>
        <w:rPr>
          <w:rFonts w:ascii="Arial" w:hAnsi="Arial" w:cs="Arial"/>
          <w:i/>
          <w:sz w:val="18"/>
          <w:szCs w:val="18"/>
        </w:rPr>
        <w:lastRenderedPageBreak/>
        <w:t>II. El riesgo de perjuicio que supondría la divulgación supera el interés público general de que se difunda, y</w:t>
      </w:r>
    </w:p>
    <w:p w:rsidR="00BF3665" w:rsidRDefault="00BF3665" w:rsidP="00391F8E">
      <w:pPr>
        <w:ind w:right="49"/>
        <w:jc w:val="both"/>
        <w:rPr>
          <w:rFonts w:ascii="Arial" w:hAnsi="Arial" w:cs="Arial"/>
          <w:i/>
          <w:sz w:val="18"/>
          <w:szCs w:val="18"/>
        </w:rPr>
      </w:pPr>
    </w:p>
    <w:p w:rsidR="00BF3665" w:rsidRDefault="009819AE" w:rsidP="00391F8E">
      <w:pPr>
        <w:ind w:right="49"/>
        <w:jc w:val="both"/>
        <w:rPr>
          <w:rFonts w:ascii="Arial" w:hAnsi="Arial" w:cs="Arial"/>
          <w:i/>
          <w:sz w:val="18"/>
          <w:szCs w:val="18"/>
        </w:rPr>
      </w:pPr>
      <w:r>
        <w:rPr>
          <w:rFonts w:ascii="Arial" w:hAnsi="Arial" w:cs="Arial"/>
          <w:i/>
          <w:sz w:val="18"/>
          <w:szCs w:val="18"/>
        </w:rPr>
        <w:t>III. La limitación se adecua al principio de proporcionalidad y representa el medio menos restrictivo disponible para evitar el perjuicio.</w:t>
      </w:r>
    </w:p>
    <w:p w:rsidR="00BF3665" w:rsidRDefault="00BF3665" w:rsidP="00391F8E">
      <w:pPr>
        <w:ind w:right="49"/>
        <w:jc w:val="both"/>
        <w:rPr>
          <w:rFonts w:ascii="Arial" w:hAnsi="Arial" w:cs="Arial"/>
          <w:i/>
          <w:sz w:val="18"/>
          <w:szCs w:val="18"/>
        </w:rPr>
      </w:pPr>
    </w:p>
    <w:p w:rsidR="00BF3665" w:rsidRDefault="009819AE" w:rsidP="00391F8E">
      <w:pPr>
        <w:ind w:right="49"/>
        <w:jc w:val="both"/>
        <w:rPr>
          <w:rFonts w:ascii="Arial" w:hAnsi="Arial" w:cs="Arial"/>
          <w:i/>
          <w:sz w:val="18"/>
          <w:szCs w:val="18"/>
        </w:rPr>
      </w:pPr>
      <w:r>
        <w:rPr>
          <w:rFonts w:ascii="Arial" w:hAnsi="Arial" w:cs="Arial"/>
          <w:b/>
          <w:i/>
          <w:sz w:val="18"/>
          <w:szCs w:val="18"/>
        </w:rPr>
        <w:t>Trigésimo tercero</w:t>
      </w:r>
      <w:r>
        <w:rPr>
          <w:rFonts w:ascii="Arial" w:hAnsi="Arial" w:cs="Arial"/>
          <w:i/>
          <w:sz w:val="18"/>
          <w:szCs w:val="18"/>
        </w:rPr>
        <w:t>. Para la aplicación de la prueba de daño a la que hace referencia el artículo 104 de la Ley General, los sujetos obligados atenderán lo siguiente:</w:t>
      </w:r>
    </w:p>
    <w:p w:rsidR="00BF3665" w:rsidRDefault="00BF3665" w:rsidP="00391F8E">
      <w:pPr>
        <w:ind w:right="49"/>
        <w:jc w:val="both"/>
        <w:rPr>
          <w:rFonts w:ascii="Arial" w:hAnsi="Arial" w:cs="Arial"/>
          <w:i/>
          <w:sz w:val="18"/>
          <w:szCs w:val="18"/>
        </w:rPr>
      </w:pPr>
    </w:p>
    <w:p w:rsidR="00BF3665" w:rsidRDefault="009819AE" w:rsidP="00391F8E">
      <w:pPr>
        <w:pStyle w:val="Prrafodelista"/>
        <w:numPr>
          <w:ilvl w:val="0"/>
          <w:numId w:val="3"/>
        </w:numPr>
        <w:ind w:left="0" w:right="49" w:firstLine="0"/>
        <w:jc w:val="both"/>
        <w:rPr>
          <w:rFonts w:ascii="Arial" w:hAnsi="Arial" w:cs="Arial"/>
          <w:i/>
          <w:sz w:val="18"/>
          <w:szCs w:val="18"/>
        </w:rPr>
      </w:pPr>
      <w:r>
        <w:rPr>
          <w:rFonts w:ascii="Arial" w:hAnsi="Arial" w:cs="Arial"/>
          <w:i/>
          <w:sz w:val="18"/>
          <w:szCs w:val="18"/>
        </w:rPr>
        <w:t>Se deberá fundar la clasificación, al citar la fracción y la hipótesis de la causal aplicable del artículo 113 de la Ley General, vinculándola con el Lineamiento específico del presente ordenamiento y cuando corresponda, el supuesto normativo que expresamente le otorga el carácter de información reservada;</w:t>
      </w:r>
    </w:p>
    <w:p w:rsidR="00BF3665" w:rsidRDefault="00BF3665" w:rsidP="00391F8E">
      <w:pPr>
        <w:ind w:right="49"/>
        <w:jc w:val="both"/>
        <w:rPr>
          <w:rFonts w:ascii="Arial" w:hAnsi="Arial" w:cs="Arial"/>
          <w:i/>
          <w:sz w:val="18"/>
          <w:szCs w:val="18"/>
        </w:rPr>
      </w:pPr>
    </w:p>
    <w:p w:rsidR="00BF3665" w:rsidRDefault="009819AE" w:rsidP="00391F8E">
      <w:pPr>
        <w:pStyle w:val="Prrafodelista"/>
        <w:numPr>
          <w:ilvl w:val="0"/>
          <w:numId w:val="3"/>
        </w:numPr>
        <w:ind w:left="0" w:right="49" w:firstLine="0"/>
        <w:jc w:val="both"/>
        <w:rPr>
          <w:rFonts w:ascii="Arial" w:hAnsi="Arial" w:cs="Arial"/>
          <w:i/>
          <w:sz w:val="18"/>
          <w:szCs w:val="18"/>
        </w:rPr>
      </w:pPr>
      <w:r>
        <w:rPr>
          <w:rFonts w:ascii="Arial" w:hAnsi="Arial" w:cs="Arial"/>
          <w:i/>
          <w:sz w:val="18"/>
          <w:szCs w:val="18"/>
        </w:rPr>
        <w:t>Se deberá motivar la clasificación, señalando las circunstancias de modo, tiempo y lugar que acrediten el vínculo entre la difusión de la información y la afectación al interés público o a la seguridad nacional;</w:t>
      </w:r>
    </w:p>
    <w:p w:rsidR="00BF3665" w:rsidRDefault="00BF3665" w:rsidP="00391F8E">
      <w:pPr>
        <w:ind w:right="49"/>
        <w:jc w:val="both"/>
        <w:rPr>
          <w:rFonts w:ascii="Arial" w:hAnsi="Arial" w:cs="Arial"/>
          <w:i/>
          <w:sz w:val="18"/>
          <w:szCs w:val="18"/>
        </w:rPr>
      </w:pPr>
    </w:p>
    <w:p w:rsidR="00BF3665" w:rsidRDefault="009819AE" w:rsidP="00391F8E">
      <w:pPr>
        <w:pStyle w:val="Prrafodelista"/>
        <w:numPr>
          <w:ilvl w:val="0"/>
          <w:numId w:val="3"/>
        </w:numPr>
        <w:ind w:left="0" w:right="49" w:firstLine="0"/>
        <w:jc w:val="both"/>
        <w:rPr>
          <w:rFonts w:ascii="Arial" w:hAnsi="Arial" w:cs="Arial"/>
          <w:i/>
          <w:sz w:val="18"/>
          <w:szCs w:val="18"/>
        </w:rPr>
      </w:pPr>
      <w:r>
        <w:rPr>
          <w:rFonts w:ascii="Arial" w:hAnsi="Arial" w:cs="Arial"/>
          <w:i/>
          <w:sz w:val="18"/>
          <w:szCs w:val="18"/>
        </w:rPr>
        <w:t>Se deberán precisar las razones objetivas por las que la apertura de la información generaría un riesgo de perjuicio real, demostrable e identificable al interés jurídico tutelado de que se trate;</w:t>
      </w:r>
    </w:p>
    <w:p w:rsidR="00BF3665" w:rsidRDefault="00BF3665" w:rsidP="00391F8E">
      <w:pPr>
        <w:ind w:right="49"/>
        <w:jc w:val="both"/>
        <w:rPr>
          <w:rFonts w:ascii="Arial" w:hAnsi="Arial" w:cs="Arial"/>
          <w:i/>
          <w:sz w:val="18"/>
          <w:szCs w:val="18"/>
        </w:rPr>
      </w:pPr>
    </w:p>
    <w:p w:rsidR="00BF3665" w:rsidRDefault="009819AE" w:rsidP="00391F8E">
      <w:pPr>
        <w:pStyle w:val="Prrafodelista"/>
        <w:numPr>
          <w:ilvl w:val="0"/>
          <w:numId w:val="3"/>
        </w:numPr>
        <w:ind w:left="0" w:right="49" w:firstLine="0"/>
        <w:jc w:val="both"/>
        <w:rPr>
          <w:rFonts w:ascii="Arial" w:hAnsi="Arial" w:cs="Arial"/>
          <w:i/>
          <w:sz w:val="18"/>
          <w:szCs w:val="18"/>
        </w:rPr>
      </w:pPr>
      <w:r>
        <w:rPr>
          <w:rFonts w:ascii="Arial" w:hAnsi="Arial" w:cs="Arial"/>
          <w:i/>
          <w:sz w:val="18"/>
          <w:szCs w:val="18"/>
        </w:rPr>
        <w:t>Mediante una ponderación entre la medida restrictiva y el derecho de acceso a la información, deberán justificar y probar objetivamente mediante los elementos señalados en la fracción anterior, que la publicidad de la información solicitada generaría un riesgo de perjuicio que supera al interés público de que la información se difunda;</w:t>
      </w:r>
    </w:p>
    <w:p w:rsidR="00BF3665" w:rsidRDefault="00BF3665" w:rsidP="00391F8E">
      <w:pPr>
        <w:ind w:right="49"/>
        <w:jc w:val="both"/>
        <w:rPr>
          <w:rFonts w:ascii="Arial" w:hAnsi="Arial" w:cs="Arial"/>
          <w:i/>
          <w:sz w:val="18"/>
          <w:szCs w:val="18"/>
        </w:rPr>
      </w:pPr>
    </w:p>
    <w:p w:rsidR="00BF3665" w:rsidRDefault="009819AE" w:rsidP="00391F8E">
      <w:pPr>
        <w:pStyle w:val="Prrafodelista"/>
        <w:numPr>
          <w:ilvl w:val="0"/>
          <w:numId w:val="3"/>
        </w:numPr>
        <w:ind w:left="0" w:right="49" w:firstLine="0"/>
        <w:jc w:val="both"/>
        <w:rPr>
          <w:rFonts w:ascii="Arial" w:hAnsi="Arial" w:cs="Arial"/>
          <w:i/>
          <w:sz w:val="18"/>
          <w:szCs w:val="18"/>
        </w:rPr>
      </w:pPr>
      <w:r>
        <w:rPr>
          <w:rFonts w:ascii="Arial" w:hAnsi="Arial" w:cs="Arial"/>
          <w:i/>
          <w:sz w:val="18"/>
          <w:szCs w:val="18"/>
        </w:rPr>
        <w:t>Deberán elegir y justificar la opción de excepción al derecho de acceso a la información que menos lo restrinja y que sea adecuada y proporcional para evitar el perjuicio al interés público, evitando siempre que sea posible la reserva absoluta de documentos o expedientes;</w:t>
      </w:r>
    </w:p>
    <w:p w:rsidR="00BF3665" w:rsidRDefault="00BF3665" w:rsidP="00391F8E">
      <w:pPr>
        <w:ind w:right="49"/>
        <w:jc w:val="both"/>
        <w:rPr>
          <w:rFonts w:ascii="Arial" w:hAnsi="Arial" w:cs="Arial"/>
          <w:i/>
          <w:sz w:val="18"/>
          <w:szCs w:val="18"/>
        </w:rPr>
      </w:pPr>
    </w:p>
    <w:p w:rsidR="00BF3665" w:rsidRDefault="009819AE" w:rsidP="00391F8E">
      <w:pPr>
        <w:pStyle w:val="Prrafodelista"/>
        <w:numPr>
          <w:ilvl w:val="0"/>
          <w:numId w:val="3"/>
        </w:numPr>
        <w:ind w:left="0" w:right="49" w:firstLine="0"/>
        <w:jc w:val="both"/>
        <w:rPr>
          <w:rFonts w:ascii="Arial" w:hAnsi="Arial" w:cs="Arial"/>
          <w:i/>
          <w:sz w:val="18"/>
          <w:szCs w:val="18"/>
        </w:rPr>
      </w:pPr>
      <w:r>
        <w:rPr>
          <w:rFonts w:ascii="Arial" w:hAnsi="Arial" w:cs="Arial"/>
          <w:i/>
          <w:sz w:val="18"/>
          <w:szCs w:val="18"/>
        </w:rPr>
        <w:t>En los casos en que se determine la clasificación total de la información, se deberán especificar en la prueba de daño, con la mayor claridad y precisión posible, los aspectos relevantes de la información clasificada que ayuden a cumplir con el objetivo de brindar certeza al solicitante.</w:t>
      </w:r>
    </w:p>
    <w:p w:rsidR="00CE31CC" w:rsidRDefault="00CE31CC" w:rsidP="00662DF6">
      <w:pPr>
        <w:jc w:val="both"/>
        <w:rPr>
          <w:rFonts w:ascii="Arial" w:eastAsia="Times New Roman" w:hAnsi="Arial" w:cs="Arial"/>
          <w:lang w:val="es-ES"/>
        </w:rPr>
      </w:pPr>
    </w:p>
    <w:p w:rsidR="009B0D72" w:rsidRPr="009B0D72" w:rsidRDefault="009B0D72" w:rsidP="009B0D72">
      <w:pPr>
        <w:jc w:val="both"/>
        <w:rPr>
          <w:rFonts w:ascii="Arial" w:eastAsia="Times New Roman" w:hAnsi="Arial" w:cs="Arial"/>
          <w:lang w:val="es-ES"/>
        </w:rPr>
      </w:pPr>
      <w:r w:rsidRPr="009B0D72">
        <w:rPr>
          <w:rFonts w:ascii="Arial" w:eastAsia="Times New Roman" w:hAnsi="Arial" w:cs="Arial"/>
          <w:lang w:val="es-ES"/>
        </w:rPr>
        <w:t>Con el ánimo de evitar repeticiones innecesarias se tienen aquí por reproducido el desarrollo de cada una de las hipótesis establecidas por</w:t>
      </w:r>
      <w:r>
        <w:rPr>
          <w:rFonts w:ascii="Arial" w:eastAsia="Times New Roman" w:hAnsi="Arial" w:cs="Arial"/>
          <w:lang w:val="es-ES"/>
        </w:rPr>
        <w:t xml:space="preserve"> el </w:t>
      </w:r>
      <w:r>
        <w:rPr>
          <w:rFonts w:ascii="Arial" w:hAnsi="Arial" w:cs="Arial"/>
        </w:rPr>
        <w:t xml:space="preserve">titular del Órgano Interno de Control </w:t>
      </w:r>
      <w:r w:rsidRPr="009B0D72">
        <w:rPr>
          <w:rFonts w:ascii="Arial" w:eastAsia="Times New Roman" w:hAnsi="Arial" w:cs="Arial"/>
          <w:lang w:val="es-ES"/>
        </w:rPr>
        <w:t xml:space="preserve">como si se insertarán a la letra, de dicha relatoría, es proporcional la restricción que realiza en virtud de que  existe una adecuada ponderación entre los principios en juego, ósea, entre el derecho de acceso a la información pública y el fin y objetivo que busca su restricción, relativo al interés público o general inmerso en la función pública de investigación y persecución de los delitos.  </w:t>
      </w:r>
    </w:p>
    <w:p w:rsidR="009B0D72" w:rsidRDefault="009B0D72" w:rsidP="009B0D72">
      <w:pPr>
        <w:jc w:val="both"/>
        <w:rPr>
          <w:rFonts w:ascii="Arial" w:eastAsia="Times New Roman" w:hAnsi="Arial" w:cs="Arial"/>
          <w:lang w:val="es-ES"/>
        </w:rPr>
      </w:pPr>
    </w:p>
    <w:p w:rsidR="009B0D72" w:rsidRPr="009B0D72" w:rsidRDefault="009B0D72" w:rsidP="009B0D72">
      <w:pPr>
        <w:jc w:val="both"/>
        <w:rPr>
          <w:rFonts w:ascii="Arial" w:eastAsia="Times New Roman" w:hAnsi="Arial" w:cs="Arial"/>
          <w:lang w:val="es-ES"/>
        </w:rPr>
      </w:pPr>
      <w:r w:rsidRPr="009B0D72">
        <w:rPr>
          <w:rFonts w:ascii="Arial" w:eastAsia="Times New Roman" w:hAnsi="Arial" w:cs="Arial"/>
          <w:lang w:val="es-ES"/>
        </w:rPr>
        <w:t xml:space="preserve">Quedó  debidamente justificada la prueba de daño que causaría el proporcionar la información relacionada al </w:t>
      </w:r>
      <w:r w:rsidR="004F7658" w:rsidRPr="004F7658">
        <w:rPr>
          <w:rFonts w:ascii="Arial" w:eastAsia="Times New Roman" w:hAnsi="Arial" w:cs="Arial"/>
          <w:i/>
          <w:lang w:val="es-ES"/>
        </w:rPr>
        <w:t>domicilio del declarante, datos curriculares del declarante, datos del empleo, cargo o comisión que concluye, domicilio del empleo, cargo o comisión, tienes experiencia laboral?, tienes pareja? tienes dependiente económico?, ingresos netos del declarante, pareja y/o dependientes económicos (situación actual), te desempeñaste como servidor público en el año inmediato anterior, tienes inmuebles?, bienes inmuebles, ubicación del inmueble, tienes vehículos?, tienes muebles?, tienes inversiones, cuentas bancarias y otro tipo de valores?, tienes adeudos pasivos?, tienes préstamos o comodatos por terceros?, participas en empresas, sociedades o asociaciones? participas en la toma de decisiones de algunas de estas instituciones?, tienes apoyos o beneficios públicos? tienes representación?, tienes clientes principales?, tienes beneficios privados?, tienes fideicomisos?, datos fiscales</w:t>
      </w:r>
      <w:r w:rsidRPr="009B0D72">
        <w:rPr>
          <w:rFonts w:ascii="Arial" w:eastAsia="Times New Roman" w:hAnsi="Arial" w:cs="Arial"/>
          <w:lang w:val="es-ES"/>
        </w:rPr>
        <w:t>,  adscrito a áreas sustantivas, incluyendo al personal administrativo</w:t>
      </w:r>
      <w:r w:rsidR="004F7658">
        <w:rPr>
          <w:rFonts w:ascii="Arial" w:eastAsia="Times New Roman" w:hAnsi="Arial" w:cs="Arial"/>
          <w:lang w:val="es-ES"/>
        </w:rPr>
        <w:t xml:space="preserve"> de la Fiscalía General del Estado</w:t>
      </w:r>
      <w:r w:rsidRPr="009B0D72">
        <w:rPr>
          <w:rFonts w:ascii="Arial" w:eastAsia="Times New Roman" w:hAnsi="Arial" w:cs="Arial"/>
          <w:lang w:val="es-ES"/>
        </w:rPr>
        <w:t xml:space="preserve">, </w:t>
      </w:r>
      <w:r w:rsidRPr="009B0D72">
        <w:rPr>
          <w:rFonts w:ascii="Arial" w:eastAsia="Times New Roman" w:hAnsi="Arial" w:cs="Arial"/>
          <w:lang w:val="es-ES"/>
        </w:rPr>
        <w:lastRenderedPageBreak/>
        <w:t xml:space="preserve">pues como lo determinó Suprema Corte de Justicia de la Nación en la Controversia constitucional  325/2019, “hacer </w:t>
      </w:r>
      <w:r w:rsidR="004F7658" w:rsidRPr="009B0D72">
        <w:rPr>
          <w:rFonts w:ascii="Arial" w:eastAsia="Times New Roman" w:hAnsi="Arial" w:cs="Arial"/>
          <w:lang w:val="es-ES"/>
        </w:rPr>
        <w:t>público</w:t>
      </w:r>
      <w:r w:rsidRPr="009B0D72">
        <w:rPr>
          <w:rFonts w:ascii="Arial" w:eastAsia="Times New Roman" w:hAnsi="Arial" w:cs="Arial"/>
          <w:lang w:val="es-ES"/>
        </w:rPr>
        <w:t xml:space="preserve"> cualquier dato o información que haga identificable al personal operativo/sustantivo así como al administrativo que labora en la FGR, representa un riesgo real, demostrable e identificable de perjuicio significativo al interés público y a la seguridad pública nacional”, lo cual debe ser un espejo para las Fiscalía de las distintas Federaciones.</w:t>
      </w:r>
    </w:p>
    <w:p w:rsidR="009B0D72" w:rsidRPr="009B0D72" w:rsidRDefault="009B0D72" w:rsidP="009B0D72">
      <w:pPr>
        <w:jc w:val="both"/>
        <w:rPr>
          <w:rFonts w:ascii="Arial" w:eastAsia="Times New Roman" w:hAnsi="Arial" w:cs="Arial"/>
          <w:lang w:val="es-ES"/>
        </w:rPr>
      </w:pPr>
    </w:p>
    <w:p w:rsidR="009B0D72" w:rsidRPr="009B0D72" w:rsidRDefault="009B0D72" w:rsidP="009B0D72">
      <w:pPr>
        <w:jc w:val="both"/>
        <w:rPr>
          <w:rFonts w:ascii="Arial" w:eastAsia="Times New Roman" w:hAnsi="Arial" w:cs="Arial"/>
          <w:lang w:val="es-ES"/>
        </w:rPr>
      </w:pPr>
      <w:r w:rsidRPr="009B0D72">
        <w:rPr>
          <w:rFonts w:ascii="Arial" w:eastAsia="Times New Roman" w:hAnsi="Arial" w:cs="Arial"/>
          <w:lang w:val="es-ES"/>
        </w:rPr>
        <w:t>En este sentido, con la finalidad de cumplir no solo con objetivos conferidos constitucionalmente a la Fiscalía General del Estado, sino también para mantener la seguridad pública en la colaboración con todas las instituciones democráticas del país es que dichas funciones son realizadas por las personas agentes del ministerio público, policías y peritos, e invariablemente por el personal administrativo que labora en las diversas unidades administrativas que forman parte de la estructura orgánica este último si bien es cierto que no está en la primer línea de intervención, también lo es que por la naturaleza de las funciones de esta Institución,  en auxilio de aquellas, es quien tienen acceso a toda la información e insumos generados en la investigación de delitos, por lo que dar a conocer datos sobre estas pone en riesgo su vida, seguridad, salud e integridad, incluso la de sus familiares.</w:t>
      </w:r>
    </w:p>
    <w:p w:rsidR="009B0D72" w:rsidRPr="009B0D72" w:rsidRDefault="009B0D72" w:rsidP="009B0D72">
      <w:pPr>
        <w:jc w:val="both"/>
        <w:rPr>
          <w:rFonts w:ascii="Arial" w:eastAsia="Times New Roman" w:hAnsi="Arial" w:cs="Arial"/>
          <w:lang w:val="es-ES"/>
        </w:rPr>
      </w:pPr>
    </w:p>
    <w:p w:rsidR="009B0D72" w:rsidRPr="009B0D72" w:rsidRDefault="009B0D72" w:rsidP="009B0D72">
      <w:pPr>
        <w:jc w:val="both"/>
        <w:rPr>
          <w:rFonts w:ascii="Arial" w:eastAsia="Times New Roman" w:hAnsi="Arial" w:cs="Arial"/>
          <w:lang w:val="es-ES"/>
        </w:rPr>
      </w:pPr>
      <w:r w:rsidRPr="009B0D72">
        <w:rPr>
          <w:rFonts w:ascii="Arial" w:eastAsia="Times New Roman" w:hAnsi="Arial" w:cs="Arial"/>
          <w:lang w:val="es-ES"/>
        </w:rPr>
        <w:t>Resulta claro que la participación del personal administrativo es de vital relevancia, pues, desde la elaboración, envío y recepción de oficios entre las unidades administrativas o Instituciones gubernamentales, hasta la integración de expedientes que en su caso se requieran, les es posible el acceso a información sensible contenida en esos documentos que evidentemente debe ser resguardada con el mayor sigilo.</w:t>
      </w:r>
    </w:p>
    <w:p w:rsidR="009B0D72" w:rsidRPr="009B0D72" w:rsidRDefault="009B0D72" w:rsidP="009B0D72">
      <w:pPr>
        <w:jc w:val="both"/>
        <w:rPr>
          <w:rFonts w:ascii="Arial" w:eastAsia="Times New Roman" w:hAnsi="Arial" w:cs="Arial"/>
          <w:lang w:val="es-ES"/>
        </w:rPr>
      </w:pPr>
    </w:p>
    <w:p w:rsidR="009B0D72" w:rsidRPr="009B0D72" w:rsidRDefault="009B0D72" w:rsidP="009B0D72">
      <w:pPr>
        <w:jc w:val="both"/>
        <w:rPr>
          <w:rFonts w:ascii="Arial" w:eastAsia="Times New Roman" w:hAnsi="Arial" w:cs="Arial"/>
          <w:lang w:val="es-ES"/>
        </w:rPr>
      </w:pPr>
      <w:r w:rsidRPr="009B0D72">
        <w:rPr>
          <w:rFonts w:ascii="Arial" w:eastAsia="Times New Roman" w:hAnsi="Arial" w:cs="Arial"/>
          <w:lang w:val="es-ES"/>
        </w:rPr>
        <w:t xml:space="preserve">Al respecto, se debe tomar en cuenta que en la aludida resolución de la Controversia constitucional 325/2019, el Alto Tribunal constitucional sostuvo que “el personal administrativo tiene injerencia en la producción de información clave para procurar la impartición de justicia en el mercado criminal más peligroso de los Estados Unidos Mexicanos, por lo que permitir a los agentes criminales conocer cualquier tipo de información del personal que labora en la Fiscalía General de la República revelaría su capacidad de reacción: por ello, es perjudicial realizar la identificación de dicho personal, pues se pondría en riesgo su vida, seguridad, salud e integridad, incluso la de sus familiares, pues se demostró que únicamente con entregar el nombre y cargo de las personas servidoras y/o ex servidoras públicas de la FGR, se permitiría acceder a datos identificativos, académicos, electrónicos, patrimoniales, biométricos y los referentes a sus familiares”.                               </w:t>
      </w:r>
    </w:p>
    <w:p w:rsidR="009B0D72" w:rsidRPr="009B0D72" w:rsidRDefault="009B0D72" w:rsidP="009B0D72">
      <w:pPr>
        <w:jc w:val="both"/>
        <w:rPr>
          <w:rFonts w:ascii="Arial" w:eastAsia="Times New Roman" w:hAnsi="Arial" w:cs="Arial"/>
          <w:lang w:val="es-ES"/>
        </w:rPr>
      </w:pPr>
    </w:p>
    <w:p w:rsidR="009B0D72" w:rsidRPr="009B0D72" w:rsidRDefault="009B0D72" w:rsidP="009B0D72">
      <w:pPr>
        <w:jc w:val="both"/>
        <w:rPr>
          <w:rFonts w:ascii="Arial" w:eastAsia="Times New Roman" w:hAnsi="Arial" w:cs="Arial"/>
          <w:lang w:val="es-ES"/>
        </w:rPr>
      </w:pPr>
      <w:r w:rsidRPr="009B0D72">
        <w:rPr>
          <w:rFonts w:ascii="Arial" w:eastAsia="Times New Roman" w:hAnsi="Arial" w:cs="Arial"/>
          <w:lang w:val="es-ES"/>
        </w:rPr>
        <w:t xml:space="preserve">Por lo anterior, se concluye que el hacer público la información que se reserva, se atentaría de manera directa en contra de la Vida seguridad y salud de dichas personas, pues los miembros de las asociaciones delictivas podrían aprovechar esa información para amenazarlos con el objeto de obtener datos que les permitan sustraerse de la acción de la justicia y, por lo tanto, quedar impunes, aunado a que podrían tomar represalias por las investigaciones instauradas en su contra. Lo que impactaría en la capacidad de reacción y en la revelación del estado de </w:t>
      </w:r>
      <w:r w:rsidRPr="009B0D72">
        <w:rPr>
          <w:rFonts w:ascii="Arial" w:eastAsia="Times New Roman" w:hAnsi="Arial" w:cs="Arial"/>
          <w:lang w:val="es-ES"/>
        </w:rPr>
        <w:lastRenderedPageBreak/>
        <w:t xml:space="preserve">fuerza de esta Institución, transgrediendo así lo dispuesto en el artículo 129 fracciones I, y XII de la Ley de Transparencia en el Estado. </w:t>
      </w:r>
    </w:p>
    <w:p w:rsidR="009B0D72" w:rsidRPr="009B0D72" w:rsidRDefault="009B0D72" w:rsidP="009B0D72">
      <w:pPr>
        <w:jc w:val="both"/>
        <w:rPr>
          <w:rFonts w:ascii="Arial" w:eastAsia="Times New Roman" w:hAnsi="Arial" w:cs="Arial"/>
          <w:lang w:val="es-ES"/>
        </w:rPr>
      </w:pPr>
    </w:p>
    <w:p w:rsidR="009B0D72" w:rsidRPr="009B0D72" w:rsidRDefault="009B0D72" w:rsidP="009B0D72">
      <w:pPr>
        <w:jc w:val="both"/>
        <w:rPr>
          <w:rFonts w:ascii="Arial" w:eastAsia="Times New Roman" w:hAnsi="Arial" w:cs="Arial"/>
          <w:lang w:val="es-ES"/>
        </w:rPr>
      </w:pPr>
      <w:r w:rsidRPr="009B0D72">
        <w:rPr>
          <w:rFonts w:ascii="Arial" w:eastAsia="Times New Roman" w:hAnsi="Arial" w:cs="Arial"/>
          <w:lang w:val="es-ES"/>
        </w:rPr>
        <w:t>Perjuicio que supera el interés público.</w:t>
      </w:r>
    </w:p>
    <w:p w:rsidR="009B0D72" w:rsidRPr="009B0D72" w:rsidRDefault="009B0D72" w:rsidP="009B0D72">
      <w:pPr>
        <w:jc w:val="both"/>
        <w:rPr>
          <w:rFonts w:ascii="Arial" w:eastAsia="Times New Roman" w:hAnsi="Arial" w:cs="Arial"/>
          <w:lang w:val="es-ES"/>
        </w:rPr>
      </w:pPr>
      <w:r w:rsidRPr="009B0D72">
        <w:rPr>
          <w:rFonts w:ascii="Arial" w:eastAsia="Times New Roman" w:hAnsi="Arial" w:cs="Arial"/>
          <w:lang w:val="es-ES"/>
        </w:rPr>
        <w:t xml:space="preserve">Con la divulgación de la información </w:t>
      </w:r>
      <w:r w:rsidR="004F7658">
        <w:rPr>
          <w:rFonts w:ascii="Arial" w:eastAsia="Times New Roman" w:hAnsi="Arial" w:cs="Arial"/>
          <w:lang w:val="es-ES"/>
        </w:rPr>
        <w:t>que se reserva</w:t>
      </w:r>
      <w:r w:rsidRPr="009B0D72">
        <w:rPr>
          <w:rFonts w:ascii="Arial" w:eastAsia="Times New Roman" w:hAnsi="Arial" w:cs="Arial"/>
          <w:lang w:val="es-ES"/>
        </w:rPr>
        <w:t>, supera el interés público general de que se difunda en razón de que, como ya se dijo, divulgar datos que nos ocupan, en cualquier categoría o puesto, los hace blancos identificables y no solo pone en riesgo su vida, seguridad y salud, así como la de sus familiares, sino también las actividades realizadas por esta Fiscalía, toda vez que podrían ser sujetos de amenazas y extorsiones por parte de miembros de la delincuencia, con la finalidad de obtener la información relacionada con el combate y persecución de los delitos del fuero común.</w:t>
      </w:r>
    </w:p>
    <w:p w:rsidR="009B0D72" w:rsidRPr="009B0D72" w:rsidRDefault="009B0D72" w:rsidP="009B0D72">
      <w:pPr>
        <w:jc w:val="both"/>
        <w:rPr>
          <w:rFonts w:ascii="Arial" w:eastAsia="Times New Roman" w:hAnsi="Arial" w:cs="Arial"/>
          <w:lang w:val="es-ES"/>
        </w:rPr>
      </w:pPr>
    </w:p>
    <w:p w:rsidR="009B0D72" w:rsidRPr="009B0D72" w:rsidRDefault="009B0D72" w:rsidP="009B0D72">
      <w:pPr>
        <w:jc w:val="both"/>
        <w:rPr>
          <w:rFonts w:ascii="Arial" w:eastAsia="Times New Roman" w:hAnsi="Arial" w:cs="Arial"/>
          <w:lang w:val="es-ES"/>
        </w:rPr>
      </w:pPr>
      <w:r w:rsidRPr="009B0D72">
        <w:rPr>
          <w:rFonts w:ascii="Arial" w:eastAsia="Times New Roman" w:hAnsi="Arial" w:cs="Arial"/>
          <w:lang w:val="es-ES"/>
        </w:rPr>
        <w:t xml:space="preserve">El que los mercados criminales identifiquen y conozcan plenamente al personal que compone a la Institución y cuenten con información respecto a su capacidad de fuerza y reacción, esto es, el número total de personal, sus cargos y donde se encuentran ubicados, expone a la Fiscalía a amenazas y ataques que necesariamente tienen implicaciones negativa en el ejercicio de sus competencias constitucionales, por ello el Alto Tribunal concluyo que “conociendo el nombre de las personas físicas que laboran o laboraban en la Fiscalía y recopilando información de internet, es posible identificar plenamente a las personas; de modo que un simple dato que pudiera parecer inofensivo, puede arrojar información relativa a su edad, sexo, </w:t>
      </w:r>
      <w:r w:rsidR="004F7658">
        <w:rPr>
          <w:rFonts w:ascii="Arial" w:eastAsia="Times New Roman" w:hAnsi="Arial" w:cs="Arial"/>
          <w:lang w:val="es-ES"/>
        </w:rPr>
        <w:t>Clave Única de Registro de Población</w:t>
      </w:r>
      <w:r w:rsidRPr="009B0D72">
        <w:rPr>
          <w:rFonts w:ascii="Arial" w:eastAsia="Times New Roman" w:hAnsi="Arial" w:cs="Arial"/>
          <w:lang w:val="es-ES"/>
        </w:rPr>
        <w:t xml:space="preserve">, experiencia profesional, grado académico, domicilio laboral, inclusive cambios de adscripción, domicilio personal bienes muebles e inmuebles, así como, características físicas, amigos, familiares, y grado de parentesco, lo que incluye cónyuges, ex parejas e hijos, así como las escuelas en la que estudian estos; por lo que entregar el nombre de cualquier persona servidora pública de la Institución revelaría el 100% del estado de fuerza de la Institución”. </w:t>
      </w:r>
    </w:p>
    <w:p w:rsidR="009B0D72" w:rsidRPr="009B0D72" w:rsidRDefault="009B0D72" w:rsidP="009B0D72">
      <w:pPr>
        <w:jc w:val="both"/>
        <w:rPr>
          <w:rFonts w:ascii="Arial" w:eastAsia="Times New Roman" w:hAnsi="Arial" w:cs="Arial"/>
          <w:lang w:val="es-ES"/>
        </w:rPr>
      </w:pPr>
    </w:p>
    <w:p w:rsidR="009B0D72" w:rsidRPr="009B0D72" w:rsidRDefault="009B0D72" w:rsidP="009B0D72">
      <w:pPr>
        <w:jc w:val="both"/>
        <w:rPr>
          <w:rFonts w:ascii="Arial" w:eastAsia="Times New Roman" w:hAnsi="Arial" w:cs="Arial"/>
          <w:lang w:val="es-ES"/>
        </w:rPr>
      </w:pPr>
      <w:r w:rsidRPr="009B0D72">
        <w:rPr>
          <w:rFonts w:ascii="Arial" w:eastAsia="Times New Roman" w:hAnsi="Arial" w:cs="Arial"/>
          <w:lang w:val="es-ES"/>
        </w:rPr>
        <w:t>El anterior fenómeno puede ser explicado por la teoría del mosaico, la cual constituye una herramienta que da cuenta de cómo es que funciona el flujo de información y, con ello, la construcción de inteligencia. Se trata de un proceso que describe cómo se recopila, combina y procesa información, de tal manera que convierte información inofensiva en conocimiento útil. La metodología que se utiliza esencialmente consiste en recopilar piezas de información dispersas y después unirlas con la finalidad de tener una visión de conjunto o “mosaico”. Es decir, a partir de un dato que pudiese parecer inofensivo, como puede ser el nombre y adscripción de una persona, potencializa que un agente criminal lo utilice para deducir a partir de un dato independiente, una vulnerabilidad estratégica susceptible de explotación para fines mal intencionados, en este caso para evadir la procuración de la justicia o, peor aún, llevar a cabo actos de contrainteligencia para combatir frontalmente a los agentes encargados de la investigación y persecución de los delitos del Estado.</w:t>
      </w:r>
    </w:p>
    <w:p w:rsidR="009B0D72" w:rsidRPr="009B0D72" w:rsidRDefault="009B0D72" w:rsidP="009B0D72">
      <w:pPr>
        <w:jc w:val="both"/>
        <w:rPr>
          <w:rFonts w:ascii="Arial" w:eastAsia="Times New Roman" w:hAnsi="Arial" w:cs="Arial"/>
          <w:lang w:val="es-ES"/>
        </w:rPr>
      </w:pPr>
    </w:p>
    <w:p w:rsidR="009B0D72" w:rsidRPr="009B0D72" w:rsidRDefault="009B0D72" w:rsidP="009B0D72">
      <w:pPr>
        <w:jc w:val="both"/>
        <w:rPr>
          <w:rFonts w:ascii="Arial" w:eastAsia="Times New Roman" w:hAnsi="Arial" w:cs="Arial"/>
          <w:lang w:val="es-ES"/>
        </w:rPr>
      </w:pPr>
      <w:r w:rsidRPr="009B0D72">
        <w:rPr>
          <w:rFonts w:ascii="Arial" w:eastAsia="Times New Roman" w:hAnsi="Arial" w:cs="Arial"/>
          <w:lang w:val="es-ES"/>
        </w:rPr>
        <w:t xml:space="preserve">Se concluye que, si bien es un derecho de las personas imputadas, conocer el nombre y datos del servidor público salvo tratándose de delincuencia organizada, lo cierto es que conocer esa </w:t>
      </w:r>
      <w:r w:rsidRPr="009B0D72">
        <w:rPr>
          <w:rFonts w:ascii="Arial" w:eastAsia="Times New Roman" w:hAnsi="Arial" w:cs="Arial"/>
          <w:lang w:val="es-ES"/>
        </w:rPr>
        <w:lastRenderedPageBreak/>
        <w:t xml:space="preserve">información no deriva del ámbito de protección del derecho de acceso a la información, si no del derecho a gozar de un debido proceso y una adecuada defensa, en la que la Fiscalía funciona como una corporación formada por eslabones, es decir, su alguno de los eslabones se ve afectado, el desempeño de sus funciones afecta las demás partes y funciones de la Institución. </w:t>
      </w:r>
    </w:p>
    <w:p w:rsidR="009B0D72" w:rsidRPr="009B0D72" w:rsidRDefault="009B0D72" w:rsidP="009B0D72">
      <w:pPr>
        <w:jc w:val="both"/>
        <w:rPr>
          <w:rFonts w:ascii="Arial" w:eastAsia="Times New Roman" w:hAnsi="Arial" w:cs="Arial"/>
          <w:lang w:val="es-ES"/>
        </w:rPr>
      </w:pPr>
    </w:p>
    <w:p w:rsidR="009B0D72" w:rsidRPr="009B0D72" w:rsidRDefault="009B0D72" w:rsidP="009B0D72">
      <w:pPr>
        <w:jc w:val="both"/>
        <w:rPr>
          <w:rFonts w:ascii="Arial" w:eastAsia="Times New Roman" w:hAnsi="Arial" w:cs="Arial"/>
          <w:lang w:val="es-ES"/>
        </w:rPr>
      </w:pPr>
      <w:r w:rsidRPr="009B0D72">
        <w:rPr>
          <w:rFonts w:ascii="Arial" w:eastAsia="Times New Roman" w:hAnsi="Arial" w:cs="Arial"/>
          <w:lang w:val="es-ES"/>
        </w:rPr>
        <w:t xml:space="preserve">Bajo esta tesitura, la divulgación de la información </w:t>
      </w:r>
      <w:r w:rsidR="004F7658">
        <w:rPr>
          <w:rFonts w:ascii="Arial" w:eastAsia="Times New Roman" w:hAnsi="Arial" w:cs="Arial"/>
          <w:lang w:val="es-ES"/>
        </w:rPr>
        <w:t>reservada</w:t>
      </w:r>
      <w:r w:rsidRPr="009B0D72">
        <w:rPr>
          <w:rFonts w:ascii="Arial" w:eastAsia="Times New Roman" w:hAnsi="Arial" w:cs="Arial"/>
          <w:lang w:val="es-ES"/>
        </w:rPr>
        <w:t xml:space="preserve">, actualiza el riesgo de perjuicio a la vida, la seguridad o </w:t>
      </w:r>
      <w:r w:rsidR="00A9088A" w:rsidRPr="009B0D72">
        <w:rPr>
          <w:rFonts w:ascii="Arial" w:eastAsia="Times New Roman" w:hAnsi="Arial" w:cs="Arial"/>
          <w:lang w:val="es-ES"/>
        </w:rPr>
        <w:t>salud,</w:t>
      </w:r>
      <w:r w:rsidRPr="009B0D72">
        <w:rPr>
          <w:rFonts w:ascii="Arial" w:eastAsia="Times New Roman" w:hAnsi="Arial" w:cs="Arial"/>
          <w:lang w:val="es-ES"/>
        </w:rPr>
        <w:t xml:space="preserve"> así como para sus familiares y personas cercanas, por lo que el ejercicio de ponderación de derechos de la colectividad que debe prevalecer, es aquel relacionado con la procuración de justicia bajo los principios constitucionales, en relación con esclarecer los hechos, procurar que el culpable no quede impune y que los daños causados por el delito se reparen.</w:t>
      </w:r>
    </w:p>
    <w:p w:rsidR="009B0D72" w:rsidRPr="009B0D72" w:rsidRDefault="009B0D72" w:rsidP="009B0D72">
      <w:pPr>
        <w:jc w:val="both"/>
        <w:rPr>
          <w:rFonts w:ascii="Arial" w:eastAsia="Times New Roman" w:hAnsi="Arial" w:cs="Arial"/>
          <w:lang w:val="es-ES"/>
        </w:rPr>
      </w:pPr>
    </w:p>
    <w:p w:rsidR="009B0D72" w:rsidRPr="009B0D72" w:rsidRDefault="009B0D72" w:rsidP="009B0D72">
      <w:pPr>
        <w:jc w:val="both"/>
        <w:rPr>
          <w:rFonts w:ascii="Arial" w:eastAsia="Times New Roman" w:hAnsi="Arial" w:cs="Arial"/>
          <w:lang w:val="es-ES"/>
        </w:rPr>
      </w:pPr>
      <w:r w:rsidRPr="009B0D72">
        <w:rPr>
          <w:rFonts w:ascii="Arial" w:eastAsia="Times New Roman" w:hAnsi="Arial" w:cs="Arial"/>
          <w:lang w:val="es-ES"/>
        </w:rPr>
        <w:t>Principio de proporcionalidad.</w:t>
      </w:r>
    </w:p>
    <w:p w:rsidR="009B0D72" w:rsidRPr="009B0D72" w:rsidRDefault="009B0D72" w:rsidP="009B0D72">
      <w:pPr>
        <w:jc w:val="both"/>
        <w:rPr>
          <w:rFonts w:ascii="Arial" w:eastAsia="Times New Roman" w:hAnsi="Arial" w:cs="Arial"/>
          <w:lang w:val="es-ES"/>
        </w:rPr>
      </w:pPr>
      <w:r w:rsidRPr="009B0D72">
        <w:rPr>
          <w:rFonts w:ascii="Arial" w:eastAsia="Times New Roman" w:hAnsi="Arial" w:cs="Arial"/>
          <w:lang w:val="es-ES"/>
        </w:rPr>
        <w:t>La Suprema Corte de Justicia, concluyo de manera esencial que “el derecho a ser informado no es absoluto, pues, a pesar de que el Estado tiene la obligación de informar a la población sobre temas de interés y relevancia pública, también se debe proteger y garantizar el derecho a la vida, la seguridad, y salud de personas, así como la salvaguarda de la seguridad pública”.</w:t>
      </w:r>
    </w:p>
    <w:p w:rsidR="009B0D72" w:rsidRPr="009B0D72" w:rsidRDefault="009B0D72" w:rsidP="009B0D72">
      <w:pPr>
        <w:jc w:val="both"/>
        <w:rPr>
          <w:rFonts w:ascii="Arial" w:eastAsia="Times New Roman" w:hAnsi="Arial" w:cs="Arial"/>
          <w:lang w:val="es-ES"/>
        </w:rPr>
      </w:pPr>
    </w:p>
    <w:p w:rsidR="009B0D72" w:rsidRPr="009B0D72" w:rsidRDefault="009B0D72" w:rsidP="009B0D72">
      <w:pPr>
        <w:jc w:val="both"/>
        <w:rPr>
          <w:rFonts w:ascii="Arial" w:eastAsia="Times New Roman" w:hAnsi="Arial" w:cs="Arial"/>
          <w:lang w:val="es-ES"/>
        </w:rPr>
      </w:pPr>
      <w:r w:rsidRPr="009B0D72">
        <w:rPr>
          <w:rFonts w:ascii="Arial" w:eastAsia="Times New Roman" w:hAnsi="Arial" w:cs="Arial"/>
          <w:lang w:val="es-ES"/>
        </w:rPr>
        <w:t>Por lo que, la calidad de persona servidora pública, no suprime los derechos humanos a la vida, seguridad y privacidad, por el contrario, existe un interés general o superior en esos derechos frente al derecho de acceso a la información de un particular, en una ponderación frente a los derechos humanos de los servidores públicos de sus familiares y círculos cercanos, información que debe ser considerada como clasificada.</w:t>
      </w:r>
    </w:p>
    <w:p w:rsidR="009B0D72" w:rsidRPr="009B0D72" w:rsidRDefault="009B0D72" w:rsidP="009B0D72">
      <w:pPr>
        <w:jc w:val="both"/>
        <w:rPr>
          <w:rFonts w:ascii="Arial" w:eastAsia="Times New Roman" w:hAnsi="Arial" w:cs="Arial"/>
          <w:lang w:val="es-ES"/>
        </w:rPr>
      </w:pPr>
    </w:p>
    <w:p w:rsidR="009B0D72" w:rsidRPr="009B0D72" w:rsidRDefault="009B0D72" w:rsidP="009B0D72">
      <w:pPr>
        <w:jc w:val="both"/>
        <w:rPr>
          <w:rFonts w:ascii="Arial" w:eastAsia="Times New Roman" w:hAnsi="Arial" w:cs="Arial"/>
          <w:lang w:val="es-ES"/>
        </w:rPr>
      </w:pPr>
      <w:r w:rsidRPr="009B0D72">
        <w:rPr>
          <w:rFonts w:ascii="Arial" w:eastAsia="Times New Roman" w:hAnsi="Arial" w:cs="Arial"/>
          <w:lang w:val="es-ES"/>
        </w:rPr>
        <w:t xml:space="preserve">Tomando en consideración la ponderación de riesgo de los distintos mercados criminales que combate la Fiscalía, las funciones que desempeña el personal y la tasa de delitos del orden común,, además de lo señalado por el Pleno de la suprema Corte el revelar la identidad y cargo de quienes tienen o tuvieron la responsabilidad de investigar y perseguir delitos expondría la capacidad de fuerza y reacción que tiene la fiscalía y, por consecuencia, vulneraría las competencias constitucionales que en materia de seguridad pública le están conferidas. </w:t>
      </w:r>
    </w:p>
    <w:p w:rsidR="009B0D72" w:rsidRPr="009B0D72" w:rsidRDefault="009B0D72" w:rsidP="009B0D72">
      <w:pPr>
        <w:jc w:val="both"/>
        <w:rPr>
          <w:rFonts w:ascii="Arial" w:eastAsia="Times New Roman" w:hAnsi="Arial" w:cs="Arial"/>
          <w:lang w:val="es-ES"/>
        </w:rPr>
      </w:pPr>
    </w:p>
    <w:p w:rsidR="00481D63" w:rsidRDefault="009B0D72" w:rsidP="009B0D72">
      <w:pPr>
        <w:jc w:val="both"/>
        <w:rPr>
          <w:rFonts w:ascii="Arial" w:eastAsia="Times New Roman" w:hAnsi="Arial" w:cs="Arial"/>
          <w:lang w:val="es-ES"/>
        </w:rPr>
      </w:pPr>
      <w:r w:rsidRPr="009B0D72">
        <w:rPr>
          <w:rFonts w:ascii="Arial" w:eastAsia="Times New Roman" w:hAnsi="Arial" w:cs="Arial"/>
          <w:lang w:val="es-ES"/>
        </w:rPr>
        <w:t>Consecuentemente, se concluye que clasificar como reservada la información</w:t>
      </w:r>
      <w:r w:rsidR="004F7658">
        <w:rPr>
          <w:rFonts w:ascii="Arial" w:eastAsia="Times New Roman" w:hAnsi="Arial" w:cs="Arial"/>
          <w:lang w:val="es-ES"/>
        </w:rPr>
        <w:t xml:space="preserve"> relativa </w:t>
      </w:r>
      <w:r w:rsidR="004F7658" w:rsidRPr="009B0D72">
        <w:rPr>
          <w:rFonts w:ascii="Arial" w:eastAsia="Times New Roman" w:hAnsi="Arial" w:cs="Arial"/>
          <w:lang w:val="es-ES"/>
        </w:rPr>
        <w:t xml:space="preserve">al </w:t>
      </w:r>
      <w:r w:rsidR="004F7658" w:rsidRPr="004F7658">
        <w:rPr>
          <w:rFonts w:ascii="Arial" w:eastAsia="Times New Roman" w:hAnsi="Arial" w:cs="Arial"/>
          <w:i/>
          <w:lang w:val="es-ES"/>
        </w:rPr>
        <w:t xml:space="preserve">domicilio del declarante, datos curriculares del declarante, datos del empleo, cargo o comisión que concluye, domicilio del empleo, cargo o comisión, tienes experiencia laboral?, tienes pareja? tienes dependiente económico?, ingresos netos del declarante, pareja y/o dependientes económicos (situación actual), te desempeñaste como servidor público en el año inmediato anterior, tienes inmuebles?, bienes inmuebles, ubicación del inmueble, tienes vehículos?, tienes muebles?, tienes inversiones, cuentas bancarias y otro tipo de valores?, tienes adeudos pasivos?, tienes préstamos o comodatos por terceros?, participas en empresas, sociedades o asociaciones? participas en la toma de decisiones de algunas de estas instituciones?, tienes apoyos o beneficios públicos? tienes representación?, tienes </w:t>
      </w:r>
      <w:r w:rsidR="004F7658" w:rsidRPr="004F7658">
        <w:rPr>
          <w:rFonts w:ascii="Arial" w:eastAsia="Times New Roman" w:hAnsi="Arial" w:cs="Arial"/>
          <w:i/>
          <w:lang w:val="es-ES"/>
        </w:rPr>
        <w:lastRenderedPageBreak/>
        <w:t>clientes principales?, tienes beneficios privados?, tienes fideicomisos?, datos fiscales</w:t>
      </w:r>
      <w:r w:rsidR="004F7658" w:rsidRPr="009B0D72">
        <w:rPr>
          <w:rFonts w:ascii="Arial" w:eastAsia="Times New Roman" w:hAnsi="Arial" w:cs="Arial"/>
          <w:lang w:val="es-ES"/>
        </w:rPr>
        <w:t>,  adscrito a áreas sustantivas, incluyendo al personal administrativo</w:t>
      </w:r>
      <w:r w:rsidRPr="009B0D72">
        <w:rPr>
          <w:rFonts w:ascii="Arial" w:eastAsia="Times New Roman" w:hAnsi="Arial" w:cs="Arial"/>
          <w:lang w:val="es-ES"/>
        </w:rPr>
        <w:t xml:space="preserve"> de personas servidoras y/o ex servidoras públicas de Fiscalía General del Estado, resulta el medio menos restrictivo frente al derecho de acceso a la información en cualquiera de sus diferentes manifestaciones.</w:t>
      </w:r>
    </w:p>
    <w:p w:rsidR="004F7658" w:rsidRDefault="004F7658" w:rsidP="009B0D72">
      <w:pPr>
        <w:jc w:val="both"/>
        <w:rPr>
          <w:rFonts w:ascii="Arial" w:eastAsia="Times New Roman" w:hAnsi="Arial" w:cs="Arial"/>
          <w:lang w:val="es-ES"/>
        </w:rPr>
      </w:pPr>
    </w:p>
    <w:p w:rsidR="00BF3665" w:rsidRDefault="009819AE" w:rsidP="00662DF6">
      <w:pPr>
        <w:pStyle w:val="Prrafodelista"/>
        <w:numPr>
          <w:ilvl w:val="0"/>
          <w:numId w:val="2"/>
        </w:numPr>
        <w:jc w:val="both"/>
        <w:rPr>
          <w:rFonts w:ascii="Arial" w:hAnsi="Arial" w:cs="Arial"/>
          <w:b/>
        </w:rPr>
      </w:pPr>
      <w:r>
        <w:rPr>
          <w:rFonts w:ascii="Arial" w:hAnsi="Arial" w:cs="Arial"/>
          <w:b/>
        </w:rPr>
        <w:t>Descripción de las partes o secciones reservadas, en caso de clasificación parcial;</w:t>
      </w:r>
    </w:p>
    <w:p w:rsidR="00694F13" w:rsidRDefault="00694F13" w:rsidP="00662DF6">
      <w:pPr>
        <w:pStyle w:val="Prrafodelista"/>
        <w:ind w:left="1080"/>
        <w:jc w:val="both"/>
        <w:rPr>
          <w:rFonts w:ascii="Arial" w:hAnsi="Arial" w:cs="Arial"/>
          <w:b/>
        </w:rPr>
      </w:pPr>
    </w:p>
    <w:p w:rsidR="007F24DE" w:rsidRDefault="00374F51" w:rsidP="00662DF6">
      <w:pPr>
        <w:autoSpaceDE w:val="0"/>
        <w:autoSpaceDN w:val="0"/>
        <w:adjustRightInd w:val="0"/>
        <w:ind w:right="141"/>
        <w:jc w:val="both"/>
        <w:rPr>
          <w:rFonts w:ascii="Arial" w:hAnsi="Arial" w:cs="Arial"/>
        </w:rPr>
      </w:pPr>
      <w:bookmarkStart w:id="1" w:name="_Hlk158291519"/>
      <w:r>
        <w:rPr>
          <w:rFonts w:ascii="Arial" w:hAnsi="Arial" w:cs="Arial"/>
        </w:rPr>
        <w:t>Se da cuenta</w:t>
      </w:r>
      <w:r w:rsidR="00CE31CC">
        <w:rPr>
          <w:rFonts w:ascii="Arial" w:hAnsi="Arial" w:cs="Arial"/>
        </w:rPr>
        <w:t>,</w:t>
      </w:r>
      <w:r>
        <w:rPr>
          <w:rFonts w:ascii="Arial" w:hAnsi="Arial" w:cs="Arial"/>
        </w:rPr>
        <w:t xml:space="preserve"> que se trata de una reserva total.</w:t>
      </w:r>
    </w:p>
    <w:p w:rsidR="00803FA7" w:rsidRPr="00374F51" w:rsidRDefault="00803FA7" w:rsidP="00662DF6">
      <w:pPr>
        <w:autoSpaceDE w:val="0"/>
        <w:autoSpaceDN w:val="0"/>
        <w:adjustRightInd w:val="0"/>
        <w:ind w:right="141"/>
        <w:jc w:val="both"/>
        <w:rPr>
          <w:rFonts w:ascii="Arial" w:hAnsi="Arial" w:cs="Arial"/>
        </w:rPr>
      </w:pPr>
    </w:p>
    <w:bookmarkEnd w:id="1"/>
    <w:p w:rsidR="00BF3665" w:rsidRPr="00F64080" w:rsidRDefault="009819AE" w:rsidP="00662DF6">
      <w:pPr>
        <w:pStyle w:val="Prrafodelista"/>
        <w:numPr>
          <w:ilvl w:val="0"/>
          <w:numId w:val="2"/>
        </w:numPr>
        <w:jc w:val="both"/>
        <w:rPr>
          <w:rFonts w:ascii="Arial" w:hAnsi="Arial" w:cs="Arial"/>
        </w:rPr>
      </w:pPr>
      <w:r w:rsidRPr="00F64080">
        <w:rPr>
          <w:rFonts w:ascii="Arial" w:hAnsi="Arial" w:cs="Arial"/>
          <w:b/>
        </w:rPr>
        <w:t>El período por el que mantendrá su clasificación y fecha de expedición;</w:t>
      </w:r>
    </w:p>
    <w:p w:rsidR="00B11FCD" w:rsidRDefault="00B11FCD" w:rsidP="00662DF6">
      <w:pPr>
        <w:jc w:val="both"/>
        <w:rPr>
          <w:rFonts w:ascii="Arial" w:hAnsi="Arial" w:cs="Arial"/>
        </w:rPr>
      </w:pPr>
    </w:p>
    <w:p w:rsidR="00BF3665" w:rsidRDefault="009819AE" w:rsidP="00662DF6">
      <w:pPr>
        <w:jc w:val="both"/>
        <w:rPr>
          <w:rFonts w:ascii="Arial" w:hAnsi="Arial" w:cs="Arial"/>
        </w:rPr>
      </w:pPr>
      <w:r>
        <w:rPr>
          <w:rFonts w:ascii="Arial" w:hAnsi="Arial" w:cs="Arial"/>
        </w:rPr>
        <w:t>Período. 5 años.</w:t>
      </w:r>
    </w:p>
    <w:p w:rsidR="00CE31CC" w:rsidRDefault="00CE31CC" w:rsidP="00662DF6">
      <w:pPr>
        <w:jc w:val="both"/>
        <w:rPr>
          <w:rFonts w:ascii="Arial" w:eastAsia="Times New Roman" w:hAnsi="Arial" w:cs="Arial"/>
        </w:rPr>
      </w:pPr>
    </w:p>
    <w:p w:rsidR="00BF3665" w:rsidRDefault="00F6015F" w:rsidP="00662DF6">
      <w:pPr>
        <w:jc w:val="both"/>
        <w:rPr>
          <w:rFonts w:ascii="Arial" w:eastAsia="Times New Roman" w:hAnsi="Arial" w:cs="Arial"/>
        </w:rPr>
      </w:pPr>
      <w:r>
        <w:rPr>
          <w:rFonts w:ascii="Arial" w:eastAsia="Times New Roman" w:hAnsi="Arial" w:cs="Arial"/>
        </w:rPr>
        <w:t xml:space="preserve">Fecha de expiración: </w:t>
      </w:r>
      <w:r w:rsidR="007F24DE" w:rsidRPr="00B11FCD">
        <w:rPr>
          <w:rFonts w:ascii="Arial" w:eastAsia="Times New Roman" w:hAnsi="Arial" w:cs="Arial"/>
          <w:b/>
        </w:rPr>
        <w:t>0</w:t>
      </w:r>
      <w:r w:rsidR="00A9088A">
        <w:rPr>
          <w:rFonts w:ascii="Arial" w:eastAsia="Times New Roman" w:hAnsi="Arial" w:cs="Arial"/>
          <w:b/>
        </w:rPr>
        <w:t>6</w:t>
      </w:r>
      <w:r w:rsidR="009F136E" w:rsidRPr="00B11FCD">
        <w:rPr>
          <w:rFonts w:ascii="Arial" w:eastAsia="Times New Roman" w:hAnsi="Arial" w:cs="Arial"/>
          <w:b/>
        </w:rPr>
        <w:t xml:space="preserve"> de </w:t>
      </w:r>
      <w:r w:rsidR="007D231E">
        <w:rPr>
          <w:rFonts w:ascii="Arial" w:eastAsia="Times New Roman" w:hAnsi="Arial" w:cs="Arial"/>
          <w:b/>
        </w:rPr>
        <w:t>noviembre</w:t>
      </w:r>
      <w:r w:rsidR="00CE31CC">
        <w:rPr>
          <w:rFonts w:ascii="Arial" w:eastAsia="Times New Roman" w:hAnsi="Arial" w:cs="Arial"/>
          <w:b/>
        </w:rPr>
        <w:t xml:space="preserve"> </w:t>
      </w:r>
      <w:r w:rsidR="009819AE" w:rsidRPr="00B11FCD">
        <w:rPr>
          <w:rFonts w:ascii="Arial" w:eastAsia="Times New Roman" w:hAnsi="Arial" w:cs="Arial"/>
          <w:b/>
        </w:rPr>
        <w:t>20</w:t>
      </w:r>
      <w:r w:rsidR="00662DF6">
        <w:rPr>
          <w:rFonts w:ascii="Arial" w:eastAsia="Times New Roman" w:hAnsi="Arial" w:cs="Arial"/>
          <w:b/>
        </w:rPr>
        <w:t>30</w:t>
      </w:r>
      <w:r w:rsidR="009819AE">
        <w:rPr>
          <w:rFonts w:ascii="Arial" w:eastAsia="Times New Roman" w:hAnsi="Arial" w:cs="Arial"/>
        </w:rPr>
        <w:t xml:space="preserve">. Que cumple con lo establecido por el lineamiento </w:t>
      </w:r>
      <w:r w:rsidR="00481D63">
        <w:rPr>
          <w:rFonts w:ascii="Arial" w:eastAsia="Times New Roman" w:hAnsi="Arial" w:cs="Arial"/>
        </w:rPr>
        <w:t>t</w:t>
      </w:r>
      <w:r w:rsidR="009819AE">
        <w:rPr>
          <w:rFonts w:ascii="Arial" w:eastAsia="Times New Roman" w:hAnsi="Arial" w:cs="Arial"/>
        </w:rPr>
        <w:t>rigésimo cuarto de los LGCDIEVP. Señalando las razones por las cuales se estableció el plazo de reserva determinado, mismas que están relacionadas y sustentadas con la prueba de daño.</w:t>
      </w:r>
    </w:p>
    <w:p w:rsidR="00481D63" w:rsidRDefault="00481D63" w:rsidP="00662DF6">
      <w:pPr>
        <w:jc w:val="both"/>
        <w:rPr>
          <w:rFonts w:ascii="Arial" w:eastAsia="Times New Roman" w:hAnsi="Arial" w:cs="Arial"/>
        </w:rPr>
      </w:pPr>
    </w:p>
    <w:p w:rsidR="00BF3665" w:rsidRPr="00FF1B19" w:rsidRDefault="009819AE" w:rsidP="00662DF6">
      <w:pPr>
        <w:pStyle w:val="Prrafodelista"/>
        <w:numPr>
          <w:ilvl w:val="0"/>
          <w:numId w:val="2"/>
        </w:numPr>
        <w:jc w:val="both"/>
        <w:rPr>
          <w:rFonts w:ascii="Arial" w:hAnsi="Arial" w:cs="Arial"/>
          <w:b/>
        </w:rPr>
      </w:pPr>
      <w:r w:rsidRPr="00FF1B19">
        <w:rPr>
          <w:rFonts w:ascii="Arial" w:hAnsi="Arial" w:cs="Arial"/>
          <w:b/>
        </w:rPr>
        <w:t xml:space="preserve"> Efectos de la resolución.</w:t>
      </w:r>
    </w:p>
    <w:p w:rsidR="00694F13" w:rsidRDefault="00694F13" w:rsidP="00662DF6">
      <w:pPr>
        <w:pStyle w:val="Prrafodelista"/>
        <w:jc w:val="both"/>
        <w:rPr>
          <w:rFonts w:ascii="Arial" w:hAnsi="Arial" w:cs="Arial"/>
          <w:b/>
        </w:rPr>
      </w:pPr>
    </w:p>
    <w:p w:rsidR="00FF1B19" w:rsidRPr="008565C9" w:rsidRDefault="00FF1B19" w:rsidP="00662DF6">
      <w:pPr>
        <w:jc w:val="both"/>
        <w:rPr>
          <w:rFonts w:ascii="Arial" w:hAnsi="Arial" w:cs="Arial"/>
        </w:rPr>
      </w:pPr>
      <w:r w:rsidRPr="00476EF2">
        <w:rPr>
          <w:rFonts w:ascii="Arial" w:hAnsi="Arial" w:cs="Arial"/>
        </w:rPr>
        <w:t xml:space="preserve">El Comité de Transparencia en Pleno determinó </w:t>
      </w:r>
      <w:r w:rsidRPr="008565C9">
        <w:rPr>
          <w:rFonts w:ascii="Arial" w:hAnsi="Arial" w:cs="Arial"/>
        </w:rPr>
        <w:t xml:space="preserve">procedente confirmar el </w:t>
      </w:r>
      <w:r w:rsidR="008565C9" w:rsidRPr="008565C9">
        <w:rPr>
          <w:rFonts w:ascii="Arial" w:hAnsi="Arial" w:cs="Arial"/>
        </w:rPr>
        <w:t xml:space="preserve">acuerdo de reserva </w:t>
      </w:r>
      <w:r w:rsidR="00374F51">
        <w:rPr>
          <w:rFonts w:ascii="Arial" w:hAnsi="Arial" w:cs="Arial"/>
          <w:b/>
        </w:rPr>
        <w:t>total</w:t>
      </w:r>
      <w:r w:rsidR="007F24DE">
        <w:rPr>
          <w:rFonts w:ascii="Arial" w:hAnsi="Arial" w:cs="Arial"/>
          <w:b/>
        </w:rPr>
        <w:t xml:space="preserve"> </w:t>
      </w:r>
      <w:r w:rsidRPr="00476EF2">
        <w:rPr>
          <w:rFonts w:ascii="Arial" w:hAnsi="Arial" w:cs="Arial"/>
        </w:rPr>
        <w:t xml:space="preserve">número </w:t>
      </w:r>
      <w:r w:rsidR="008565C9" w:rsidRPr="00AA4B7C">
        <w:rPr>
          <w:rFonts w:ascii="Arial" w:hAnsi="Arial" w:cs="Arial"/>
          <w:b/>
        </w:rPr>
        <w:t>AR/</w:t>
      </w:r>
      <w:r w:rsidR="00803FA7">
        <w:rPr>
          <w:rFonts w:ascii="Arial" w:hAnsi="Arial" w:cs="Arial"/>
          <w:b/>
        </w:rPr>
        <w:t>2</w:t>
      </w:r>
      <w:r w:rsidR="007D231E">
        <w:rPr>
          <w:rFonts w:ascii="Arial" w:hAnsi="Arial" w:cs="Arial"/>
          <w:b/>
        </w:rPr>
        <w:t>9</w:t>
      </w:r>
      <w:r w:rsidR="008565C9" w:rsidRPr="00AA4B7C">
        <w:rPr>
          <w:rFonts w:ascii="Arial" w:hAnsi="Arial" w:cs="Arial"/>
          <w:b/>
        </w:rPr>
        <w:t>/202</w:t>
      </w:r>
      <w:r w:rsidR="00662DF6" w:rsidRPr="00AA4B7C">
        <w:rPr>
          <w:rFonts w:ascii="Arial" w:hAnsi="Arial" w:cs="Arial"/>
          <w:b/>
        </w:rPr>
        <w:t>5</w:t>
      </w:r>
      <w:r w:rsidRPr="00476EF2">
        <w:rPr>
          <w:rFonts w:ascii="Arial" w:hAnsi="Arial" w:cs="Arial"/>
          <w:b/>
        </w:rPr>
        <w:t xml:space="preserve"> </w:t>
      </w:r>
      <w:r w:rsidRPr="00476EF2">
        <w:rPr>
          <w:rFonts w:ascii="Arial" w:hAnsi="Arial" w:cs="Arial"/>
        </w:rPr>
        <w:t>emitido por</w:t>
      </w:r>
      <w:r w:rsidR="007F24DE">
        <w:rPr>
          <w:rFonts w:ascii="Arial" w:hAnsi="Arial" w:cs="Arial"/>
        </w:rPr>
        <w:t xml:space="preserve"> el </w:t>
      </w:r>
      <w:r w:rsidR="00C24991">
        <w:rPr>
          <w:rFonts w:ascii="Arial" w:hAnsi="Arial" w:cs="Arial"/>
        </w:rPr>
        <w:t>d</w:t>
      </w:r>
      <w:r w:rsidR="00EE7429">
        <w:rPr>
          <w:rFonts w:ascii="Arial" w:hAnsi="Arial" w:cs="Arial"/>
        </w:rPr>
        <w:t>octor Jesús Rafael Rodríguez López</w:t>
      </w:r>
      <w:r w:rsidR="003E4299">
        <w:rPr>
          <w:rFonts w:ascii="Arial" w:hAnsi="Arial" w:cs="Arial"/>
        </w:rPr>
        <w:t xml:space="preserve">, titular del </w:t>
      </w:r>
      <w:r w:rsidR="0031213A">
        <w:rPr>
          <w:rFonts w:ascii="Arial" w:hAnsi="Arial" w:cs="Arial"/>
        </w:rPr>
        <w:t>Órgano Interno de Control</w:t>
      </w:r>
      <w:r w:rsidR="002E085B">
        <w:rPr>
          <w:rFonts w:ascii="Arial" w:hAnsi="Arial" w:cs="Arial"/>
        </w:rPr>
        <w:t>.</w:t>
      </w:r>
      <w:r w:rsidR="001E24B3">
        <w:rPr>
          <w:rFonts w:ascii="Arial" w:hAnsi="Arial" w:cs="Arial"/>
        </w:rPr>
        <w:t xml:space="preserve"> </w:t>
      </w:r>
    </w:p>
    <w:p w:rsidR="00B11FCD" w:rsidRDefault="00B11FCD" w:rsidP="00662DF6">
      <w:pPr>
        <w:jc w:val="both"/>
        <w:rPr>
          <w:rFonts w:ascii="Arial" w:hAnsi="Arial" w:cs="Arial"/>
        </w:rPr>
      </w:pPr>
    </w:p>
    <w:p w:rsidR="00FF1B19" w:rsidRDefault="00FF1B19" w:rsidP="00662DF6">
      <w:pPr>
        <w:jc w:val="both"/>
        <w:rPr>
          <w:rFonts w:ascii="Arial" w:hAnsi="Arial" w:cs="Arial"/>
        </w:rPr>
      </w:pPr>
      <w:r w:rsidRPr="00476EF2">
        <w:rPr>
          <w:rFonts w:ascii="Arial" w:hAnsi="Arial" w:cs="Arial"/>
        </w:rPr>
        <w:t xml:space="preserve">Se instruye al </w:t>
      </w:r>
      <w:r w:rsidR="00C24991">
        <w:rPr>
          <w:rFonts w:ascii="Arial" w:hAnsi="Arial" w:cs="Arial"/>
        </w:rPr>
        <w:t>d</w:t>
      </w:r>
      <w:r w:rsidR="00EE7429">
        <w:rPr>
          <w:rFonts w:ascii="Arial" w:hAnsi="Arial" w:cs="Arial"/>
        </w:rPr>
        <w:t>octor Jesús Rafael Rodríguez López</w:t>
      </w:r>
      <w:r w:rsidR="003E4299">
        <w:rPr>
          <w:rFonts w:ascii="Arial" w:hAnsi="Arial" w:cs="Arial"/>
        </w:rPr>
        <w:t xml:space="preserve">, titular del </w:t>
      </w:r>
      <w:r w:rsidR="00164F0D">
        <w:rPr>
          <w:rFonts w:ascii="Arial" w:hAnsi="Arial" w:cs="Arial"/>
        </w:rPr>
        <w:t>Ó</w:t>
      </w:r>
      <w:r w:rsidR="003E4299">
        <w:rPr>
          <w:rFonts w:ascii="Arial" w:hAnsi="Arial" w:cs="Arial"/>
        </w:rPr>
        <w:t xml:space="preserve">rgano </w:t>
      </w:r>
      <w:r w:rsidR="00164F0D">
        <w:rPr>
          <w:rFonts w:ascii="Arial" w:hAnsi="Arial" w:cs="Arial"/>
        </w:rPr>
        <w:t>I</w:t>
      </w:r>
      <w:r w:rsidR="003E4299">
        <w:rPr>
          <w:rFonts w:ascii="Arial" w:hAnsi="Arial" w:cs="Arial"/>
        </w:rPr>
        <w:t xml:space="preserve">nterno de </w:t>
      </w:r>
      <w:r w:rsidR="00164F0D">
        <w:rPr>
          <w:rFonts w:ascii="Arial" w:hAnsi="Arial" w:cs="Arial"/>
        </w:rPr>
        <w:t>C</w:t>
      </w:r>
      <w:r w:rsidR="003E4299">
        <w:rPr>
          <w:rFonts w:ascii="Arial" w:hAnsi="Arial" w:cs="Arial"/>
        </w:rPr>
        <w:t>ontrol</w:t>
      </w:r>
      <w:r w:rsidR="003E4299" w:rsidRPr="00476EF2">
        <w:rPr>
          <w:rFonts w:ascii="Arial" w:hAnsi="Arial" w:cs="Arial"/>
        </w:rPr>
        <w:t xml:space="preserve"> </w:t>
      </w:r>
      <w:r w:rsidRPr="00476EF2">
        <w:rPr>
          <w:rFonts w:ascii="Arial" w:hAnsi="Arial" w:cs="Arial"/>
        </w:rPr>
        <w:t xml:space="preserve">que notifique a los </w:t>
      </w:r>
      <w:r w:rsidR="00DA4A66">
        <w:rPr>
          <w:rFonts w:ascii="Arial" w:hAnsi="Arial" w:cs="Arial"/>
        </w:rPr>
        <w:t>t</w:t>
      </w:r>
      <w:r w:rsidRPr="00476EF2">
        <w:rPr>
          <w:rFonts w:ascii="Arial" w:hAnsi="Arial" w:cs="Arial"/>
        </w:rPr>
        <w:t xml:space="preserve">itulares de las diversas áreas de la </w:t>
      </w:r>
      <w:r w:rsidR="00481D63">
        <w:rPr>
          <w:rFonts w:ascii="Arial" w:hAnsi="Arial" w:cs="Arial"/>
        </w:rPr>
        <w:t>i</w:t>
      </w:r>
      <w:r w:rsidRPr="00476EF2">
        <w:rPr>
          <w:rFonts w:ascii="Arial" w:hAnsi="Arial" w:cs="Arial"/>
        </w:rPr>
        <w:t>nstitución que deberán de conocer esta resolución.</w:t>
      </w:r>
    </w:p>
    <w:p w:rsidR="00C24991" w:rsidRDefault="00C24991" w:rsidP="00662DF6">
      <w:pPr>
        <w:jc w:val="both"/>
        <w:rPr>
          <w:rFonts w:ascii="Arial" w:hAnsi="Arial" w:cs="Arial"/>
        </w:rPr>
      </w:pPr>
    </w:p>
    <w:p w:rsidR="00FF1B19" w:rsidRDefault="00FF1B19" w:rsidP="00662DF6">
      <w:pPr>
        <w:pStyle w:val="Sinespaciado"/>
        <w:jc w:val="both"/>
        <w:rPr>
          <w:rFonts w:ascii="Arial" w:eastAsiaTheme="minorEastAsia" w:hAnsi="Arial" w:cs="Arial"/>
          <w:sz w:val="24"/>
          <w:szCs w:val="24"/>
          <w:lang w:eastAsia="es-ES"/>
        </w:rPr>
      </w:pPr>
      <w:r w:rsidRPr="00476EF2">
        <w:rPr>
          <w:rFonts w:ascii="Arial" w:eastAsiaTheme="minorEastAsia" w:hAnsi="Arial" w:cs="Arial"/>
          <w:sz w:val="24"/>
          <w:szCs w:val="24"/>
          <w:lang w:eastAsia="es-ES"/>
        </w:rPr>
        <w:t>Respecto a</w:t>
      </w:r>
      <w:r w:rsidR="001E24B3">
        <w:rPr>
          <w:rFonts w:ascii="Arial" w:eastAsiaTheme="minorEastAsia" w:hAnsi="Arial" w:cs="Arial"/>
          <w:sz w:val="24"/>
          <w:szCs w:val="24"/>
          <w:lang w:eastAsia="es-ES"/>
        </w:rPr>
        <w:t xml:space="preserve"> la</w:t>
      </w:r>
      <w:r w:rsidR="00490831">
        <w:rPr>
          <w:rFonts w:ascii="Arial" w:eastAsiaTheme="minorEastAsia" w:hAnsi="Arial" w:cs="Arial"/>
          <w:sz w:val="24"/>
          <w:szCs w:val="24"/>
          <w:lang w:eastAsia="es-ES"/>
        </w:rPr>
        <w:t xml:space="preserve"> </w:t>
      </w:r>
      <w:r w:rsidR="003E4299">
        <w:rPr>
          <w:rFonts w:ascii="Arial" w:eastAsiaTheme="minorEastAsia" w:hAnsi="Arial" w:cs="Arial"/>
          <w:sz w:val="24"/>
          <w:szCs w:val="24"/>
          <w:lang w:eastAsia="es-ES"/>
        </w:rPr>
        <w:t xml:space="preserve">publicación de la información de las versiones </w:t>
      </w:r>
      <w:r w:rsidR="00490831">
        <w:rPr>
          <w:rFonts w:ascii="Arial" w:eastAsiaTheme="minorEastAsia" w:hAnsi="Arial" w:cs="Arial"/>
          <w:sz w:val="24"/>
          <w:szCs w:val="24"/>
          <w:lang w:eastAsia="es-ES"/>
        </w:rPr>
        <w:t>públicas</w:t>
      </w:r>
      <w:r w:rsidR="003E4299">
        <w:rPr>
          <w:rFonts w:ascii="Arial" w:eastAsiaTheme="minorEastAsia" w:hAnsi="Arial" w:cs="Arial"/>
          <w:sz w:val="24"/>
          <w:szCs w:val="24"/>
          <w:lang w:eastAsia="es-ES"/>
        </w:rPr>
        <w:t xml:space="preserve"> de las declaraciones, de situación patrimonia</w:t>
      </w:r>
      <w:r w:rsidR="00490831">
        <w:rPr>
          <w:rFonts w:ascii="Arial" w:eastAsiaTheme="minorEastAsia" w:hAnsi="Arial" w:cs="Arial"/>
          <w:sz w:val="24"/>
          <w:szCs w:val="24"/>
          <w:lang w:eastAsia="es-ES"/>
        </w:rPr>
        <w:t>l</w:t>
      </w:r>
      <w:r w:rsidR="003E4299">
        <w:rPr>
          <w:rFonts w:ascii="Arial" w:eastAsiaTheme="minorEastAsia" w:hAnsi="Arial" w:cs="Arial"/>
          <w:sz w:val="24"/>
          <w:szCs w:val="24"/>
          <w:lang w:eastAsia="es-ES"/>
        </w:rPr>
        <w:t>, fiscal y de intereses que presentar</w:t>
      </w:r>
      <w:r w:rsidR="00490831">
        <w:rPr>
          <w:rFonts w:ascii="Arial" w:eastAsiaTheme="minorEastAsia" w:hAnsi="Arial" w:cs="Arial"/>
          <w:sz w:val="24"/>
          <w:szCs w:val="24"/>
          <w:lang w:eastAsia="es-ES"/>
        </w:rPr>
        <w:t>o</w:t>
      </w:r>
      <w:r w:rsidR="003E4299">
        <w:rPr>
          <w:rFonts w:ascii="Arial" w:eastAsiaTheme="minorEastAsia" w:hAnsi="Arial" w:cs="Arial"/>
          <w:sz w:val="24"/>
          <w:szCs w:val="24"/>
          <w:lang w:eastAsia="es-ES"/>
        </w:rPr>
        <w:t xml:space="preserve">n los servidores públicos en el mes de </w:t>
      </w:r>
      <w:r w:rsidR="0026591A">
        <w:rPr>
          <w:rFonts w:ascii="Arial" w:eastAsiaTheme="minorEastAsia" w:hAnsi="Arial" w:cs="Arial"/>
          <w:b/>
          <w:sz w:val="24"/>
          <w:szCs w:val="24"/>
          <w:lang w:eastAsia="es-ES"/>
        </w:rPr>
        <w:t>octubre</w:t>
      </w:r>
      <w:r w:rsidR="00A9088A">
        <w:rPr>
          <w:rFonts w:ascii="Arial" w:eastAsiaTheme="minorEastAsia" w:hAnsi="Arial" w:cs="Arial"/>
          <w:b/>
          <w:sz w:val="24"/>
          <w:szCs w:val="24"/>
          <w:lang w:eastAsia="es-ES"/>
        </w:rPr>
        <w:t xml:space="preserve"> </w:t>
      </w:r>
      <w:r w:rsidR="00662DF6">
        <w:rPr>
          <w:rFonts w:ascii="Arial" w:eastAsiaTheme="minorEastAsia" w:hAnsi="Arial" w:cs="Arial"/>
          <w:b/>
          <w:sz w:val="24"/>
          <w:szCs w:val="24"/>
          <w:lang w:eastAsia="es-ES"/>
        </w:rPr>
        <w:t>2025</w:t>
      </w:r>
      <w:r w:rsidR="003E4299">
        <w:rPr>
          <w:rFonts w:ascii="Arial" w:eastAsiaTheme="minorEastAsia" w:hAnsi="Arial" w:cs="Arial"/>
          <w:sz w:val="24"/>
          <w:szCs w:val="24"/>
          <w:lang w:eastAsia="es-ES"/>
        </w:rPr>
        <w:t xml:space="preserve">, </w:t>
      </w:r>
      <w:r w:rsidR="001E24B3">
        <w:rPr>
          <w:rFonts w:ascii="Arial" w:eastAsiaTheme="minorEastAsia" w:hAnsi="Arial" w:cs="Arial"/>
          <w:sz w:val="24"/>
          <w:szCs w:val="24"/>
          <w:lang w:eastAsia="es-ES"/>
        </w:rPr>
        <w:t xml:space="preserve">deberá de realizarla en estricto cumplimiento a </w:t>
      </w:r>
      <w:r w:rsidRPr="00476EF2">
        <w:rPr>
          <w:rFonts w:ascii="Arial" w:eastAsiaTheme="minorEastAsia" w:hAnsi="Arial" w:cs="Arial"/>
          <w:sz w:val="24"/>
          <w:szCs w:val="24"/>
          <w:lang w:eastAsia="es-ES"/>
        </w:rPr>
        <w:t xml:space="preserve">LTAIPSLP y de los LGCDIEVP analizando los rubros aquí reservados. </w:t>
      </w:r>
    </w:p>
    <w:p w:rsidR="00B11FCD" w:rsidRDefault="00B11FCD" w:rsidP="00662DF6">
      <w:pPr>
        <w:pStyle w:val="Sinespaciado"/>
        <w:jc w:val="both"/>
        <w:rPr>
          <w:rFonts w:ascii="Arial" w:eastAsiaTheme="minorEastAsia" w:hAnsi="Arial" w:cs="Arial"/>
          <w:sz w:val="24"/>
          <w:szCs w:val="24"/>
          <w:lang w:eastAsia="es-ES"/>
        </w:rPr>
      </w:pPr>
    </w:p>
    <w:p w:rsidR="00BF3665" w:rsidRDefault="009819AE" w:rsidP="00662DF6">
      <w:pPr>
        <w:widowControl w:val="0"/>
        <w:jc w:val="both"/>
        <w:rPr>
          <w:rFonts w:ascii="Arial" w:hAnsi="Arial" w:cs="Arial"/>
        </w:rPr>
      </w:pPr>
      <w:r>
        <w:rPr>
          <w:rFonts w:ascii="Arial" w:hAnsi="Arial" w:cs="Arial"/>
        </w:rPr>
        <w:t>Se instruye al</w:t>
      </w:r>
      <w:r w:rsidR="00EE7429">
        <w:rPr>
          <w:rFonts w:ascii="Arial" w:hAnsi="Arial" w:cs="Arial"/>
        </w:rPr>
        <w:t xml:space="preserve"> </w:t>
      </w:r>
      <w:r w:rsidR="004A45B9">
        <w:rPr>
          <w:rFonts w:ascii="Arial" w:hAnsi="Arial" w:cs="Arial"/>
        </w:rPr>
        <w:t>d</w:t>
      </w:r>
      <w:r w:rsidR="00EE7429">
        <w:rPr>
          <w:rFonts w:ascii="Arial" w:hAnsi="Arial" w:cs="Arial"/>
        </w:rPr>
        <w:t>octor Jesús Rafael Rodríguez López</w:t>
      </w:r>
      <w:r w:rsidR="00EE0DE9">
        <w:rPr>
          <w:rFonts w:ascii="Arial" w:hAnsi="Arial" w:cs="Arial"/>
        </w:rPr>
        <w:t>, titular del órgano interno de control</w:t>
      </w:r>
      <w:r w:rsidR="002E085B">
        <w:rPr>
          <w:rFonts w:ascii="Arial" w:hAnsi="Arial" w:cs="Arial"/>
        </w:rPr>
        <w:t xml:space="preserve">, </w:t>
      </w:r>
      <w:r>
        <w:rPr>
          <w:rFonts w:ascii="Arial" w:hAnsi="Arial" w:cs="Arial"/>
        </w:rPr>
        <w:t xml:space="preserve">para que realice las anotaciones correspondientes en los documentos clasificados como </w:t>
      </w:r>
      <w:r w:rsidRPr="001E24B3">
        <w:rPr>
          <w:rFonts w:ascii="Arial" w:hAnsi="Arial" w:cs="Arial"/>
        </w:rPr>
        <w:t>reservados,</w:t>
      </w:r>
      <w:r>
        <w:rPr>
          <w:rFonts w:ascii="Arial" w:hAnsi="Arial" w:cs="Arial"/>
        </w:rPr>
        <w:t xml:space="preserve"> de conformidad con el artículo 121 de la LTAIPSLP, concatenado con el lineamiento </w:t>
      </w:r>
      <w:r w:rsidR="002E085B">
        <w:rPr>
          <w:rFonts w:ascii="Arial" w:hAnsi="Arial" w:cs="Arial"/>
        </w:rPr>
        <w:t>q</w:t>
      </w:r>
      <w:r>
        <w:rPr>
          <w:rFonts w:ascii="Arial" w:hAnsi="Arial" w:cs="Arial"/>
        </w:rPr>
        <w:t xml:space="preserve">uincuagésimo </w:t>
      </w:r>
      <w:r w:rsidR="002E085B">
        <w:rPr>
          <w:rFonts w:ascii="Arial" w:hAnsi="Arial" w:cs="Arial"/>
        </w:rPr>
        <w:t>p</w:t>
      </w:r>
      <w:r>
        <w:rPr>
          <w:rFonts w:ascii="Arial" w:hAnsi="Arial" w:cs="Arial"/>
        </w:rPr>
        <w:t xml:space="preserve">rimero de los LGCDIEVP. </w:t>
      </w:r>
    </w:p>
    <w:p w:rsidR="00C24991" w:rsidRDefault="00C24991" w:rsidP="00662DF6">
      <w:pPr>
        <w:widowControl w:val="0"/>
        <w:jc w:val="both"/>
        <w:rPr>
          <w:rFonts w:ascii="Arial" w:hAnsi="Arial" w:cs="Arial"/>
        </w:rPr>
      </w:pPr>
    </w:p>
    <w:p w:rsidR="00BF3665" w:rsidRDefault="009819AE" w:rsidP="00662DF6">
      <w:pPr>
        <w:jc w:val="both"/>
        <w:rPr>
          <w:rFonts w:ascii="Arial" w:hAnsi="Arial" w:cs="Arial"/>
        </w:rPr>
      </w:pPr>
      <w:r>
        <w:rPr>
          <w:rFonts w:ascii="Arial" w:hAnsi="Arial" w:cs="Arial"/>
        </w:rPr>
        <w:t>Por lo anteriormente expuesto, y fundado por los artículos 51, 52, fracción II y demás relativos aplicables de la LTAIPSLP</w:t>
      </w:r>
      <w:r w:rsidR="002E085B">
        <w:rPr>
          <w:rFonts w:ascii="Arial" w:hAnsi="Arial" w:cs="Arial"/>
        </w:rPr>
        <w:t>,</w:t>
      </w:r>
      <w:r>
        <w:rPr>
          <w:rFonts w:ascii="Arial" w:hAnsi="Arial" w:cs="Arial"/>
        </w:rPr>
        <w:t xml:space="preserve"> y el artículo tercero del </w:t>
      </w:r>
      <w:r w:rsidR="002E085B">
        <w:rPr>
          <w:rFonts w:ascii="Arial" w:hAnsi="Arial" w:cs="Arial"/>
        </w:rPr>
        <w:t>a</w:t>
      </w:r>
      <w:r>
        <w:rPr>
          <w:rFonts w:ascii="Arial" w:hAnsi="Arial" w:cs="Arial"/>
        </w:rPr>
        <w:t xml:space="preserve">cuerdo </w:t>
      </w:r>
      <w:r w:rsidR="002E085B">
        <w:rPr>
          <w:rFonts w:ascii="Arial" w:hAnsi="Arial" w:cs="Arial"/>
        </w:rPr>
        <w:t>g</w:t>
      </w:r>
      <w:r>
        <w:rPr>
          <w:rFonts w:ascii="Arial" w:hAnsi="Arial" w:cs="Arial"/>
        </w:rPr>
        <w:t>eneral número AG/011/2020 se:</w:t>
      </w:r>
    </w:p>
    <w:p w:rsidR="00B11FCD" w:rsidRDefault="00B11FCD" w:rsidP="00662DF6">
      <w:pPr>
        <w:jc w:val="both"/>
        <w:rPr>
          <w:rFonts w:ascii="Arial" w:hAnsi="Arial" w:cs="Arial"/>
        </w:rPr>
      </w:pPr>
    </w:p>
    <w:p w:rsidR="00CB380F" w:rsidRDefault="00CB380F" w:rsidP="00662DF6">
      <w:pPr>
        <w:jc w:val="both"/>
        <w:rPr>
          <w:rFonts w:ascii="Arial" w:hAnsi="Arial" w:cs="Arial"/>
        </w:rPr>
      </w:pPr>
    </w:p>
    <w:p w:rsidR="00BF3665" w:rsidRDefault="009819AE" w:rsidP="00662DF6">
      <w:pPr>
        <w:jc w:val="center"/>
        <w:rPr>
          <w:rFonts w:ascii="Arial" w:hAnsi="Arial" w:cs="Arial"/>
          <w:b/>
        </w:rPr>
      </w:pPr>
      <w:r>
        <w:rPr>
          <w:rFonts w:ascii="Arial" w:hAnsi="Arial" w:cs="Arial"/>
          <w:b/>
        </w:rPr>
        <w:lastRenderedPageBreak/>
        <w:t>RESUELVE POR UNANIMIDAD:</w:t>
      </w:r>
    </w:p>
    <w:p w:rsidR="00C24991" w:rsidRDefault="00C24991" w:rsidP="00662DF6">
      <w:pPr>
        <w:jc w:val="center"/>
        <w:rPr>
          <w:rFonts w:ascii="Arial" w:hAnsi="Arial" w:cs="Arial"/>
          <w:b/>
        </w:rPr>
      </w:pPr>
    </w:p>
    <w:p w:rsidR="00476EF2" w:rsidRDefault="00476EF2" w:rsidP="00662DF6">
      <w:pPr>
        <w:jc w:val="both"/>
        <w:rPr>
          <w:rFonts w:ascii="Arial" w:hAnsi="Arial" w:cs="Arial"/>
        </w:rPr>
      </w:pPr>
      <w:bookmarkStart w:id="2" w:name="_Hlk179366539"/>
      <w:r w:rsidRPr="00476EF2">
        <w:rPr>
          <w:rFonts w:ascii="Arial" w:hAnsi="Arial" w:cs="Arial"/>
          <w:b/>
        </w:rPr>
        <w:t>PRIMERO.</w:t>
      </w:r>
      <w:r w:rsidRPr="00476EF2">
        <w:rPr>
          <w:rFonts w:ascii="Arial" w:hAnsi="Arial" w:cs="Arial"/>
        </w:rPr>
        <w:t xml:space="preserve"> Se </w:t>
      </w:r>
      <w:r w:rsidRPr="00476EF2">
        <w:rPr>
          <w:rFonts w:ascii="Arial" w:hAnsi="Arial" w:cs="Arial"/>
          <w:b/>
        </w:rPr>
        <w:t>confirma</w:t>
      </w:r>
      <w:r w:rsidRPr="00476EF2">
        <w:rPr>
          <w:rFonts w:ascii="Arial" w:hAnsi="Arial" w:cs="Arial"/>
        </w:rPr>
        <w:t xml:space="preserve"> y adopta el </w:t>
      </w:r>
      <w:r w:rsidR="001E24B3" w:rsidRPr="008565C9">
        <w:rPr>
          <w:rFonts w:ascii="Arial" w:hAnsi="Arial" w:cs="Arial"/>
        </w:rPr>
        <w:t xml:space="preserve">acuerdo de reserva </w:t>
      </w:r>
      <w:r w:rsidR="002E085B">
        <w:rPr>
          <w:rFonts w:ascii="Arial" w:hAnsi="Arial" w:cs="Arial"/>
          <w:b/>
        </w:rPr>
        <w:t>total</w:t>
      </w:r>
      <w:r w:rsidR="001E24B3" w:rsidRPr="008565C9">
        <w:rPr>
          <w:rFonts w:ascii="Arial" w:hAnsi="Arial" w:cs="Arial"/>
        </w:rPr>
        <w:t xml:space="preserve"> </w:t>
      </w:r>
      <w:r w:rsidRPr="008565C9">
        <w:rPr>
          <w:rFonts w:ascii="Arial" w:hAnsi="Arial" w:cs="Arial"/>
        </w:rPr>
        <w:t xml:space="preserve">número </w:t>
      </w:r>
      <w:r w:rsidR="008565C9" w:rsidRPr="00662DF6">
        <w:rPr>
          <w:rFonts w:ascii="Arial" w:hAnsi="Arial" w:cs="Arial"/>
          <w:b/>
        </w:rPr>
        <w:t>AR/</w:t>
      </w:r>
      <w:r w:rsidR="007D231E">
        <w:rPr>
          <w:rFonts w:ascii="Arial" w:hAnsi="Arial" w:cs="Arial"/>
          <w:b/>
        </w:rPr>
        <w:t>29</w:t>
      </w:r>
      <w:r w:rsidR="008565C9" w:rsidRPr="00662DF6">
        <w:rPr>
          <w:rFonts w:ascii="Arial" w:hAnsi="Arial" w:cs="Arial"/>
          <w:b/>
        </w:rPr>
        <w:t>/202</w:t>
      </w:r>
      <w:r w:rsidR="00662DF6">
        <w:rPr>
          <w:rFonts w:ascii="Arial" w:hAnsi="Arial" w:cs="Arial"/>
          <w:b/>
        </w:rPr>
        <w:t>5</w:t>
      </w:r>
      <w:r w:rsidRPr="008565C9">
        <w:rPr>
          <w:rFonts w:ascii="Arial" w:hAnsi="Arial" w:cs="Arial"/>
        </w:rPr>
        <w:t>,</w:t>
      </w:r>
      <w:r w:rsidRPr="00476EF2">
        <w:rPr>
          <w:rFonts w:ascii="Arial" w:hAnsi="Arial" w:cs="Arial"/>
          <w:b/>
        </w:rPr>
        <w:t xml:space="preserve"> </w:t>
      </w:r>
      <w:r w:rsidRPr="00476EF2">
        <w:rPr>
          <w:rFonts w:ascii="Arial" w:hAnsi="Arial" w:cs="Arial"/>
        </w:rPr>
        <w:t xml:space="preserve">emitido por el </w:t>
      </w:r>
      <w:r w:rsidR="00C24991">
        <w:rPr>
          <w:rFonts w:ascii="Arial" w:hAnsi="Arial" w:cs="Arial"/>
        </w:rPr>
        <w:t>d</w:t>
      </w:r>
      <w:r w:rsidR="00502E2B">
        <w:rPr>
          <w:rFonts w:ascii="Arial" w:hAnsi="Arial" w:cs="Arial"/>
        </w:rPr>
        <w:t>octor Jesús Rafael Rodríguez López</w:t>
      </w:r>
      <w:r w:rsidR="00EE0DE9">
        <w:rPr>
          <w:rFonts w:ascii="Arial" w:hAnsi="Arial" w:cs="Arial"/>
        </w:rPr>
        <w:t xml:space="preserve">, titular del </w:t>
      </w:r>
      <w:r w:rsidR="00164F0D">
        <w:rPr>
          <w:rFonts w:ascii="Arial" w:hAnsi="Arial" w:cs="Arial"/>
        </w:rPr>
        <w:t>Ó</w:t>
      </w:r>
      <w:r w:rsidR="00EE0DE9">
        <w:rPr>
          <w:rFonts w:ascii="Arial" w:hAnsi="Arial" w:cs="Arial"/>
        </w:rPr>
        <w:t xml:space="preserve">rgano </w:t>
      </w:r>
      <w:r w:rsidR="00164F0D">
        <w:rPr>
          <w:rFonts w:ascii="Arial" w:hAnsi="Arial" w:cs="Arial"/>
        </w:rPr>
        <w:t>I</w:t>
      </w:r>
      <w:r w:rsidR="00EE0DE9">
        <w:rPr>
          <w:rFonts w:ascii="Arial" w:hAnsi="Arial" w:cs="Arial"/>
        </w:rPr>
        <w:t xml:space="preserve">nterno de </w:t>
      </w:r>
      <w:r w:rsidR="00164F0D">
        <w:rPr>
          <w:rFonts w:ascii="Arial" w:hAnsi="Arial" w:cs="Arial"/>
        </w:rPr>
        <w:t>C</w:t>
      </w:r>
      <w:r w:rsidR="00EE0DE9">
        <w:rPr>
          <w:rFonts w:ascii="Arial" w:hAnsi="Arial" w:cs="Arial"/>
        </w:rPr>
        <w:t>ontrol</w:t>
      </w:r>
      <w:r w:rsidRPr="001E24B3">
        <w:rPr>
          <w:rFonts w:ascii="Arial" w:hAnsi="Arial" w:cs="Arial"/>
        </w:rPr>
        <w:t xml:space="preserve">, por las razones y fundamentos expuestos en el considerando </w:t>
      </w:r>
      <w:r w:rsidR="001E24B3" w:rsidRPr="001E24B3">
        <w:rPr>
          <w:rFonts w:ascii="Arial" w:hAnsi="Arial" w:cs="Arial"/>
          <w:i/>
        </w:rPr>
        <w:t>tercero</w:t>
      </w:r>
      <w:r w:rsidRPr="00476EF2">
        <w:rPr>
          <w:rFonts w:ascii="Arial" w:hAnsi="Arial" w:cs="Arial"/>
        </w:rPr>
        <w:t xml:space="preserve"> de la presente resolución. </w:t>
      </w:r>
    </w:p>
    <w:p w:rsidR="00810A57" w:rsidRDefault="00810A57" w:rsidP="00662DF6">
      <w:pPr>
        <w:jc w:val="both"/>
        <w:rPr>
          <w:rFonts w:ascii="Arial" w:hAnsi="Arial" w:cs="Arial"/>
        </w:rPr>
      </w:pPr>
    </w:p>
    <w:p w:rsidR="004D05E0" w:rsidRDefault="00476EF2" w:rsidP="004D05E0">
      <w:pPr>
        <w:jc w:val="both"/>
        <w:rPr>
          <w:rFonts w:ascii="Arial" w:hAnsi="Arial" w:cs="Arial"/>
        </w:rPr>
      </w:pPr>
      <w:r w:rsidRPr="00476EF2">
        <w:rPr>
          <w:rFonts w:ascii="Arial" w:hAnsi="Arial" w:cs="Arial"/>
          <w:b/>
        </w:rPr>
        <w:t xml:space="preserve">SEGUNDO. </w:t>
      </w:r>
      <w:r w:rsidR="004D05E0" w:rsidRPr="00476EF2">
        <w:rPr>
          <w:rFonts w:ascii="Arial" w:hAnsi="Arial" w:cs="Arial"/>
        </w:rPr>
        <w:t>El</w:t>
      </w:r>
      <w:r w:rsidR="004D05E0">
        <w:rPr>
          <w:rFonts w:ascii="Arial" w:hAnsi="Arial" w:cs="Arial"/>
        </w:rPr>
        <w:t xml:space="preserve"> doctor Jesús Rafael Rodríguez López, titular del Órgano Interno de Control</w:t>
      </w:r>
      <w:r w:rsidR="004D05E0" w:rsidRPr="00476EF2">
        <w:rPr>
          <w:rFonts w:ascii="Arial" w:hAnsi="Arial" w:cs="Arial"/>
        </w:rPr>
        <w:t xml:space="preserve">, debe solicitar la desclasificación una vez que hayan fenecido las causas que dieron origen a la reserva o haya concluido el plazo establecido en el </w:t>
      </w:r>
      <w:r w:rsidR="004D05E0">
        <w:rPr>
          <w:rFonts w:ascii="Arial" w:hAnsi="Arial" w:cs="Arial"/>
        </w:rPr>
        <w:t>c</w:t>
      </w:r>
      <w:r w:rsidR="004D05E0" w:rsidRPr="00476EF2">
        <w:rPr>
          <w:rFonts w:ascii="Arial" w:hAnsi="Arial" w:cs="Arial"/>
        </w:rPr>
        <w:t xml:space="preserve">onsiderando </w:t>
      </w:r>
      <w:r w:rsidR="004D05E0" w:rsidRPr="00450A9E">
        <w:rPr>
          <w:rFonts w:ascii="Arial" w:hAnsi="Arial" w:cs="Arial"/>
          <w:i/>
        </w:rPr>
        <w:t>tercero</w:t>
      </w:r>
      <w:r w:rsidR="004D05E0" w:rsidRPr="00476EF2">
        <w:rPr>
          <w:rFonts w:ascii="Arial" w:hAnsi="Arial" w:cs="Arial"/>
        </w:rPr>
        <w:t xml:space="preserve"> </w:t>
      </w:r>
      <w:r w:rsidR="004D05E0">
        <w:rPr>
          <w:rFonts w:ascii="Arial" w:hAnsi="Arial" w:cs="Arial"/>
        </w:rPr>
        <w:t>fracción</w:t>
      </w:r>
      <w:r w:rsidR="004D05E0" w:rsidRPr="00476EF2">
        <w:rPr>
          <w:rFonts w:ascii="Arial" w:hAnsi="Arial" w:cs="Arial"/>
        </w:rPr>
        <w:t xml:space="preserve"> III de la presente resolución.</w:t>
      </w:r>
    </w:p>
    <w:p w:rsidR="004F7658" w:rsidRDefault="004F7658" w:rsidP="00662DF6">
      <w:pPr>
        <w:jc w:val="both"/>
        <w:rPr>
          <w:rFonts w:ascii="Arial" w:hAnsi="Arial" w:cs="Arial"/>
        </w:rPr>
      </w:pPr>
    </w:p>
    <w:p w:rsidR="004D05E0" w:rsidRDefault="00476EF2" w:rsidP="004D05E0">
      <w:pPr>
        <w:jc w:val="both"/>
        <w:rPr>
          <w:rFonts w:ascii="Arial" w:hAnsi="Arial" w:cs="Arial"/>
        </w:rPr>
      </w:pPr>
      <w:r w:rsidRPr="00476EF2">
        <w:rPr>
          <w:rFonts w:ascii="Arial" w:hAnsi="Arial" w:cs="Arial"/>
          <w:b/>
        </w:rPr>
        <w:t xml:space="preserve">TERCERO. </w:t>
      </w:r>
      <w:r w:rsidR="004D05E0" w:rsidRPr="00476EF2">
        <w:rPr>
          <w:rFonts w:ascii="Arial" w:hAnsi="Arial" w:cs="Arial"/>
        </w:rPr>
        <w:t xml:space="preserve">Se instruye </w:t>
      </w:r>
      <w:r w:rsidR="004D05E0">
        <w:rPr>
          <w:rFonts w:ascii="Arial" w:hAnsi="Arial" w:cs="Arial"/>
        </w:rPr>
        <w:t>al doctor Jesús Rafael Rodríguez López, titular del Órgano Interno de Control</w:t>
      </w:r>
      <w:r w:rsidR="004D05E0" w:rsidRPr="00476EF2">
        <w:rPr>
          <w:rFonts w:ascii="Arial" w:hAnsi="Arial" w:cs="Arial"/>
        </w:rPr>
        <w:t xml:space="preserve"> para que dé cumplimiento a los efectos de la presente resolución</w:t>
      </w:r>
      <w:r w:rsidR="004D05E0">
        <w:rPr>
          <w:rFonts w:ascii="Arial" w:hAnsi="Arial" w:cs="Arial"/>
        </w:rPr>
        <w:t xml:space="preserve"> establecidos en el considerando </w:t>
      </w:r>
      <w:r w:rsidR="004D05E0" w:rsidRPr="00450A9E">
        <w:rPr>
          <w:rFonts w:ascii="Arial" w:hAnsi="Arial" w:cs="Arial"/>
          <w:i/>
        </w:rPr>
        <w:t>tercero</w:t>
      </w:r>
      <w:r w:rsidR="004D05E0">
        <w:rPr>
          <w:rFonts w:ascii="Arial" w:hAnsi="Arial" w:cs="Arial"/>
        </w:rPr>
        <w:t xml:space="preserve"> fracción IV</w:t>
      </w:r>
      <w:r w:rsidR="004D05E0" w:rsidRPr="00476EF2">
        <w:rPr>
          <w:rFonts w:ascii="Arial" w:hAnsi="Arial" w:cs="Arial"/>
        </w:rPr>
        <w:t>.</w:t>
      </w:r>
    </w:p>
    <w:p w:rsidR="00C24991" w:rsidRDefault="00C24991" w:rsidP="00662DF6">
      <w:pPr>
        <w:jc w:val="both"/>
        <w:rPr>
          <w:rFonts w:ascii="Arial" w:hAnsi="Arial" w:cs="Arial"/>
        </w:rPr>
      </w:pPr>
    </w:p>
    <w:p w:rsidR="00BF3665" w:rsidRPr="00C24991" w:rsidRDefault="009819AE" w:rsidP="00662DF6">
      <w:pPr>
        <w:jc w:val="both"/>
        <w:rPr>
          <w:rFonts w:ascii="Arial" w:hAnsi="Arial" w:cs="Arial"/>
        </w:rPr>
      </w:pPr>
      <w:r>
        <w:rPr>
          <w:rFonts w:ascii="Arial" w:hAnsi="Arial" w:cs="Arial"/>
        </w:rPr>
        <w:t xml:space="preserve">Es preciso dejar asentado que, con el fin de que el Comité de Transparencia lleve un control interno de todas y cada una de las resoluciones que emite, se le asigna el consecutivo </w:t>
      </w:r>
      <w:r w:rsidR="00F64080">
        <w:rPr>
          <w:rFonts w:ascii="Arial" w:hAnsi="Arial" w:cs="Arial"/>
          <w:b/>
        </w:rPr>
        <w:t>FGE-CT-AR-</w:t>
      </w:r>
      <w:r w:rsidR="007D231E">
        <w:rPr>
          <w:rFonts w:ascii="Arial" w:hAnsi="Arial" w:cs="Arial"/>
          <w:b/>
        </w:rPr>
        <w:t>221</w:t>
      </w:r>
      <w:r>
        <w:rPr>
          <w:rFonts w:ascii="Arial" w:hAnsi="Arial" w:cs="Arial"/>
          <w:b/>
        </w:rPr>
        <w:t>-202</w:t>
      </w:r>
      <w:r w:rsidR="00662DF6">
        <w:rPr>
          <w:rFonts w:ascii="Arial" w:hAnsi="Arial" w:cs="Arial"/>
          <w:b/>
        </w:rPr>
        <w:t>5</w:t>
      </w:r>
      <w:r>
        <w:rPr>
          <w:rFonts w:ascii="Arial" w:hAnsi="Arial" w:cs="Arial"/>
          <w:b/>
        </w:rPr>
        <w:t>.</w:t>
      </w:r>
    </w:p>
    <w:p w:rsidR="00490831" w:rsidRDefault="00490831" w:rsidP="00662DF6">
      <w:pPr>
        <w:jc w:val="both"/>
        <w:rPr>
          <w:rFonts w:ascii="Arial" w:hAnsi="Arial" w:cs="Arial"/>
          <w:b/>
        </w:rPr>
      </w:pPr>
    </w:p>
    <w:bookmarkEnd w:id="2"/>
    <w:p w:rsidR="00BF3665" w:rsidRDefault="009819AE" w:rsidP="00662DF6">
      <w:pPr>
        <w:jc w:val="both"/>
        <w:rPr>
          <w:rFonts w:ascii="Arial" w:hAnsi="Arial" w:cs="Arial"/>
        </w:rPr>
      </w:pPr>
      <w:r>
        <w:rPr>
          <w:rFonts w:ascii="Arial" w:hAnsi="Arial" w:cs="Arial"/>
        </w:rPr>
        <w:t xml:space="preserve">En cumplimiento a lo establecido por el artículo 128 fracción IX, de la LTAIPSLP, así como el </w:t>
      </w:r>
      <w:r w:rsidR="00481D63">
        <w:rPr>
          <w:rFonts w:ascii="Arial" w:hAnsi="Arial" w:cs="Arial"/>
        </w:rPr>
        <w:t>l</w:t>
      </w:r>
      <w:r>
        <w:rPr>
          <w:rFonts w:ascii="Arial" w:hAnsi="Arial" w:cs="Arial"/>
        </w:rPr>
        <w:t xml:space="preserve">ineamiento </w:t>
      </w:r>
      <w:r w:rsidR="00481D63">
        <w:rPr>
          <w:rFonts w:ascii="Arial" w:hAnsi="Arial" w:cs="Arial"/>
        </w:rPr>
        <w:t>q</w:t>
      </w:r>
      <w:r>
        <w:rPr>
          <w:rFonts w:ascii="Arial" w:hAnsi="Arial" w:cs="Arial"/>
        </w:rPr>
        <w:t>uincuagésimo primero, fracción V de los LGPCDIEVP, se procede a rubricar la presente resolución.</w:t>
      </w:r>
    </w:p>
    <w:p w:rsidR="00BF3665" w:rsidRDefault="00BF3665" w:rsidP="00662DF6">
      <w:pPr>
        <w:rPr>
          <w:rFonts w:ascii="Arial" w:hAnsi="Arial" w:cs="Arial"/>
        </w:rPr>
      </w:pPr>
    </w:p>
    <w:p w:rsidR="00391F8E" w:rsidRDefault="00391F8E" w:rsidP="00662DF6">
      <w:pPr>
        <w:rPr>
          <w:rFonts w:ascii="Arial" w:hAnsi="Arial" w:cs="Arial"/>
        </w:rPr>
      </w:pPr>
    </w:p>
    <w:p w:rsidR="0026591A" w:rsidRDefault="0026591A" w:rsidP="00662DF6">
      <w:pPr>
        <w:rPr>
          <w:rFonts w:ascii="Arial" w:hAnsi="Arial" w:cs="Arial"/>
        </w:rPr>
      </w:pPr>
    </w:p>
    <w:p w:rsidR="00803FA7" w:rsidRDefault="00803FA7" w:rsidP="00662DF6">
      <w:pPr>
        <w:rPr>
          <w:rFonts w:ascii="Arial" w:hAnsi="Arial" w:cs="Arial"/>
        </w:rPr>
      </w:pPr>
    </w:p>
    <w:p w:rsidR="00BF3665" w:rsidRDefault="009819AE" w:rsidP="00662DF6">
      <w:pPr>
        <w:rPr>
          <w:rFonts w:ascii="Arial" w:hAnsi="Arial" w:cs="Arial"/>
        </w:rPr>
      </w:pPr>
      <w:r>
        <w:rPr>
          <w:rFonts w:ascii="Arial" w:hAnsi="Arial" w:cs="Arial"/>
        </w:rPr>
        <w:t>____________________________________</w:t>
      </w:r>
    </w:p>
    <w:p w:rsidR="00BF3665" w:rsidRDefault="009819AE" w:rsidP="00662DF6">
      <w:pPr>
        <w:tabs>
          <w:tab w:val="left" w:pos="8998"/>
          <w:tab w:val="left" w:pos="9932"/>
        </w:tabs>
        <w:spacing w:before="20"/>
        <w:rPr>
          <w:rFonts w:ascii="Arial" w:eastAsia="Arial" w:hAnsi="Arial" w:cs="Arial"/>
          <w:b/>
        </w:rPr>
      </w:pPr>
      <w:r>
        <w:rPr>
          <w:rFonts w:ascii="Arial" w:eastAsia="Arial" w:hAnsi="Arial" w:cs="Arial"/>
          <w:b/>
        </w:rPr>
        <w:t>MAESTRA XITLÁLIC SÁNCHEZ SERVÍN</w:t>
      </w:r>
    </w:p>
    <w:p w:rsidR="00BF3665" w:rsidRDefault="009819AE" w:rsidP="00662DF6">
      <w:pPr>
        <w:tabs>
          <w:tab w:val="left" w:pos="8998"/>
          <w:tab w:val="left" w:pos="9932"/>
        </w:tabs>
        <w:spacing w:before="20"/>
        <w:rPr>
          <w:rFonts w:ascii="Arial" w:eastAsia="Arial" w:hAnsi="Arial" w:cs="Arial"/>
          <w:b/>
        </w:rPr>
      </w:pPr>
      <w:r>
        <w:rPr>
          <w:rFonts w:ascii="Arial" w:eastAsia="Arial" w:hAnsi="Arial" w:cs="Arial"/>
          <w:b/>
        </w:rPr>
        <w:t>VICEFISCAL JURIDICA Y PRESIDENTA DEL</w:t>
      </w:r>
    </w:p>
    <w:p w:rsidR="00B87D5E" w:rsidRDefault="009819AE" w:rsidP="00B87D5E">
      <w:pPr>
        <w:tabs>
          <w:tab w:val="left" w:pos="8998"/>
          <w:tab w:val="left" w:pos="9932"/>
        </w:tabs>
        <w:spacing w:before="20"/>
        <w:rPr>
          <w:rFonts w:ascii="Arial" w:eastAsia="Arial" w:hAnsi="Arial" w:cs="Arial"/>
          <w:b/>
        </w:rPr>
      </w:pPr>
      <w:r>
        <w:rPr>
          <w:rFonts w:ascii="Arial" w:eastAsia="Arial" w:hAnsi="Arial" w:cs="Arial"/>
          <w:b/>
        </w:rPr>
        <w:t>COMITÉ DE TRANSPARENCIA</w:t>
      </w:r>
    </w:p>
    <w:p w:rsidR="00803FA7" w:rsidRDefault="00803FA7" w:rsidP="00662DF6">
      <w:pPr>
        <w:tabs>
          <w:tab w:val="left" w:pos="8998"/>
          <w:tab w:val="left" w:pos="9932"/>
        </w:tabs>
        <w:spacing w:before="20"/>
        <w:rPr>
          <w:rFonts w:ascii="Arial" w:eastAsia="Arial" w:hAnsi="Arial" w:cs="Arial"/>
          <w:b/>
        </w:rPr>
      </w:pPr>
    </w:p>
    <w:p w:rsidR="00391F8E" w:rsidRDefault="00391F8E" w:rsidP="00662DF6">
      <w:pPr>
        <w:tabs>
          <w:tab w:val="left" w:pos="8998"/>
          <w:tab w:val="left" w:pos="9932"/>
        </w:tabs>
        <w:spacing w:before="20"/>
        <w:rPr>
          <w:rFonts w:ascii="Arial" w:eastAsia="Arial" w:hAnsi="Arial" w:cs="Arial"/>
          <w:b/>
        </w:rPr>
      </w:pPr>
    </w:p>
    <w:p w:rsidR="00204354" w:rsidRDefault="00204354" w:rsidP="00662DF6">
      <w:pPr>
        <w:jc w:val="both"/>
        <w:rPr>
          <w:rFonts w:ascii="Arial" w:hAnsi="Arial" w:cs="Arial"/>
        </w:rPr>
      </w:pPr>
      <w:r>
        <w:rPr>
          <w:rFonts w:ascii="Arial" w:hAnsi="Arial" w:cs="Arial"/>
        </w:rPr>
        <w:t>____________________________________</w:t>
      </w:r>
    </w:p>
    <w:p w:rsidR="00A9088A" w:rsidRDefault="00A9088A" w:rsidP="00A9088A">
      <w:pPr>
        <w:rPr>
          <w:rFonts w:ascii="Arial" w:hAnsi="Arial" w:cs="Arial"/>
          <w:b/>
          <w:lang w:eastAsia="es-MX"/>
        </w:rPr>
      </w:pPr>
      <w:r>
        <w:rPr>
          <w:rFonts w:ascii="Arial" w:hAnsi="Arial" w:cs="Arial"/>
          <w:b/>
        </w:rPr>
        <w:t xml:space="preserve">MAESTRO CARLOS ALEJANDRO PONCE RODRÍGUEZ </w:t>
      </w:r>
    </w:p>
    <w:p w:rsidR="00A9088A" w:rsidRDefault="00A9088A" w:rsidP="00A9088A">
      <w:pPr>
        <w:rPr>
          <w:rFonts w:ascii="Arial" w:hAnsi="Arial" w:cs="Arial"/>
          <w:b/>
        </w:rPr>
      </w:pPr>
      <w:r>
        <w:rPr>
          <w:rFonts w:ascii="Arial" w:hAnsi="Arial" w:cs="Arial"/>
          <w:b/>
        </w:rPr>
        <w:t>VICEFISCAL E INTEGRANTE DEL COMITÉ DE TRANSPARENCIA.</w:t>
      </w:r>
    </w:p>
    <w:p w:rsidR="00480799" w:rsidRDefault="00480799" w:rsidP="00662DF6">
      <w:pPr>
        <w:jc w:val="both"/>
        <w:rPr>
          <w:rFonts w:ascii="Arial" w:hAnsi="Arial" w:cs="Arial"/>
          <w:b/>
        </w:rPr>
      </w:pPr>
    </w:p>
    <w:p w:rsidR="002E085B" w:rsidRDefault="002E085B" w:rsidP="00662DF6">
      <w:pPr>
        <w:jc w:val="both"/>
        <w:rPr>
          <w:rFonts w:ascii="Arial" w:hAnsi="Arial" w:cs="Arial"/>
          <w:b/>
        </w:rPr>
      </w:pPr>
    </w:p>
    <w:p w:rsidR="00694F13" w:rsidRDefault="00694F13" w:rsidP="00662DF6">
      <w:pPr>
        <w:jc w:val="both"/>
        <w:rPr>
          <w:rFonts w:ascii="Arial" w:hAnsi="Arial" w:cs="Arial"/>
          <w:b/>
        </w:rPr>
      </w:pPr>
    </w:p>
    <w:p w:rsidR="00BF3665" w:rsidRDefault="009819AE" w:rsidP="00662DF6">
      <w:pPr>
        <w:jc w:val="both"/>
        <w:rPr>
          <w:rFonts w:ascii="Arial" w:hAnsi="Arial" w:cs="Arial"/>
        </w:rPr>
      </w:pPr>
      <w:r>
        <w:rPr>
          <w:rFonts w:ascii="Arial" w:hAnsi="Arial" w:cs="Arial"/>
        </w:rPr>
        <w:t>_____________________________________</w:t>
      </w:r>
    </w:p>
    <w:p w:rsidR="00BF3665" w:rsidRPr="00C24991" w:rsidRDefault="00C24991" w:rsidP="00662DF6">
      <w:pPr>
        <w:rPr>
          <w:rFonts w:ascii="Arial" w:hAnsi="Arial" w:cs="Arial"/>
          <w:b/>
        </w:rPr>
      </w:pPr>
      <w:r w:rsidRPr="00C24991">
        <w:rPr>
          <w:rFonts w:ascii="Arial" w:hAnsi="Arial" w:cs="Arial"/>
          <w:b/>
        </w:rPr>
        <w:t xml:space="preserve">DOCTOR JESÚS RAFAEL RODRÍGUEZ LÓPEZ </w:t>
      </w:r>
    </w:p>
    <w:p w:rsidR="00B87D5E" w:rsidRDefault="009819AE" w:rsidP="00662DF6">
      <w:pPr>
        <w:rPr>
          <w:rFonts w:ascii="Arial" w:hAnsi="Arial" w:cs="Arial"/>
          <w:b/>
        </w:rPr>
      </w:pPr>
      <w:r>
        <w:rPr>
          <w:rFonts w:ascii="Arial" w:hAnsi="Arial" w:cs="Arial"/>
          <w:b/>
        </w:rPr>
        <w:t xml:space="preserve">TITULAR DEL ÓRGANO DE CONTROL INTERNO </w:t>
      </w:r>
    </w:p>
    <w:p w:rsidR="00BF3665" w:rsidRDefault="009819AE" w:rsidP="00662DF6">
      <w:pPr>
        <w:rPr>
          <w:rFonts w:ascii="Arial" w:hAnsi="Arial" w:cs="Arial"/>
          <w:b/>
        </w:rPr>
      </w:pPr>
      <w:r>
        <w:rPr>
          <w:rFonts w:ascii="Arial" w:hAnsi="Arial" w:cs="Arial"/>
          <w:b/>
        </w:rPr>
        <w:t>E INTEGRANTE DEL COMITÉ DE TRANSPARENCIA.</w:t>
      </w:r>
    </w:p>
    <w:sectPr w:rsidR="00BF3665" w:rsidSect="007D231E">
      <w:headerReference w:type="even" r:id="rId9"/>
      <w:headerReference w:type="default" r:id="rId10"/>
      <w:footerReference w:type="even" r:id="rId11"/>
      <w:footerReference w:type="default" r:id="rId12"/>
      <w:headerReference w:type="first" r:id="rId13"/>
      <w:footerReference w:type="first" r:id="rId14"/>
      <w:pgSz w:w="12240" w:h="15840"/>
      <w:pgMar w:top="2552" w:right="1134" w:bottom="1418" w:left="1134" w:header="709" w:footer="42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5697D" w:rsidRDefault="0025697D">
      <w:r>
        <w:separator/>
      </w:r>
    </w:p>
  </w:endnote>
  <w:endnote w:type="continuationSeparator" w:id="0">
    <w:p w:rsidR="0025697D" w:rsidRDefault="0025697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2AFF" w:usb1="4000ACFF"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DengXian Light">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A051E" w:rsidRDefault="002A051E">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665" w:rsidRDefault="009819AE">
    <w:pPr>
      <w:pStyle w:val="Piedepgina"/>
      <w:jc w:val="right"/>
      <w:rPr>
        <w:rFonts w:ascii="Arial" w:hAnsi="Arial" w:cs="Arial"/>
        <w:color w:val="000000" w:themeColor="text1"/>
        <w:sz w:val="13"/>
      </w:rPr>
    </w:pPr>
    <w:r>
      <w:rPr>
        <w:rFonts w:ascii="Arial" w:hAnsi="Arial" w:cs="Arial"/>
        <w:noProof/>
        <w:sz w:val="13"/>
        <w:lang w:eastAsia="es-MX"/>
      </w:rPr>
      <w:drawing>
        <wp:anchor distT="0" distB="0" distL="114300" distR="114300" simplePos="0" relativeHeight="251661312" behindDoc="1" locked="0" layoutInCell="1" allowOverlap="1">
          <wp:simplePos x="0" y="0"/>
          <wp:positionH relativeFrom="column">
            <wp:posOffset>-782320</wp:posOffset>
          </wp:positionH>
          <wp:positionV relativeFrom="paragraph">
            <wp:posOffset>-156845</wp:posOffset>
          </wp:positionV>
          <wp:extent cx="7991475" cy="802640"/>
          <wp:effectExtent l="0" t="0" r="9525" b="0"/>
          <wp:wrapNone/>
          <wp:docPr id="22" name="Imagen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n 29"/>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991475" cy="802640"/>
                  </a:xfrm>
                  <a:prstGeom prst="rect">
                    <a:avLst/>
                  </a:prstGeom>
                </pic:spPr>
              </pic:pic>
            </a:graphicData>
          </a:graphic>
        </wp:anchor>
      </w:drawing>
    </w:r>
    <w:r>
      <w:rPr>
        <w:rFonts w:ascii="Arial" w:hAnsi="Arial" w:cs="Arial"/>
        <w:color w:val="000000" w:themeColor="text1"/>
        <w:sz w:val="13"/>
      </w:rPr>
      <w:t>Fiscalía General del Estado de SLP</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Comité de Transparencia</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Eje Vial No. 100, Zona Centro,</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San Luis Potosí, S.L.P. C.P. 78000</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Tel. 01 (444) 812 26 24</w:t>
    </w:r>
  </w:p>
  <w:p w:rsidR="00BF3665" w:rsidRDefault="00BF3665">
    <w:pPr>
      <w:pStyle w:val="Piedepgina"/>
      <w:jc w:val="right"/>
      <w:rPr>
        <w:rFonts w:ascii="Arial" w:hAnsi="Arial" w:cs="Arial"/>
        <w:b/>
        <w:sz w:val="16"/>
        <w:szCs w:val="16"/>
        <w:u w:val="single"/>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A051E" w:rsidRDefault="002A051E">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5697D" w:rsidRDefault="0025697D">
      <w:r>
        <w:separator/>
      </w:r>
    </w:p>
  </w:footnote>
  <w:footnote w:type="continuationSeparator" w:id="0">
    <w:p w:rsidR="0025697D" w:rsidRDefault="0025697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A051E" w:rsidRDefault="002A051E">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144342657" o:spid="_x0000_s4098" type="#_x0000_t136" style="position:absolute;margin-left:0;margin-top:0;width:602.5pt;height:100.4pt;rotation:315;z-index:-251650048;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665" w:rsidRDefault="002A051E">
    <w:pPr>
      <w:pStyle w:val="Encabezado"/>
      <w:tabs>
        <w:tab w:val="clear" w:pos="4419"/>
        <w:tab w:val="clear" w:pos="8838"/>
        <w:tab w:val="left" w:pos="812"/>
        <w:tab w:val="left" w:pos="9200"/>
      </w:tabs>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144342658" o:spid="_x0000_s4099" type="#_x0000_t136" style="position:absolute;margin-left:0;margin-top:0;width:602.5pt;height:100.4pt;rotation:315;z-index:-251648000;mso-position-horizontal:center;mso-position-horizontal-relative:margin;mso-position-vertical:center;mso-position-vertical-relative:margin" o:allowincell="f" fillcolor="silver" stroked="f">
          <v:fill opacity=".5"/>
          <v:textpath style="font-family:&quot;Calibri&quot;;font-size:1pt" string="VERSION ELECTRONICA"/>
        </v:shape>
      </w:pict>
    </w:r>
    <w:r w:rsidR="009819AE">
      <w:rPr>
        <w:noProof/>
        <w:lang w:eastAsia="es-MX"/>
      </w:rPr>
      <w:drawing>
        <wp:anchor distT="0" distB="0" distL="114300" distR="114300" simplePos="0" relativeHeight="251662336" behindDoc="1" locked="0" layoutInCell="1" allowOverlap="1">
          <wp:simplePos x="0" y="0"/>
          <wp:positionH relativeFrom="page">
            <wp:align>right</wp:align>
          </wp:positionH>
          <wp:positionV relativeFrom="paragraph">
            <wp:posOffset>-450215</wp:posOffset>
          </wp:positionV>
          <wp:extent cx="7772400" cy="10045700"/>
          <wp:effectExtent l="0" t="0" r="0" b="0"/>
          <wp:wrapNone/>
          <wp:docPr id="20" name="Imagen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n 27"/>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772400" cy="10045700"/>
                  </a:xfrm>
                  <a:prstGeom prst="rect">
                    <a:avLst/>
                  </a:prstGeom>
                </pic:spPr>
              </pic:pic>
            </a:graphicData>
          </a:graphic>
        </wp:anchor>
      </w:drawing>
    </w:r>
    <w:r w:rsidR="009819AE">
      <w:rPr>
        <w:rFonts w:ascii="Calibri" w:eastAsia="Times New Roman" w:hAnsi="Calibri" w:cs="Times New Roman"/>
        <w:noProof/>
        <w:lang w:eastAsia="es-MX"/>
      </w:rPr>
      <w:drawing>
        <wp:anchor distT="0" distB="0" distL="114300" distR="114300" simplePos="0" relativeHeight="251660288" behindDoc="1" locked="0" layoutInCell="1" allowOverlap="1">
          <wp:simplePos x="0" y="0"/>
          <wp:positionH relativeFrom="column">
            <wp:posOffset>-948690</wp:posOffset>
          </wp:positionH>
          <wp:positionV relativeFrom="paragraph">
            <wp:posOffset>-453390</wp:posOffset>
          </wp:positionV>
          <wp:extent cx="8488680" cy="10971530"/>
          <wp:effectExtent l="0" t="0" r="7620" b="1905"/>
          <wp:wrapNone/>
          <wp:docPr id="21" name="Imagen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n 28"/>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8488680" cy="10971480"/>
                  </a:xfrm>
                  <a:prstGeom prst="rect">
                    <a:avLst/>
                  </a:prstGeom>
                </pic:spPr>
              </pic:pic>
            </a:graphicData>
          </a:graphic>
        </wp:anchor>
      </w:drawing>
    </w:r>
    <w:sdt>
      <w:sdtPr>
        <w:rPr>
          <w:lang w:eastAsia="es-MX"/>
        </w:rPr>
        <w:id w:val="1099375115"/>
      </w:sdtPr>
      <w:sdtEndPr/>
      <w:sdtContent>
        <w:r w:rsidR="009819AE">
          <w:rPr>
            <w:noProof/>
            <w:lang w:eastAsia="es-MX"/>
          </w:rPr>
          <mc:AlternateContent>
            <mc:Choice Requires="wps">
              <w:drawing>
                <wp:anchor distT="0" distB="0" distL="114300" distR="114300" simplePos="0" relativeHeight="251659264" behindDoc="0" locked="0" layoutInCell="0" allowOverlap="1">
                  <wp:simplePos x="0" y="0"/>
                  <wp:positionH relativeFrom="rightMargin">
                    <wp:align>center</wp:align>
                  </wp:positionH>
                  <wp:positionV relativeFrom="margin">
                    <wp:align>bottom</wp:align>
                  </wp:positionV>
                  <wp:extent cx="510540" cy="2183130"/>
                  <wp:effectExtent l="0" t="0" r="0" b="0"/>
                  <wp:wrapNone/>
                  <wp:docPr id="573" name="Rectángulo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wps:spPr>
                        <wps:txbx>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wps:txbx>
                        <wps:bodyPr rot="0" vert="vert270" wrap="square" lIns="91440" tIns="45720" rIns="91440" bIns="45720" anchor="ctr" anchorCtr="0" upright="1">
                          <a:spAutoFit/>
                        </wps:bodyPr>
                      </wps:wsp>
                    </a:graphicData>
                  </a:graphic>
                </wp:anchor>
              </w:drawing>
            </mc:Choice>
            <mc:Fallback>
              <w:pict>
                <v:rect id="Rectángulo 3" o:spid="_x0000_s1026" style="position:absolute;margin-left:0;margin-top:0;width:40.2pt;height:171.9pt;z-index:251659264;visibility:visible;mso-wrap-style:square;mso-wrap-distance-left:9pt;mso-wrap-distance-top:0;mso-wrap-distance-right:9pt;mso-wrap-distance-bottom:0;mso-position-horizontal:center;mso-position-horizontal-relative:right-margin-area;mso-position-vertical:bottom;mso-position-vertical-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" o:allowincell="f" filled="f" stroked="f">
                  <v:textbox style="layout-flow:vertical;mso-layout-flow-alt:bottom-to-top;mso-fit-shape-to-text:t">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v:textbox>
                  <w10:wrap anchorx="margin" anchory="margin"/>
                </v:rect>
              </w:pict>
            </mc:Fallback>
          </mc:AlternateContent>
        </w:r>
      </w:sdtContent>
    </w:sdt>
    <w:r w:rsidR="009819AE">
      <w:rPr>
        <w:lang w:eastAsia="es-MX"/>
      </w:rPr>
      <w:t xml:space="preserve"> </w:t>
    </w:r>
    <w:r w:rsidR="009819AE">
      <w:tab/>
    </w:r>
    <w:r w:rsidR="009819AE">
      <w:tab/>
    </w:r>
  </w:p>
  <w:p w:rsidR="00BF3665" w:rsidRDefault="00BF3665">
    <w:pPr>
      <w:pStyle w:val="Encabezado"/>
      <w:tabs>
        <w:tab w:val="clear" w:pos="4419"/>
        <w:tab w:val="clear" w:pos="8838"/>
        <w:tab w:val="left" w:pos="812"/>
      </w:tabs>
    </w:pPr>
  </w:p>
  <w:p w:rsidR="00BF3665" w:rsidRDefault="00BF3665">
    <w:pPr>
      <w:pStyle w:val="Encabezado"/>
      <w:tabs>
        <w:tab w:val="clear" w:pos="4419"/>
        <w:tab w:val="clear" w:pos="8838"/>
        <w:tab w:val="left" w:pos="812"/>
      </w:tabs>
    </w:pPr>
  </w:p>
  <w:p w:rsidR="00BF3665" w:rsidRDefault="00BF3665">
    <w:pPr>
      <w:pStyle w:val="Encabezado"/>
      <w:tabs>
        <w:tab w:val="clear" w:pos="4419"/>
        <w:tab w:val="clear" w:pos="8838"/>
        <w:tab w:val="left" w:pos="812"/>
      </w:tabs>
    </w:pPr>
  </w:p>
  <w:tbl>
    <w:tblPr>
      <w:tblStyle w:val="Tablaconcuadrcula"/>
      <w:tblW w:w="0" w:type="auto"/>
      <w:tblLook w:val="04A0" w:firstRow="1" w:lastRow="0" w:firstColumn="1" w:lastColumn="0" w:noHBand="0" w:noVBand="1"/>
    </w:tblPr>
    <w:tblGrid>
      <w:gridCol w:w="9962"/>
    </w:tblGrid>
    <w:tr w:rsidR="007D231E" w:rsidTr="007D231E">
      <w:tc>
        <w:tcPr>
          <w:tcW w:w="9962" w:type="dxa"/>
          <w:shd w:val="clear" w:color="auto" w:fill="000000" w:themeFill="text1"/>
        </w:tcPr>
        <w:p w:rsidR="007D231E" w:rsidRPr="007D231E" w:rsidRDefault="007D231E" w:rsidP="007D231E">
          <w:pPr>
            <w:spacing w:line="276" w:lineRule="auto"/>
            <w:jc w:val="both"/>
            <w:rPr>
              <w:lang w:val="es-ES"/>
            </w:rPr>
          </w:pPr>
          <w:r>
            <w:rPr>
              <w:rFonts w:ascii="Arial" w:hAnsi="Arial" w:cs="Arial"/>
              <w:color w:val="FFFFFF" w:themeColor="background1"/>
              <w:sz w:val="18"/>
              <w:szCs w:val="18"/>
            </w:rPr>
            <w:t>06 de noviembre 2025. Décima primera</w:t>
          </w:r>
          <w:r w:rsidRPr="00D338A0">
            <w:rPr>
              <w:rFonts w:ascii="Arial" w:hAnsi="Arial" w:cs="Arial"/>
              <w:color w:val="FFFFFF" w:themeColor="background1"/>
              <w:sz w:val="18"/>
              <w:szCs w:val="18"/>
            </w:rPr>
            <w:t xml:space="preserve"> sesión ordinaria 202</w:t>
          </w:r>
          <w:r>
            <w:rPr>
              <w:rFonts w:ascii="Arial" w:hAnsi="Arial" w:cs="Arial"/>
              <w:color w:val="FFFFFF" w:themeColor="background1"/>
              <w:sz w:val="18"/>
              <w:szCs w:val="18"/>
            </w:rPr>
            <w:t>5</w:t>
          </w:r>
          <w:r w:rsidRPr="00D338A0">
            <w:rPr>
              <w:rFonts w:ascii="Arial" w:hAnsi="Arial" w:cs="Arial"/>
              <w:color w:val="FFFFFF" w:themeColor="background1"/>
              <w:sz w:val="18"/>
              <w:szCs w:val="18"/>
            </w:rPr>
            <w:t xml:space="preserve"> del Comité de Transparencia. </w:t>
          </w:r>
          <w:r w:rsidRPr="00D338A0">
            <w:rPr>
              <w:rFonts w:ascii="Arial" w:hAnsi="Arial" w:cs="Arial"/>
              <w:color w:val="FFFFFF" w:themeColor="background1"/>
              <w:sz w:val="18"/>
              <w:szCs w:val="18"/>
              <w:lang w:val="es-ES"/>
            </w:rPr>
            <w:t xml:space="preserve">Confirmación del acuerdo de reserva </w:t>
          </w:r>
          <w:r>
            <w:rPr>
              <w:rFonts w:ascii="Arial" w:hAnsi="Arial" w:cs="Arial"/>
              <w:b/>
              <w:color w:val="FFFFFF" w:themeColor="background1"/>
              <w:sz w:val="18"/>
              <w:szCs w:val="18"/>
              <w:lang w:val="es-ES"/>
            </w:rPr>
            <w:t>total</w:t>
          </w:r>
          <w:r w:rsidRPr="00BA05C2">
            <w:rPr>
              <w:rFonts w:ascii="Arial" w:hAnsi="Arial" w:cs="Arial"/>
              <w:b/>
              <w:color w:val="FFFFFF" w:themeColor="background1"/>
              <w:sz w:val="18"/>
              <w:szCs w:val="18"/>
              <w:lang w:val="es-ES"/>
            </w:rPr>
            <w:t xml:space="preserve"> </w:t>
          </w:r>
          <w:r w:rsidRPr="00CE31CC">
            <w:rPr>
              <w:rFonts w:ascii="Arial" w:hAnsi="Arial" w:cs="Arial"/>
              <w:b/>
              <w:color w:val="FFFFFF" w:themeColor="background1"/>
              <w:sz w:val="18"/>
              <w:szCs w:val="18"/>
              <w:lang w:val="es-ES"/>
            </w:rPr>
            <w:t>AR/</w:t>
          </w:r>
          <w:r>
            <w:rPr>
              <w:rFonts w:ascii="Arial" w:hAnsi="Arial" w:cs="Arial"/>
              <w:b/>
              <w:color w:val="FFFFFF" w:themeColor="background1"/>
              <w:sz w:val="18"/>
              <w:szCs w:val="18"/>
              <w:lang w:val="es-ES"/>
            </w:rPr>
            <w:t>29</w:t>
          </w:r>
          <w:r w:rsidRPr="00CE31CC">
            <w:rPr>
              <w:rFonts w:ascii="Arial" w:hAnsi="Arial" w:cs="Arial"/>
              <w:b/>
              <w:color w:val="FFFFFF" w:themeColor="background1"/>
              <w:sz w:val="18"/>
              <w:szCs w:val="18"/>
              <w:lang w:val="es-ES"/>
            </w:rPr>
            <w:t>/2025</w:t>
          </w:r>
          <w:r w:rsidRPr="00D338A0">
            <w:rPr>
              <w:rFonts w:ascii="Arial" w:hAnsi="Arial" w:cs="Arial"/>
              <w:color w:val="FFFFFF" w:themeColor="background1"/>
              <w:sz w:val="18"/>
              <w:szCs w:val="18"/>
              <w:lang w:val="es-ES"/>
            </w:rPr>
            <w:t xml:space="preserve"> que emite el </w:t>
          </w:r>
          <w:r>
            <w:rPr>
              <w:rFonts w:ascii="Arial" w:hAnsi="Arial" w:cs="Arial"/>
              <w:color w:val="FFFFFF" w:themeColor="background1"/>
              <w:sz w:val="18"/>
              <w:szCs w:val="18"/>
              <w:lang w:val="es-ES"/>
            </w:rPr>
            <w:t xml:space="preserve">titular del </w:t>
          </w:r>
          <w:r w:rsidRPr="0031213A">
            <w:rPr>
              <w:rFonts w:ascii="Arial" w:hAnsi="Arial" w:cs="Arial"/>
              <w:color w:val="FFFFFF" w:themeColor="background1"/>
              <w:sz w:val="18"/>
              <w:szCs w:val="18"/>
              <w:lang w:val="es-ES"/>
            </w:rPr>
            <w:t>Órgano Interno de Control</w:t>
          </w:r>
          <w:r w:rsidRPr="00D338A0">
            <w:rPr>
              <w:rFonts w:ascii="Arial" w:hAnsi="Arial" w:cs="Arial"/>
              <w:color w:val="FFFFFF" w:themeColor="background1"/>
              <w:sz w:val="18"/>
              <w:szCs w:val="18"/>
              <w:lang w:val="es-ES"/>
            </w:rPr>
            <w:t xml:space="preserve">. </w:t>
          </w:r>
        </w:p>
      </w:tc>
    </w:tr>
  </w:tbl>
  <w:p w:rsidR="00BF3665" w:rsidRDefault="00BF3665" w:rsidP="007D231E">
    <w:pPr>
      <w:spacing w:line="276" w:lineRule="auto"/>
      <w:jc w:val="both"/>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A051E" w:rsidRDefault="002A051E">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144342656" o:spid="_x0000_s4097" type="#_x0000_t136" style="position:absolute;margin-left:0;margin-top:0;width:602.5pt;height:100.4pt;rotation:315;z-index:-251652096;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A877F4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431F4EE3"/>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44E95871"/>
    <w:multiLevelType w:val="hybridMultilevel"/>
    <w:tmpl w:val="96747E92"/>
    <w:lvl w:ilvl="0" w:tplc="35F09D2E">
      <w:start w:val="1"/>
      <w:numFmt w:val="decimal"/>
      <w:lvlText w:val="%1)"/>
      <w:lvlJc w:val="left"/>
      <w:pPr>
        <w:ind w:left="1080" w:hanging="360"/>
      </w:pPr>
    </w:lvl>
    <w:lvl w:ilvl="1" w:tplc="080A0019">
      <w:start w:val="1"/>
      <w:numFmt w:val="lowerLetter"/>
      <w:lvlText w:val="%2."/>
      <w:lvlJc w:val="left"/>
      <w:pPr>
        <w:ind w:left="1800" w:hanging="360"/>
      </w:pPr>
    </w:lvl>
    <w:lvl w:ilvl="2" w:tplc="080A001B">
      <w:start w:val="1"/>
      <w:numFmt w:val="lowerRoman"/>
      <w:lvlText w:val="%3."/>
      <w:lvlJc w:val="right"/>
      <w:pPr>
        <w:ind w:left="2520" w:hanging="180"/>
      </w:pPr>
    </w:lvl>
    <w:lvl w:ilvl="3" w:tplc="080A000F">
      <w:start w:val="1"/>
      <w:numFmt w:val="decimal"/>
      <w:lvlText w:val="%4."/>
      <w:lvlJc w:val="left"/>
      <w:pPr>
        <w:ind w:left="3240" w:hanging="360"/>
      </w:pPr>
    </w:lvl>
    <w:lvl w:ilvl="4" w:tplc="080A0019">
      <w:start w:val="1"/>
      <w:numFmt w:val="lowerLetter"/>
      <w:lvlText w:val="%5."/>
      <w:lvlJc w:val="left"/>
      <w:pPr>
        <w:ind w:left="3960" w:hanging="360"/>
      </w:pPr>
    </w:lvl>
    <w:lvl w:ilvl="5" w:tplc="080A001B">
      <w:start w:val="1"/>
      <w:numFmt w:val="lowerRoman"/>
      <w:lvlText w:val="%6."/>
      <w:lvlJc w:val="right"/>
      <w:pPr>
        <w:ind w:left="4680" w:hanging="180"/>
      </w:pPr>
    </w:lvl>
    <w:lvl w:ilvl="6" w:tplc="080A000F">
      <w:start w:val="1"/>
      <w:numFmt w:val="decimal"/>
      <w:lvlText w:val="%7."/>
      <w:lvlJc w:val="left"/>
      <w:pPr>
        <w:ind w:left="5400" w:hanging="360"/>
      </w:pPr>
    </w:lvl>
    <w:lvl w:ilvl="7" w:tplc="080A0019">
      <w:start w:val="1"/>
      <w:numFmt w:val="lowerLetter"/>
      <w:lvlText w:val="%8."/>
      <w:lvlJc w:val="left"/>
      <w:pPr>
        <w:ind w:left="6120" w:hanging="360"/>
      </w:pPr>
    </w:lvl>
    <w:lvl w:ilvl="8" w:tplc="080A001B">
      <w:start w:val="1"/>
      <w:numFmt w:val="lowerRoman"/>
      <w:lvlText w:val="%9."/>
      <w:lvlJc w:val="right"/>
      <w:pPr>
        <w:ind w:left="6840" w:hanging="180"/>
      </w:pPr>
    </w:lvl>
  </w:abstractNum>
  <w:abstractNum w:abstractNumId="3" w15:restartNumberingAfterBreak="0">
    <w:nsid w:val="4B2623D6"/>
    <w:multiLevelType w:val="multilevel"/>
    <w:tmpl w:val="4B2623D6"/>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4C7028A2"/>
    <w:multiLevelType w:val="hybridMultilevel"/>
    <w:tmpl w:val="25F22D48"/>
    <w:lvl w:ilvl="0" w:tplc="BBAC28DE">
      <w:start w:val="1"/>
      <w:numFmt w:val="decimal"/>
      <w:lvlText w:val="%1)"/>
      <w:lvlJc w:val="left"/>
      <w:pPr>
        <w:ind w:left="436" w:hanging="360"/>
      </w:pPr>
    </w:lvl>
    <w:lvl w:ilvl="1" w:tplc="080A0019">
      <w:start w:val="1"/>
      <w:numFmt w:val="lowerLetter"/>
      <w:lvlText w:val="%2."/>
      <w:lvlJc w:val="left"/>
      <w:pPr>
        <w:ind w:left="1156" w:hanging="360"/>
      </w:pPr>
    </w:lvl>
    <w:lvl w:ilvl="2" w:tplc="080A001B">
      <w:start w:val="1"/>
      <w:numFmt w:val="lowerRoman"/>
      <w:lvlText w:val="%3."/>
      <w:lvlJc w:val="right"/>
      <w:pPr>
        <w:ind w:left="1876" w:hanging="180"/>
      </w:pPr>
    </w:lvl>
    <w:lvl w:ilvl="3" w:tplc="080A000F">
      <w:start w:val="1"/>
      <w:numFmt w:val="decimal"/>
      <w:lvlText w:val="%4."/>
      <w:lvlJc w:val="left"/>
      <w:pPr>
        <w:ind w:left="2596" w:hanging="360"/>
      </w:pPr>
    </w:lvl>
    <w:lvl w:ilvl="4" w:tplc="080A0019">
      <w:start w:val="1"/>
      <w:numFmt w:val="lowerLetter"/>
      <w:lvlText w:val="%5."/>
      <w:lvlJc w:val="left"/>
      <w:pPr>
        <w:ind w:left="3316" w:hanging="360"/>
      </w:pPr>
    </w:lvl>
    <w:lvl w:ilvl="5" w:tplc="080A001B">
      <w:start w:val="1"/>
      <w:numFmt w:val="lowerRoman"/>
      <w:lvlText w:val="%6."/>
      <w:lvlJc w:val="right"/>
      <w:pPr>
        <w:ind w:left="4036" w:hanging="180"/>
      </w:pPr>
    </w:lvl>
    <w:lvl w:ilvl="6" w:tplc="080A000F">
      <w:start w:val="1"/>
      <w:numFmt w:val="decimal"/>
      <w:lvlText w:val="%7."/>
      <w:lvlJc w:val="left"/>
      <w:pPr>
        <w:ind w:left="4756" w:hanging="360"/>
      </w:pPr>
    </w:lvl>
    <w:lvl w:ilvl="7" w:tplc="080A0019">
      <w:start w:val="1"/>
      <w:numFmt w:val="lowerLetter"/>
      <w:lvlText w:val="%8."/>
      <w:lvlJc w:val="left"/>
      <w:pPr>
        <w:ind w:left="5476" w:hanging="360"/>
      </w:pPr>
    </w:lvl>
    <w:lvl w:ilvl="8" w:tplc="080A001B">
      <w:start w:val="1"/>
      <w:numFmt w:val="lowerRoman"/>
      <w:lvlText w:val="%9."/>
      <w:lvlJc w:val="right"/>
      <w:pPr>
        <w:ind w:left="6196" w:hanging="180"/>
      </w:pPr>
    </w:lvl>
  </w:abstractNum>
  <w:abstractNum w:abstractNumId="5" w15:restartNumberingAfterBreak="0">
    <w:nsid w:val="66E53BA9"/>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6A2B4E80"/>
    <w:multiLevelType w:val="hybridMultilevel"/>
    <w:tmpl w:val="1834E384"/>
    <w:lvl w:ilvl="0" w:tplc="C4F69BD8">
      <w:start w:val="1"/>
      <w:numFmt w:val="upperRoman"/>
      <w:lvlText w:val="%1."/>
      <w:lvlJc w:val="left"/>
      <w:pPr>
        <w:ind w:left="2196" w:hanging="720"/>
      </w:pPr>
      <w:rPr>
        <w:rFonts w:hint="default"/>
      </w:rPr>
    </w:lvl>
    <w:lvl w:ilvl="1" w:tplc="080A0019" w:tentative="1">
      <w:start w:val="1"/>
      <w:numFmt w:val="lowerLetter"/>
      <w:lvlText w:val="%2."/>
      <w:lvlJc w:val="left"/>
      <w:pPr>
        <w:ind w:left="2556" w:hanging="360"/>
      </w:pPr>
    </w:lvl>
    <w:lvl w:ilvl="2" w:tplc="080A001B" w:tentative="1">
      <w:start w:val="1"/>
      <w:numFmt w:val="lowerRoman"/>
      <w:lvlText w:val="%3."/>
      <w:lvlJc w:val="right"/>
      <w:pPr>
        <w:ind w:left="3276" w:hanging="180"/>
      </w:pPr>
    </w:lvl>
    <w:lvl w:ilvl="3" w:tplc="080A000F" w:tentative="1">
      <w:start w:val="1"/>
      <w:numFmt w:val="decimal"/>
      <w:lvlText w:val="%4."/>
      <w:lvlJc w:val="left"/>
      <w:pPr>
        <w:ind w:left="3996" w:hanging="360"/>
      </w:pPr>
    </w:lvl>
    <w:lvl w:ilvl="4" w:tplc="080A0019" w:tentative="1">
      <w:start w:val="1"/>
      <w:numFmt w:val="lowerLetter"/>
      <w:lvlText w:val="%5."/>
      <w:lvlJc w:val="left"/>
      <w:pPr>
        <w:ind w:left="4716" w:hanging="360"/>
      </w:pPr>
    </w:lvl>
    <w:lvl w:ilvl="5" w:tplc="080A001B" w:tentative="1">
      <w:start w:val="1"/>
      <w:numFmt w:val="lowerRoman"/>
      <w:lvlText w:val="%6."/>
      <w:lvlJc w:val="right"/>
      <w:pPr>
        <w:ind w:left="5436" w:hanging="180"/>
      </w:pPr>
    </w:lvl>
    <w:lvl w:ilvl="6" w:tplc="080A000F" w:tentative="1">
      <w:start w:val="1"/>
      <w:numFmt w:val="decimal"/>
      <w:lvlText w:val="%7."/>
      <w:lvlJc w:val="left"/>
      <w:pPr>
        <w:ind w:left="6156" w:hanging="360"/>
      </w:pPr>
    </w:lvl>
    <w:lvl w:ilvl="7" w:tplc="080A0019" w:tentative="1">
      <w:start w:val="1"/>
      <w:numFmt w:val="lowerLetter"/>
      <w:lvlText w:val="%8."/>
      <w:lvlJc w:val="left"/>
      <w:pPr>
        <w:ind w:left="6876" w:hanging="360"/>
      </w:pPr>
    </w:lvl>
    <w:lvl w:ilvl="8" w:tplc="080A001B" w:tentative="1">
      <w:start w:val="1"/>
      <w:numFmt w:val="lowerRoman"/>
      <w:lvlText w:val="%9."/>
      <w:lvlJc w:val="right"/>
      <w:pPr>
        <w:ind w:left="7596" w:hanging="180"/>
      </w:pPr>
    </w:lvl>
  </w:abstractNum>
  <w:abstractNum w:abstractNumId="7" w15:restartNumberingAfterBreak="0">
    <w:nsid w:val="6A685E8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74662F21"/>
    <w:multiLevelType w:val="multilevel"/>
    <w:tmpl w:val="74662F21"/>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3"/>
  </w:num>
  <w:num w:numId="2">
    <w:abstractNumId w:val="1"/>
  </w:num>
  <w:num w:numId="3">
    <w:abstractNumId w:val="8"/>
  </w:num>
  <w:num w:numId="4">
    <w:abstractNumId w:val="5"/>
  </w:num>
  <w:num w:numId="5">
    <w:abstractNumId w:val="7"/>
  </w:num>
  <w:num w:numId="6">
    <w:abstractNumId w:val="0"/>
  </w:num>
  <w:num w:numId="7">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drawingGridHorizontalSpacing w:val="120"/>
  <w:displayHorizontalDrawingGridEvery w:val="2"/>
  <w:displayVerticalDrawingGridEvery w:val="2"/>
  <w:characterSpacingControl w:val="doNotCompress"/>
  <w:hdrShapeDefaults>
    <o:shapedefaults v:ext="edit" spidmax="4100"/>
    <o:shapelayout v:ext="edit">
      <o:idmap v:ext="edit" data="4"/>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61F3B"/>
    <w:rsid w:val="0000089C"/>
    <w:rsid w:val="00001804"/>
    <w:rsid w:val="0000583E"/>
    <w:rsid w:val="00010714"/>
    <w:rsid w:val="000111BB"/>
    <w:rsid w:val="00011757"/>
    <w:rsid w:val="00012344"/>
    <w:rsid w:val="00014837"/>
    <w:rsid w:val="000215E3"/>
    <w:rsid w:val="000316F8"/>
    <w:rsid w:val="00043EA6"/>
    <w:rsid w:val="00044847"/>
    <w:rsid w:val="00045C57"/>
    <w:rsid w:val="0004691F"/>
    <w:rsid w:val="00047BEE"/>
    <w:rsid w:val="000502DA"/>
    <w:rsid w:val="000516AB"/>
    <w:rsid w:val="00053810"/>
    <w:rsid w:val="00060363"/>
    <w:rsid w:val="0006063D"/>
    <w:rsid w:val="00066032"/>
    <w:rsid w:val="0006766C"/>
    <w:rsid w:val="0006789D"/>
    <w:rsid w:val="00074CBB"/>
    <w:rsid w:val="00075321"/>
    <w:rsid w:val="0009152F"/>
    <w:rsid w:val="00091F6F"/>
    <w:rsid w:val="00092311"/>
    <w:rsid w:val="00097461"/>
    <w:rsid w:val="000A001A"/>
    <w:rsid w:val="000B4E59"/>
    <w:rsid w:val="000B4E6F"/>
    <w:rsid w:val="000B5998"/>
    <w:rsid w:val="000C04FF"/>
    <w:rsid w:val="000C09C1"/>
    <w:rsid w:val="000C7192"/>
    <w:rsid w:val="000D2B3E"/>
    <w:rsid w:val="000D536E"/>
    <w:rsid w:val="000D61FB"/>
    <w:rsid w:val="000E151A"/>
    <w:rsid w:val="000E33F8"/>
    <w:rsid w:val="000E66E7"/>
    <w:rsid w:val="000E6D81"/>
    <w:rsid w:val="000F1388"/>
    <w:rsid w:val="000F25C5"/>
    <w:rsid w:val="000F34F2"/>
    <w:rsid w:val="000F7924"/>
    <w:rsid w:val="000F79F5"/>
    <w:rsid w:val="00104B37"/>
    <w:rsid w:val="0010725A"/>
    <w:rsid w:val="001112A7"/>
    <w:rsid w:val="001122B3"/>
    <w:rsid w:val="0011610A"/>
    <w:rsid w:val="00117688"/>
    <w:rsid w:val="00122709"/>
    <w:rsid w:val="00126041"/>
    <w:rsid w:val="00131153"/>
    <w:rsid w:val="0013153A"/>
    <w:rsid w:val="00133220"/>
    <w:rsid w:val="00133B13"/>
    <w:rsid w:val="00134A88"/>
    <w:rsid w:val="00135B75"/>
    <w:rsid w:val="0013784F"/>
    <w:rsid w:val="00137B6F"/>
    <w:rsid w:val="0014081F"/>
    <w:rsid w:val="00140DD7"/>
    <w:rsid w:val="00140E5B"/>
    <w:rsid w:val="00142651"/>
    <w:rsid w:val="001451AC"/>
    <w:rsid w:val="00155DB1"/>
    <w:rsid w:val="001569ED"/>
    <w:rsid w:val="00157A2B"/>
    <w:rsid w:val="00160079"/>
    <w:rsid w:val="001610C7"/>
    <w:rsid w:val="0016273D"/>
    <w:rsid w:val="001645C1"/>
    <w:rsid w:val="00164F0D"/>
    <w:rsid w:val="00166BDA"/>
    <w:rsid w:val="00171740"/>
    <w:rsid w:val="00171840"/>
    <w:rsid w:val="00171FB5"/>
    <w:rsid w:val="0017368E"/>
    <w:rsid w:val="00174F96"/>
    <w:rsid w:val="00175555"/>
    <w:rsid w:val="00175F0E"/>
    <w:rsid w:val="00176FDC"/>
    <w:rsid w:val="001771BC"/>
    <w:rsid w:val="001771D4"/>
    <w:rsid w:val="001816A1"/>
    <w:rsid w:val="00182C9A"/>
    <w:rsid w:val="001848CD"/>
    <w:rsid w:val="00185709"/>
    <w:rsid w:val="00192119"/>
    <w:rsid w:val="00196E5A"/>
    <w:rsid w:val="00196E9A"/>
    <w:rsid w:val="001A0FF2"/>
    <w:rsid w:val="001A1BA9"/>
    <w:rsid w:val="001A32B1"/>
    <w:rsid w:val="001B0330"/>
    <w:rsid w:val="001B3E1B"/>
    <w:rsid w:val="001B45DE"/>
    <w:rsid w:val="001B6839"/>
    <w:rsid w:val="001B7394"/>
    <w:rsid w:val="001B742E"/>
    <w:rsid w:val="001C179B"/>
    <w:rsid w:val="001C1FF5"/>
    <w:rsid w:val="001C2EAB"/>
    <w:rsid w:val="001C3880"/>
    <w:rsid w:val="001C4364"/>
    <w:rsid w:val="001C5BA9"/>
    <w:rsid w:val="001C5BFD"/>
    <w:rsid w:val="001C73C0"/>
    <w:rsid w:val="001D6257"/>
    <w:rsid w:val="001E24B3"/>
    <w:rsid w:val="001E526F"/>
    <w:rsid w:val="001E6C44"/>
    <w:rsid w:val="001F22B7"/>
    <w:rsid w:val="001F2667"/>
    <w:rsid w:val="001F60B7"/>
    <w:rsid w:val="001F71C9"/>
    <w:rsid w:val="001F7332"/>
    <w:rsid w:val="00201B91"/>
    <w:rsid w:val="00204354"/>
    <w:rsid w:val="002054C1"/>
    <w:rsid w:val="002075EA"/>
    <w:rsid w:val="00207633"/>
    <w:rsid w:val="00216011"/>
    <w:rsid w:val="00216D37"/>
    <w:rsid w:val="0022103D"/>
    <w:rsid w:val="002224C6"/>
    <w:rsid w:val="00232556"/>
    <w:rsid w:val="00234321"/>
    <w:rsid w:val="00236EA7"/>
    <w:rsid w:val="00241C03"/>
    <w:rsid w:val="00244CB1"/>
    <w:rsid w:val="00244E15"/>
    <w:rsid w:val="00244EE4"/>
    <w:rsid w:val="002513CE"/>
    <w:rsid w:val="0025149A"/>
    <w:rsid w:val="0025697D"/>
    <w:rsid w:val="00256AE8"/>
    <w:rsid w:val="00257429"/>
    <w:rsid w:val="00262F6F"/>
    <w:rsid w:val="002648E0"/>
    <w:rsid w:val="002652A7"/>
    <w:rsid w:val="0026591A"/>
    <w:rsid w:val="00273340"/>
    <w:rsid w:val="00275CAB"/>
    <w:rsid w:val="00276017"/>
    <w:rsid w:val="00281174"/>
    <w:rsid w:val="00281BD8"/>
    <w:rsid w:val="002825DF"/>
    <w:rsid w:val="00290A2E"/>
    <w:rsid w:val="00291A4A"/>
    <w:rsid w:val="002935FF"/>
    <w:rsid w:val="002A051E"/>
    <w:rsid w:val="002A4D63"/>
    <w:rsid w:val="002A53EB"/>
    <w:rsid w:val="002B5530"/>
    <w:rsid w:val="002B62D5"/>
    <w:rsid w:val="002B7462"/>
    <w:rsid w:val="002C182D"/>
    <w:rsid w:val="002C433B"/>
    <w:rsid w:val="002C492F"/>
    <w:rsid w:val="002D0260"/>
    <w:rsid w:val="002E085B"/>
    <w:rsid w:val="002E1A1F"/>
    <w:rsid w:val="002E1D10"/>
    <w:rsid w:val="002E6666"/>
    <w:rsid w:val="002E7CE8"/>
    <w:rsid w:val="002F210D"/>
    <w:rsid w:val="002F5CAB"/>
    <w:rsid w:val="002F7281"/>
    <w:rsid w:val="003003C1"/>
    <w:rsid w:val="00303ECE"/>
    <w:rsid w:val="00311032"/>
    <w:rsid w:val="00311B65"/>
    <w:rsid w:val="0031213A"/>
    <w:rsid w:val="0032003C"/>
    <w:rsid w:val="00322663"/>
    <w:rsid w:val="00322769"/>
    <w:rsid w:val="00326DD7"/>
    <w:rsid w:val="00330F5F"/>
    <w:rsid w:val="003311E5"/>
    <w:rsid w:val="0033544C"/>
    <w:rsid w:val="0033754B"/>
    <w:rsid w:val="00337E40"/>
    <w:rsid w:val="00340F4C"/>
    <w:rsid w:val="00342CCD"/>
    <w:rsid w:val="00345751"/>
    <w:rsid w:val="00350C59"/>
    <w:rsid w:val="00352A40"/>
    <w:rsid w:val="0035469B"/>
    <w:rsid w:val="003617AB"/>
    <w:rsid w:val="00364780"/>
    <w:rsid w:val="00374F51"/>
    <w:rsid w:val="00376B01"/>
    <w:rsid w:val="0037773A"/>
    <w:rsid w:val="0038167B"/>
    <w:rsid w:val="003834BC"/>
    <w:rsid w:val="00385479"/>
    <w:rsid w:val="0039067D"/>
    <w:rsid w:val="00391F8E"/>
    <w:rsid w:val="003924E6"/>
    <w:rsid w:val="003930E6"/>
    <w:rsid w:val="003A0D63"/>
    <w:rsid w:val="003A2C50"/>
    <w:rsid w:val="003A7BD4"/>
    <w:rsid w:val="003B198E"/>
    <w:rsid w:val="003C1381"/>
    <w:rsid w:val="003C17BE"/>
    <w:rsid w:val="003C2D3B"/>
    <w:rsid w:val="003D24D7"/>
    <w:rsid w:val="003D3322"/>
    <w:rsid w:val="003D379C"/>
    <w:rsid w:val="003D6E37"/>
    <w:rsid w:val="003D721A"/>
    <w:rsid w:val="003E03FF"/>
    <w:rsid w:val="003E4299"/>
    <w:rsid w:val="003E59C5"/>
    <w:rsid w:val="003E74F2"/>
    <w:rsid w:val="003F4311"/>
    <w:rsid w:val="003F4878"/>
    <w:rsid w:val="003F5F79"/>
    <w:rsid w:val="003F62EE"/>
    <w:rsid w:val="004019BE"/>
    <w:rsid w:val="00402430"/>
    <w:rsid w:val="00404FA0"/>
    <w:rsid w:val="00405289"/>
    <w:rsid w:val="00405A61"/>
    <w:rsid w:val="00410772"/>
    <w:rsid w:val="00415C05"/>
    <w:rsid w:val="00420AA1"/>
    <w:rsid w:val="004231C1"/>
    <w:rsid w:val="00424F5C"/>
    <w:rsid w:val="0043309B"/>
    <w:rsid w:val="00433942"/>
    <w:rsid w:val="00433D8C"/>
    <w:rsid w:val="00437D50"/>
    <w:rsid w:val="00440E63"/>
    <w:rsid w:val="00442EE9"/>
    <w:rsid w:val="004443EA"/>
    <w:rsid w:val="004477C0"/>
    <w:rsid w:val="00450A9E"/>
    <w:rsid w:val="0045636F"/>
    <w:rsid w:val="00460780"/>
    <w:rsid w:val="004647AD"/>
    <w:rsid w:val="004663EE"/>
    <w:rsid w:val="004679EF"/>
    <w:rsid w:val="00472BF5"/>
    <w:rsid w:val="004730D6"/>
    <w:rsid w:val="00473BF0"/>
    <w:rsid w:val="00473FA8"/>
    <w:rsid w:val="00474063"/>
    <w:rsid w:val="00476DC3"/>
    <w:rsid w:val="00476EF2"/>
    <w:rsid w:val="004771FA"/>
    <w:rsid w:val="00480799"/>
    <w:rsid w:val="00481D63"/>
    <w:rsid w:val="00482360"/>
    <w:rsid w:val="004827F0"/>
    <w:rsid w:val="004832E2"/>
    <w:rsid w:val="004858AB"/>
    <w:rsid w:val="00485D65"/>
    <w:rsid w:val="00490831"/>
    <w:rsid w:val="00493C1E"/>
    <w:rsid w:val="00496189"/>
    <w:rsid w:val="004976CE"/>
    <w:rsid w:val="00497E2D"/>
    <w:rsid w:val="004A184C"/>
    <w:rsid w:val="004A45B9"/>
    <w:rsid w:val="004B1662"/>
    <w:rsid w:val="004B2C7C"/>
    <w:rsid w:val="004B475C"/>
    <w:rsid w:val="004B58C7"/>
    <w:rsid w:val="004B6BFE"/>
    <w:rsid w:val="004C1B6F"/>
    <w:rsid w:val="004C5296"/>
    <w:rsid w:val="004D05E0"/>
    <w:rsid w:val="004D19AE"/>
    <w:rsid w:val="004D49ED"/>
    <w:rsid w:val="004D5A7E"/>
    <w:rsid w:val="004D7C2D"/>
    <w:rsid w:val="004E4283"/>
    <w:rsid w:val="004E497E"/>
    <w:rsid w:val="004F4889"/>
    <w:rsid w:val="004F640E"/>
    <w:rsid w:val="004F7019"/>
    <w:rsid w:val="004F7658"/>
    <w:rsid w:val="00502579"/>
    <w:rsid w:val="00502E2B"/>
    <w:rsid w:val="005066D9"/>
    <w:rsid w:val="005078F4"/>
    <w:rsid w:val="005117B5"/>
    <w:rsid w:val="005121D2"/>
    <w:rsid w:val="005137BF"/>
    <w:rsid w:val="00514D65"/>
    <w:rsid w:val="005160BF"/>
    <w:rsid w:val="0052013D"/>
    <w:rsid w:val="00525599"/>
    <w:rsid w:val="00525AD7"/>
    <w:rsid w:val="00533E32"/>
    <w:rsid w:val="005350CC"/>
    <w:rsid w:val="00536224"/>
    <w:rsid w:val="00540338"/>
    <w:rsid w:val="0054303C"/>
    <w:rsid w:val="005433FA"/>
    <w:rsid w:val="00544069"/>
    <w:rsid w:val="00545219"/>
    <w:rsid w:val="005454A4"/>
    <w:rsid w:val="005502C0"/>
    <w:rsid w:val="00551DF0"/>
    <w:rsid w:val="00554106"/>
    <w:rsid w:val="00554315"/>
    <w:rsid w:val="0055658F"/>
    <w:rsid w:val="005621F2"/>
    <w:rsid w:val="00562A91"/>
    <w:rsid w:val="00566BE4"/>
    <w:rsid w:val="00570815"/>
    <w:rsid w:val="005753B3"/>
    <w:rsid w:val="00581A7F"/>
    <w:rsid w:val="0058247A"/>
    <w:rsid w:val="00582BE7"/>
    <w:rsid w:val="00584602"/>
    <w:rsid w:val="00590B9B"/>
    <w:rsid w:val="005962DD"/>
    <w:rsid w:val="00597895"/>
    <w:rsid w:val="005A2227"/>
    <w:rsid w:val="005A6928"/>
    <w:rsid w:val="005B0E50"/>
    <w:rsid w:val="005B78DB"/>
    <w:rsid w:val="005C069E"/>
    <w:rsid w:val="005C319C"/>
    <w:rsid w:val="005C4C3F"/>
    <w:rsid w:val="005C750C"/>
    <w:rsid w:val="005D0085"/>
    <w:rsid w:val="005D099B"/>
    <w:rsid w:val="005D2768"/>
    <w:rsid w:val="005D2F74"/>
    <w:rsid w:val="005D3E7F"/>
    <w:rsid w:val="005E558A"/>
    <w:rsid w:val="005E58AA"/>
    <w:rsid w:val="005E7E7E"/>
    <w:rsid w:val="005F457C"/>
    <w:rsid w:val="005F550E"/>
    <w:rsid w:val="005F7CFE"/>
    <w:rsid w:val="006036CF"/>
    <w:rsid w:val="006046F9"/>
    <w:rsid w:val="006161FB"/>
    <w:rsid w:val="00620AA5"/>
    <w:rsid w:val="00620EB9"/>
    <w:rsid w:val="006214A7"/>
    <w:rsid w:val="00622506"/>
    <w:rsid w:val="006235C6"/>
    <w:rsid w:val="00624454"/>
    <w:rsid w:val="006272C3"/>
    <w:rsid w:val="0062770E"/>
    <w:rsid w:val="00627959"/>
    <w:rsid w:val="00631FA4"/>
    <w:rsid w:val="00633FD2"/>
    <w:rsid w:val="006356BE"/>
    <w:rsid w:val="00635FB1"/>
    <w:rsid w:val="00642ACE"/>
    <w:rsid w:val="00645A75"/>
    <w:rsid w:val="00653EBB"/>
    <w:rsid w:val="00656F96"/>
    <w:rsid w:val="00660EA9"/>
    <w:rsid w:val="00662AED"/>
    <w:rsid w:val="00662DF6"/>
    <w:rsid w:val="006639DB"/>
    <w:rsid w:val="00670055"/>
    <w:rsid w:val="00670755"/>
    <w:rsid w:val="00677AEE"/>
    <w:rsid w:val="00687D08"/>
    <w:rsid w:val="006937A4"/>
    <w:rsid w:val="00694F13"/>
    <w:rsid w:val="006A44DB"/>
    <w:rsid w:val="006A570F"/>
    <w:rsid w:val="006B0801"/>
    <w:rsid w:val="006B331C"/>
    <w:rsid w:val="006B4084"/>
    <w:rsid w:val="006B7482"/>
    <w:rsid w:val="006C0831"/>
    <w:rsid w:val="006C25A9"/>
    <w:rsid w:val="006C5FA7"/>
    <w:rsid w:val="006E21D7"/>
    <w:rsid w:val="006E6D1D"/>
    <w:rsid w:val="006F077F"/>
    <w:rsid w:val="006F086E"/>
    <w:rsid w:val="006F3DBB"/>
    <w:rsid w:val="006F4726"/>
    <w:rsid w:val="006F6522"/>
    <w:rsid w:val="006F7D0F"/>
    <w:rsid w:val="007007EE"/>
    <w:rsid w:val="0070291D"/>
    <w:rsid w:val="0070596D"/>
    <w:rsid w:val="00710C84"/>
    <w:rsid w:val="00711658"/>
    <w:rsid w:val="007136AC"/>
    <w:rsid w:val="00714D40"/>
    <w:rsid w:val="00716B41"/>
    <w:rsid w:val="00717045"/>
    <w:rsid w:val="00717CF8"/>
    <w:rsid w:val="007238A8"/>
    <w:rsid w:val="00723AF7"/>
    <w:rsid w:val="00723C7B"/>
    <w:rsid w:val="007248BE"/>
    <w:rsid w:val="007336C3"/>
    <w:rsid w:val="00740F43"/>
    <w:rsid w:val="0074476D"/>
    <w:rsid w:val="007460DC"/>
    <w:rsid w:val="0074687D"/>
    <w:rsid w:val="00752DEA"/>
    <w:rsid w:val="0076137E"/>
    <w:rsid w:val="00761E70"/>
    <w:rsid w:val="00766E51"/>
    <w:rsid w:val="00771908"/>
    <w:rsid w:val="00774D3D"/>
    <w:rsid w:val="00774F4B"/>
    <w:rsid w:val="007768CC"/>
    <w:rsid w:val="00781D2F"/>
    <w:rsid w:val="007863F5"/>
    <w:rsid w:val="00791B8A"/>
    <w:rsid w:val="0079307C"/>
    <w:rsid w:val="0079342F"/>
    <w:rsid w:val="0079403F"/>
    <w:rsid w:val="0079645E"/>
    <w:rsid w:val="007A18C2"/>
    <w:rsid w:val="007A28F6"/>
    <w:rsid w:val="007A292F"/>
    <w:rsid w:val="007B27EF"/>
    <w:rsid w:val="007B43AD"/>
    <w:rsid w:val="007B55D3"/>
    <w:rsid w:val="007C1D7B"/>
    <w:rsid w:val="007C4303"/>
    <w:rsid w:val="007C531F"/>
    <w:rsid w:val="007D1376"/>
    <w:rsid w:val="007D231E"/>
    <w:rsid w:val="007D271B"/>
    <w:rsid w:val="007D4996"/>
    <w:rsid w:val="007D6423"/>
    <w:rsid w:val="007D6D72"/>
    <w:rsid w:val="007D772B"/>
    <w:rsid w:val="007D7A0D"/>
    <w:rsid w:val="007E1E16"/>
    <w:rsid w:val="007E346A"/>
    <w:rsid w:val="007E35E7"/>
    <w:rsid w:val="007E63DB"/>
    <w:rsid w:val="007E7085"/>
    <w:rsid w:val="007F0237"/>
    <w:rsid w:val="007F0778"/>
    <w:rsid w:val="007F24DE"/>
    <w:rsid w:val="007F2DA8"/>
    <w:rsid w:val="007F4E72"/>
    <w:rsid w:val="007F56DE"/>
    <w:rsid w:val="00803FA7"/>
    <w:rsid w:val="00805047"/>
    <w:rsid w:val="00805092"/>
    <w:rsid w:val="00810A57"/>
    <w:rsid w:val="00812BF7"/>
    <w:rsid w:val="00814012"/>
    <w:rsid w:val="008235C2"/>
    <w:rsid w:val="00823D57"/>
    <w:rsid w:val="0082794C"/>
    <w:rsid w:val="00831099"/>
    <w:rsid w:val="00832DD2"/>
    <w:rsid w:val="008417B3"/>
    <w:rsid w:val="00842F00"/>
    <w:rsid w:val="00845198"/>
    <w:rsid w:val="00850661"/>
    <w:rsid w:val="00854CCF"/>
    <w:rsid w:val="008565C9"/>
    <w:rsid w:val="0086255E"/>
    <w:rsid w:val="0086360B"/>
    <w:rsid w:val="008669B5"/>
    <w:rsid w:val="00871464"/>
    <w:rsid w:val="008760A4"/>
    <w:rsid w:val="00876A3D"/>
    <w:rsid w:val="008777CC"/>
    <w:rsid w:val="00885156"/>
    <w:rsid w:val="00886225"/>
    <w:rsid w:val="0089199F"/>
    <w:rsid w:val="00891BAB"/>
    <w:rsid w:val="008929DA"/>
    <w:rsid w:val="008941EF"/>
    <w:rsid w:val="008A6D52"/>
    <w:rsid w:val="008B2F16"/>
    <w:rsid w:val="008C1FCF"/>
    <w:rsid w:val="008C2B4C"/>
    <w:rsid w:val="008C5A4E"/>
    <w:rsid w:val="008D1E6A"/>
    <w:rsid w:val="008D3B76"/>
    <w:rsid w:val="008D4C6C"/>
    <w:rsid w:val="008D7FD6"/>
    <w:rsid w:val="008F4DEC"/>
    <w:rsid w:val="008F508A"/>
    <w:rsid w:val="008F60DF"/>
    <w:rsid w:val="009007AA"/>
    <w:rsid w:val="00904454"/>
    <w:rsid w:val="00905A2D"/>
    <w:rsid w:val="009062D3"/>
    <w:rsid w:val="009202F3"/>
    <w:rsid w:val="00920E6D"/>
    <w:rsid w:val="00926017"/>
    <w:rsid w:val="00926C71"/>
    <w:rsid w:val="00927902"/>
    <w:rsid w:val="00930C23"/>
    <w:rsid w:val="009311C4"/>
    <w:rsid w:val="00931B62"/>
    <w:rsid w:val="00932D2B"/>
    <w:rsid w:val="00936591"/>
    <w:rsid w:val="00937045"/>
    <w:rsid w:val="00943A60"/>
    <w:rsid w:val="009445F1"/>
    <w:rsid w:val="00952023"/>
    <w:rsid w:val="009527D5"/>
    <w:rsid w:val="00953594"/>
    <w:rsid w:val="00954944"/>
    <w:rsid w:val="0095660D"/>
    <w:rsid w:val="00961F3B"/>
    <w:rsid w:val="00961FA4"/>
    <w:rsid w:val="00962025"/>
    <w:rsid w:val="00967709"/>
    <w:rsid w:val="00973D78"/>
    <w:rsid w:val="00981293"/>
    <w:rsid w:val="009819AE"/>
    <w:rsid w:val="00985470"/>
    <w:rsid w:val="00987CF2"/>
    <w:rsid w:val="00991CC1"/>
    <w:rsid w:val="00991EE3"/>
    <w:rsid w:val="0099252F"/>
    <w:rsid w:val="00992721"/>
    <w:rsid w:val="00995ED3"/>
    <w:rsid w:val="00996A0E"/>
    <w:rsid w:val="009A1E76"/>
    <w:rsid w:val="009A3010"/>
    <w:rsid w:val="009A4F60"/>
    <w:rsid w:val="009A51D7"/>
    <w:rsid w:val="009B0D72"/>
    <w:rsid w:val="009B13C9"/>
    <w:rsid w:val="009B3FF4"/>
    <w:rsid w:val="009B461F"/>
    <w:rsid w:val="009C36F2"/>
    <w:rsid w:val="009C51A7"/>
    <w:rsid w:val="009C71D2"/>
    <w:rsid w:val="009D1416"/>
    <w:rsid w:val="009D3B37"/>
    <w:rsid w:val="009D3B91"/>
    <w:rsid w:val="009D498E"/>
    <w:rsid w:val="009D5B45"/>
    <w:rsid w:val="009D7D1C"/>
    <w:rsid w:val="009E1324"/>
    <w:rsid w:val="009E2F6E"/>
    <w:rsid w:val="009E3729"/>
    <w:rsid w:val="009E3C35"/>
    <w:rsid w:val="009E4CCF"/>
    <w:rsid w:val="009F136E"/>
    <w:rsid w:val="009F1F56"/>
    <w:rsid w:val="009F25F5"/>
    <w:rsid w:val="009F61A6"/>
    <w:rsid w:val="009F7723"/>
    <w:rsid w:val="00A00378"/>
    <w:rsid w:val="00A027E0"/>
    <w:rsid w:val="00A11177"/>
    <w:rsid w:val="00A1332F"/>
    <w:rsid w:val="00A142C3"/>
    <w:rsid w:val="00A16087"/>
    <w:rsid w:val="00A16ED9"/>
    <w:rsid w:val="00A20C0F"/>
    <w:rsid w:val="00A21527"/>
    <w:rsid w:val="00A22535"/>
    <w:rsid w:val="00A23464"/>
    <w:rsid w:val="00A30513"/>
    <w:rsid w:val="00A3119E"/>
    <w:rsid w:val="00A3671F"/>
    <w:rsid w:val="00A42F99"/>
    <w:rsid w:val="00A430C0"/>
    <w:rsid w:val="00A4427E"/>
    <w:rsid w:val="00A44A53"/>
    <w:rsid w:val="00A45C43"/>
    <w:rsid w:val="00A5063A"/>
    <w:rsid w:val="00A51397"/>
    <w:rsid w:val="00A53612"/>
    <w:rsid w:val="00A5653B"/>
    <w:rsid w:val="00A61FE0"/>
    <w:rsid w:val="00A63898"/>
    <w:rsid w:val="00A67F68"/>
    <w:rsid w:val="00A720FD"/>
    <w:rsid w:val="00A773A3"/>
    <w:rsid w:val="00A80CA3"/>
    <w:rsid w:val="00A85761"/>
    <w:rsid w:val="00A9088A"/>
    <w:rsid w:val="00A90A66"/>
    <w:rsid w:val="00A90E40"/>
    <w:rsid w:val="00A92BFF"/>
    <w:rsid w:val="00A94E88"/>
    <w:rsid w:val="00A97941"/>
    <w:rsid w:val="00AA120F"/>
    <w:rsid w:val="00AA4B7C"/>
    <w:rsid w:val="00AA5A00"/>
    <w:rsid w:val="00AB0017"/>
    <w:rsid w:val="00AB161E"/>
    <w:rsid w:val="00AB1A5A"/>
    <w:rsid w:val="00AC091B"/>
    <w:rsid w:val="00AC1176"/>
    <w:rsid w:val="00AC14B9"/>
    <w:rsid w:val="00AC29C8"/>
    <w:rsid w:val="00AC3865"/>
    <w:rsid w:val="00AC75EC"/>
    <w:rsid w:val="00AD20B6"/>
    <w:rsid w:val="00AD79A6"/>
    <w:rsid w:val="00AE4C4A"/>
    <w:rsid w:val="00AE70C4"/>
    <w:rsid w:val="00AE765F"/>
    <w:rsid w:val="00AF5437"/>
    <w:rsid w:val="00AF62D8"/>
    <w:rsid w:val="00AF7A5D"/>
    <w:rsid w:val="00B00015"/>
    <w:rsid w:val="00B0559D"/>
    <w:rsid w:val="00B06822"/>
    <w:rsid w:val="00B11FCD"/>
    <w:rsid w:val="00B147E2"/>
    <w:rsid w:val="00B219F9"/>
    <w:rsid w:val="00B22B99"/>
    <w:rsid w:val="00B23791"/>
    <w:rsid w:val="00B245B6"/>
    <w:rsid w:val="00B3003C"/>
    <w:rsid w:val="00B32A02"/>
    <w:rsid w:val="00B34B1F"/>
    <w:rsid w:val="00B45B80"/>
    <w:rsid w:val="00B47C27"/>
    <w:rsid w:val="00B502A7"/>
    <w:rsid w:val="00B51013"/>
    <w:rsid w:val="00B5198B"/>
    <w:rsid w:val="00B52651"/>
    <w:rsid w:val="00B54D6F"/>
    <w:rsid w:val="00B553A3"/>
    <w:rsid w:val="00B55F32"/>
    <w:rsid w:val="00B579E5"/>
    <w:rsid w:val="00B60DD6"/>
    <w:rsid w:val="00B6394A"/>
    <w:rsid w:val="00B64651"/>
    <w:rsid w:val="00B66D2F"/>
    <w:rsid w:val="00B70007"/>
    <w:rsid w:val="00B72D93"/>
    <w:rsid w:val="00B7307C"/>
    <w:rsid w:val="00B74065"/>
    <w:rsid w:val="00B80027"/>
    <w:rsid w:val="00B82063"/>
    <w:rsid w:val="00B835A7"/>
    <w:rsid w:val="00B8766D"/>
    <w:rsid w:val="00B87D5E"/>
    <w:rsid w:val="00B87F89"/>
    <w:rsid w:val="00B90860"/>
    <w:rsid w:val="00B90A8A"/>
    <w:rsid w:val="00B9390A"/>
    <w:rsid w:val="00BA05C2"/>
    <w:rsid w:val="00BA3E12"/>
    <w:rsid w:val="00BA41D6"/>
    <w:rsid w:val="00BB225B"/>
    <w:rsid w:val="00BB6469"/>
    <w:rsid w:val="00BB6845"/>
    <w:rsid w:val="00BC0B10"/>
    <w:rsid w:val="00BC22A8"/>
    <w:rsid w:val="00BC37ED"/>
    <w:rsid w:val="00BD1CA5"/>
    <w:rsid w:val="00BD2550"/>
    <w:rsid w:val="00BD570D"/>
    <w:rsid w:val="00BE587C"/>
    <w:rsid w:val="00BE5C2C"/>
    <w:rsid w:val="00BE6BCF"/>
    <w:rsid w:val="00BF2889"/>
    <w:rsid w:val="00BF3665"/>
    <w:rsid w:val="00BF5146"/>
    <w:rsid w:val="00BF5FB4"/>
    <w:rsid w:val="00BF7622"/>
    <w:rsid w:val="00BF7C0E"/>
    <w:rsid w:val="00C01500"/>
    <w:rsid w:val="00C1710F"/>
    <w:rsid w:val="00C17676"/>
    <w:rsid w:val="00C204E9"/>
    <w:rsid w:val="00C2217A"/>
    <w:rsid w:val="00C246B2"/>
    <w:rsid w:val="00C24991"/>
    <w:rsid w:val="00C25E50"/>
    <w:rsid w:val="00C269D1"/>
    <w:rsid w:val="00C35708"/>
    <w:rsid w:val="00C40442"/>
    <w:rsid w:val="00C42AC3"/>
    <w:rsid w:val="00C44251"/>
    <w:rsid w:val="00C4433F"/>
    <w:rsid w:val="00C45988"/>
    <w:rsid w:val="00C5041B"/>
    <w:rsid w:val="00C54B5D"/>
    <w:rsid w:val="00C60803"/>
    <w:rsid w:val="00C61851"/>
    <w:rsid w:val="00C621B7"/>
    <w:rsid w:val="00C62917"/>
    <w:rsid w:val="00C63027"/>
    <w:rsid w:val="00C70971"/>
    <w:rsid w:val="00C71829"/>
    <w:rsid w:val="00C760CF"/>
    <w:rsid w:val="00C76C0B"/>
    <w:rsid w:val="00C90D83"/>
    <w:rsid w:val="00C96F2F"/>
    <w:rsid w:val="00CA1236"/>
    <w:rsid w:val="00CA32D1"/>
    <w:rsid w:val="00CB2DB5"/>
    <w:rsid w:val="00CB380F"/>
    <w:rsid w:val="00CB78A0"/>
    <w:rsid w:val="00CB7ADB"/>
    <w:rsid w:val="00CD08A9"/>
    <w:rsid w:val="00CD106D"/>
    <w:rsid w:val="00CD1B42"/>
    <w:rsid w:val="00CD259B"/>
    <w:rsid w:val="00CD3222"/>
    <w:rsid w:val="00CD3676"/>
    <w:rsid w:val="00CD7BBA"/>
    <w:rsid w:val="00CE1625"/>
    <w:rsid w:val="00CE31CC"/>
    <w:rsid w:val="00CF11DE"/>
    <w:rsid w:val="00CF5326"/>
    <w:rsid w:val="00CF5772"/>
    <w:rsid w:val="00D01046"/>
    <w:rsid w:val="00D024F4"/>
    <w:rsid w:val="00D0353D"/>
    <w:rsid w:val="00D06E6C"/>
    <w:rsid w:val="00D07876"/>
    <w:rsid w:val="00D123AA"/>
    <w:rsid w:val="00D14ED2"/>
    <w:rsid w:val="00D156E9"/>
    <w:rsid w:val="00D2520C"/>
    <w:rsid w:val="00D338A0"/>
    <w:rsid w:val="00D342D3"/>
    <w:rsid w:val="00D343CB"/>
    <w:rsid w:val="00D37E78"/>
    <w:rsid w:val="00D44519"/>
    <w:rsid w:val="00D44B8D"/>
    <w:rsid w:val="00D47683"/>
    <w:rsid w:val="00D511D2"/>
    <w:rsid w:val="00D516AB"/>
    <w:rsid w:val="00D52B99"/>
    <w:rsid w:val="00D52C0F"/>
    <w:rsid w:val="00D534BA"/>
    <w:rsid w:val="00D550D0"/>
    <w:rsid w:val="00D60FCE"/>
    <w:rsid w:val="00D77002"/>
    <w:rsid w:val="00D7765F"/>
    <w:rsid w:val="00D812EA"/>
    <w:rsid w:val="00D843EF"/>
    <w:rsid w:val="00D855D5"/>
    <w:rsid w:val="00D90F51"/>
    <w:rsid w:val="00D93F6F"/>
    <w:rsid w:val="00D951F0"/>
    <w:rsid w:val="00D96174"/>
    <w:rsid w:val="00DA15CD"/>
    <w:rsid w:val="00DA1E52"/>
    <w:rsid w:val="00DA2497"/>
    <w:rsid w:val="00DA2785"/>
    <w:rsid w:val="00DA3298"/>
    <w:rsid w:val="00DA4A66"/>
    <w:rsid w:val="00DB2030"/>
    <w:rsid w:val="00DB51DB"/>
    <w:rsid w:val="00DC1C7F"/>
    <w:rsid w:val="00DC2367"/>
    <w:rsid w:val="00DC37CD"/>
    <w:rsid w:val="00DD2A4D"/>
    <w:rsid w:val="00DD37DB"/>
    <w:rsid w:val="00DD6DC7"/>
    <w:rsid w:val="00DE7DFD"/>
    <w:rsid w:val="00DF000E"/>
    <w:rsid w:val="00DF2157"/>
    <w:rsid w:val="00DF434C"/>
    <w:rsid w:val="00DF7445"/>
    <w:rsid w:val="00DF75FC"/>
    <w:rsid w:val="00E01963"/>
    <w:rsid w:val="00E01F09"/>
    <w:rsid w:val="00E11EFC"/>
    <w:rsid w:val="00E1239C"/>
    <w:rsid w:val="00E1624C"/>
    <w:rsid w:val="00E16530"/>
    <w:rsid w:val="00E17D56"/>
    <w:rsid w:val="00E20F21"/>
    <w:rsid w:val="00E21D0D"/>
    <w:rsid w:val="00E24478"/>
    <w:rsid w:val="00E27D91"/>
    <w:rsid w:val="00E334C7"/>
    <w:rsid w:val="00E36D27"/>
    <w:rsid w:val="00E40A44"/>
    <w:rsid w:val="00E45D1D"/>
    <w:rsid w:val="00E50A83"/>
    <w:rsid w:val="00E57FCA"/>
    <w:rsid w:val="00E61018"/>
    <w:rsid w:val="00E6469D"/>
    <w:rsid w:val="00E716B5"/>
    <w:rsid w:val="00E7366C"/>
    <w:rsid w:val="00E74D9F"/>
    <w:rsid w:val="00E75443"/>
    <w:rsid w:val="00E76116"/>
    <w:rsid w:val="00E82FD0"/>
    <w:rsid w:val="00E852E0"/>
    <w:rsid w:val="00E864EA"/>
    <w:rsid w:val="00E8769E"/>
    <w:rsid w:val="00E926CF"/>
    <w:rsid w:val="00E928B5"/>
    <w:rsid w:val="00E92BE2"/>
    <w:rsid w:val="00E95EBE"/>
    <w:rsid w:val="00E974C6"/>
    <w:rsid w:val="00EA134F"/>
    <w:rsid w:val="00EA147D"/>
    <w:rsid w:val="00EA4BE5"/>
    <w:rsid w:val="00EA7728"/>
    <w:rsid w:val="00EB48A4"/>
    <w:rsid w:val="00EB5588"/>
    <w:rsid w:val="00EC0120"/>
    <w:rsid w:val="00EC1AE7"/>
    <w:rsid w:val="00EC29D1"/>
    <w:rsid w:val="00EC5BC8"/>
    <w:rsid w:val="00EC6DC8"/>
    <w:rsid w:val="00EC6F5F"/>
    <w:rsid w:val="00ED1602"/>
    <w:rsid w:val="00EE0DE9"/>
    <w:rsid w:val="00EE1B94"/>
    <w:rsid w:val="00EE2AB2"/>
    <w:rsid w:val="00EE4402"/>
    <w:rsid w:val="00EE6E0A"/>
    <w:rsid w:val="00EE7429"/>
    <w:rsid w:val="00EF0DD3"/>
    <w:rsid w:val="00EF1BD7"/>
    <w:rsid w:val="00EF28B4"/>
    <w:rsid w:val="00EF5541"/>
    <w:rsid w:val="00EF583B"/>
    <w:rsid w:val="00EF6001"/>
    <w:rsid w:val="00F0180B"/>
    <w:rsid w:val="00F02A16"/>
    <w:rsid w:val="00F052CF"/>
    <w:rsid w:val="00F06897"/>
    <w:rsid w:val="00F0748B"/>
    <w:rsid w:val="00F104DC"/>
    <w:rsid w:val="00F113DD"/>
    <w:rsid w:val="00F114D5"/>
    <w:rsid w:val="00F1577E"/>
    <w:rsid w:val="00F239B9"/>
    <w:rsid w:val="00F251D7"/>
    <w:rsid w:val="00F25244"/>
    <w:rsid w:val="00F30B7B"/>
    <w:rsid w:val="00F31137"/>
    <w:rsid w:val="00F32008"/>
    <w:rsid w:val="00F40511"/>
    <w:rsid w:val="00F42B2F"/>
    <w:rsid w:val="00F44815"/>
    <w:rsid w:val="00F45354"/>
    <w:rsid w:val="00F46007"/>
    <w:rsid w:val="00F4731A"/>
    <w:rsid w:val="00F47D67"/>
    <w:rsid w:val="00F53DFF"/>
    <w:rsid w:val="00F57D2A"/>
    <w:rsid w:val="00F6015F"/>
    <w:rsid w:val="00F60BAA"/>
    <w:rsid w:val="00F623FE"/>
    <w:rsid w:val="00F64080"/>
    <w:rsid w:val="00F66C46"/>
    <w:rsid w:val="00F678C6"/>
    <w:rsid w:val="00F76531"/>
    <w:rsid w:val="00F76C58"/>
    <w:rsid w:val="00F8233E"/>
    <w:rsid w:val="00F835F1"/>
    <w:rsid w:val="00F83DF1"/>
    <w:rsid w:val="00F85303"/>
    <w:rsid w:val="00F87C0B"/>
    <w:rsid w:val="00F900A7"/>
    <w:rsid w:val="00F9186B"/>
    <w:rsid w:val="00F91CB5"/>
    <w:rsid w:val="00F9233E"/>
    <w:rsid w:val="00F94224"/>
    <w:rsid w:val="00F9513D"/>
    <w:rsid w:val="00F9700F"/>
    <w:rsid w:val="00FA1DB0"/>
    <w:rsid w:val="00FA5344"/>
    <w:rsid w:val="00FA5484"/>
    <w:rsid w:val="00FB1319"/>
    <w:rsid w:val="00FB300E"/>
    <w:rsid w:val="00FB5F3C"/>
    <w:rsid w:val="00FC0201"/>
    <w:rsid w:val="00FC14BE"/>
    <w:rsid w:val="00FC1A90"/>
    <w:rsid w:val="00FC2EB9"/>
    <w:rsid w:val="00FC5F11"/>
    <w:rsid w:val="00FD1CEE"/>
    <w:rsid w:val="00FD28BF"/>
    <w:rsid w:val="00FD3263"/>
    <w:rsid w:val="00FD7A01"/>
    <w:rsid w:val="00FE1464"/>
    <w:rsid w:val="00FE6BAB"/>
    <w:rsid w:val="00FF0343"/>
    <w:rsid w:val="00FF1B19"/>
    <w:rsid w:val="00FF21A2"/>
    <w:rsid w:val="00FF5573"/>
    <w:rsid w:val="00FF7CF0"/>
    <w:rsid w:val="00FF7F6D"/>
    <w:rsid w:val="091A070D"/>
    <w:rsid w:val="1016520A"/>
    <w:rsid w:val="1505614A"/>
    <w:rsid w:val="16CC6617"/>
    <w:rsid w:val="172340EF"/>
    <w:rsid w:val="17F124E3"/>
    <w:rsid w:val="19CB4F9F"/>
    <w:rsid w:val="1AD81A1B"/>
    <w:rsid w:val="1BC63C00"/>
    <w:rsid w:val="202F3E05"/>
    <w:rsid w:val="204244A8"/>
    <w:rsid w:val="24393BF4"/>
    <w:rsid w:val="2F3D2270"/>
    <w:rsid w:val="32230CF6"/>
    <w:rsid w:val="3A930D83"/>
    <w:rsid w:val="3AA54D45"/>
    <w:rsid w:val="3B0D4B9C"/>
    <w:rsid w:val="458A4E95"/>
    <w:rsid w:val="493F3382"/>
    <w:rsid w:val="4AEF58CB"/>
    <w:rsid w:val="4FB71838"/>
    <w:rsid w:val="52CC057C"/>
    <w:rsid w:val="55EA5E0C"/>
    <w:rsid w:val="5C862CAD"/>
    <w:rsid w:val="5D882B50"/>
    <w:rsid w:val="5FBE000A"/>
    <w:rsid w:val="6B04342E"/>
    <w:rsid w:val="6E073808"/>
    <w:rsid w:val="6F1A058D"/>
    <w:rsid w:val="6FF83780"/>
    <w:rsid w:val="707D0A96"/>
    <w:rsid w:val="718D5377"/>
    <w:rsid w:val="71B6070E"/>
    <w:rsid w:val="7387633D"/>
    <w:rsid w:val="74062F1A"/>
    <w:rsid w:val="753702FD"/>
    <w:rsid w:val="7AB861A3"/>
    <w:rsid w:val="7CE30FB3"/>
    <w:rsid w:val="7E281046"/>
  </w:rsids>
  <m:mathPr>
    <m:mathFont m:val="Cambria Math"/>
    <m:brkBin m:val="before"/>
    <m:brkBinSub m:val="--"/>
    <m:smallFrac m:val="0"/>
    <m:dispDef/>
    <m:lMargin m:val="0"/>
    <m:rMargin m:val="0"/>
    <m:defJc m:val="centerGroup"/>
    <m:wrapIndent m:val="1440"/>
    <m:intLim m:val="subSup"/>
    <m:naryLim m:val="undOvr"/>
  </m:mathPr>
  <w:themeFontLang w:val="es-ES_tradnl" w:eastAsia="zh-CN"/>
  <w:clrSchemeMapping w:bg1="light1" w:t1="dark1" w:bg2="light2" w:t2="dark2" w:accent1="accent1" w:accent2="accent2" w:accent3="accent3" w:accent4="accent4" w:accent5="accent5" w:accent6="accent6" w:hyperlink="hyperlink" w:followedHyperlink="followedHyperlink"/>
  <w:shapeDefaults>
    <o:shapedefaults v:ext="edit" spidmax="4100"/>
    <o:shapelayout v:ext="edit">
      <o:idmap v:ext="edit" data="1"/>
    </o:shapelayout>
  </w:shapeDefaults>
  <w:decimalSymbol w:val="."/>
  <w:listSeparator w:val=","/>
  <w14:defaultImageDpi w14:val="32767"/>
  <w15:docId w15:val="{1045D930-419B-4526-80B6-7AF1C222C1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lang w:val="es-MX" w:eastAsia="es-MX"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rFonts w:eastAsiaTheme="minorEastAsia"/>
      <w:sz w:val="24"/>
      <w:szCs w:val="24"/>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comentario">
    <w:name w:val="annotation reference"/>
    <w:basedOn w:val="Fuentedeprrafopredeter"/>
    <w:uiPriority w:val="99"/>
    <w:semiHidden/>
    <w:unhideWhenUsed/>
    <w:qFormat/>
    <w:rPr>
      <w:sz w:val="16"/>
      <w:szCs w:val="16"/>
    </w:rPr>
  </w:style>
  <w:style w:type="character" w:styleId="Refdenotaalpie">
    <w:name w:val="footnote reference"/>
    <w:basedOn w:val="Fuentedeprrafopredeter"/>
    <w:uiPriority w:val="99"/>
    <w:semiHidden/>
    <w:unhideWhenUsed/>
    <w:qFormat/>
    <w:rPr>
      <w:vertAlign w:val="superscript"/>
    </w:rPr>
  </w:style>
  <w:style w:type="character" w:styleId="Hipervnculo">
    <w:name w:val="Hyperlink"/>
    <w:basedOn w:val="Fuentedeprrafopredeter"/>
    <w:uiPriority w:val="99"/>
    <w:unhideWhenUsed/>
    <w:qFormat/>
    <w:rPr>
      <w:color w:val="0563C1" w:themeColor="hyperlink"/>
      <w:u w:val="single"/>
    </w:rPr>
  </w:style>
  <w:style w:type="character" w:styleId="Textoennegrita">
    <w:name w:val="Strong"/>
    <w:basedOn w:val="Fuentedeprrafopredeter"/>
    <w:uiPriority w:val="22"/>
    <w:qFormat/>
    <w:rPr>
      <w:b/>
      <w:bCs/>
    </w:rPr>
  </w:style>
  <w:style w:type="paragraph" w:styleId="Textonotapie">
    <w:name w:val="footnote text"/>
    <w:basedOn w:val="Normal"/>
    <w:link w:val="TextonotapieCar"/>
    <w:uiPriority w:val="99"/>
    <w:semiHidden/>
    <w:unhideWhenUsed/>
    <w:qFormat/>
    <w:rPr>
      <w:sz w:val="20"/>
      <w:szCs w:val="20"/>
    </w:rPr>
  </w:style>
  <w:style w:type="paragraph" w:styleId="Asuntodelcomentario">
    <w:name w:val="annotation subject"/>
    <w:basedOn w:val="Textocomentario"/>
    <w:next w:val="Textocomentario"/>
    <w:link w:val="AsuntodelcomentarioCar"/>
    <w:uiPriority w:val="99"/>
    <w:semiHidden/>
    <w:unhideWhenUsed/>
    <w:qFormat/>
    <w:rPr>
      <w:b/>
      <w:bCs/>
    </w:rPr>
  </w:style>
  <w:style w:type="paragraph" w:styleId="Textocomentario">
    <w:name w:val="annotation text"/>
    <w:basedOn w:val="Normal"/>
    <w:link w:val="TextocomentarioCar"/>
    <w:uiPriority w:val="99"/>
    <w:unhideWhenUsed/>
    <w:qFormat/>
    <w:rPr>
      <w:sz w:val="20"/>
      <w:szCs w:val="20"/>
    </w:rPr>
  </w:style>
  <w:style w:type="paragraph" w:styleId="Textodeglobo">
    <w:name w:val="Balloon Text"/>
    <w:basedOn w:val="Normal"/>
    <w:link w:val="TextodegloboCar"/>
    <w:uiPriority w:val="99"/>
    <w:semiHidden/>
    <w:unhideWhenUsed/>
    <w:qFormat/>
    <w:rPr>
      <w:rFonts w:ascii="Segoe UI" w:hAnsi="Segoe UI" w:cs="Segoe UI"/>
      <w:sz w:val="18"/>
      <w:szCs w:val="18"/>
    </w:rPr>
  </w:style>
  <w:style w:type="paragraph" w:styleId="Encabezado">
    <w:name w:val="header"/>
    <w:basedOn w:val="Normal"/>
    <w:link w:val="EncabezadoCar"/>
    <w:uiPriority w:val="99"/>
    <w:unhideWhenUsed/>
    <w:qFormat/>
    <w:pPr>
      <w:tabs>
        <w:tab w:val="center" w:pos="4419"/>
        <w:tab w:val="right" w:pos="8838"/>
      </w:tabs>
    </w:pPr>
  </w:style>
  <w:style w:type="paragraph" w:styleId="Piedepgina">
    <w:name w:val="footer"/>
    <w:basedOn w:val="Normal"/>
    <w:link w:val="PiedepginaCar"/>
    <w:uiPriority w:val="99"/>
    <w:unhideWhenUsed/>
    <w:qFormat/>
    <w:pPr>
      <w:tabs>
        <w:tab w:val="center" w:pos="4419"/>
        <w:tab w:val="right" w:pos="8838"/>
      </w:tabs>
    </w:pPr>
  </w:style>
  <w:style w:type="character" w:customStyle="1" w:styleId="EncabezadoCar">
    <w:name w:val="Encabezado Car"/>
    <w:basedOn w:val="Fuentedeprrafopredeter"/>
    <w:link w:val="Encabezado"/>
    <w:uiPriority w:val="99"/>
    <w:qFormat/>
    <w:rPr>
      <w:rFonts w:eastAsiaTheme="minorEastAsia"/>
      <w:lang w:eastAsia="es-ES"/>
    </w:rPr>
  </w:style>
  <w:style w:type="character" w:customStyle="1" w:styleId="PiedepginaCar">
    <w:name w:val="Pie de página Car"/>
    <w:basedOn w:val="Fuentedeprrafopredeter"/>
    <w:link w:val="Piedepgina"/>
    <w:uiPriority w:val="99"/>
    <w:qFormat/>
    <w:rPr>
      <w:rFonts w:eastAsiaTheme="minorEastAsia"/>
      <w:lang w:eastAsia="es-ES"/>
    </w:rPr>
  </w:style>
  <w:style w:type="character" w:customStyle="1" w:styleId="TextodegloboCar">
    <w:name w:val="Texto de globo Car"/>
    <w:basedOn w:val="Fuentedeprrafopredeter"/>
    <w:link w:val="Textodeglobo"/>
    <w:uiPriority w:val="99"/>
    <w:semiHidden/>
    <w:qFormat/>
    <w:rPr>
      <w:rFonts w:ascii="Segoe UI" w:eastAsiaTheme="minorEastAsia" w:hAnsi="Segoe UI" w:cs="Segoe UI"/>
      <w:sz w:val="18"/>
      <w:szCs w:val="18"/>
      <w:lang w:eastAsia="es-ES"/>
    </w:rPr>
  </w:style>
  <w:style w:type="paragraph" w:styleId="Prrafodelista">
    <w:name w:val="List Paragraph"/>
    <w:basedOn w:val="Normal"/>
    <w:uiPriority w:val="34"/>
    <w:qFormat/>
    <w:pPr>
      <w:ind w:left="720"/>
      <w:contextualSpacing/>
    </w:pPr>
  </w:style>
  <w:style w:type="character" w:customStyle="1" w:styleId="TextonotapieCar">
    <w:name w:val="Texto nota pie Car"/>
    <w:basedOn w:val="Fuentedeprrafopredeter"/>
    <w:link w:val="Textonotapie"/>
    <w:uiPriority w:val="99"/>
    <w:semiHidden/>
    <w:qFormat/>
    <w:rPr>
      <w:rFonts w:eastAsiaTheme="minorEastAsia"/>
      <w:sz w:val="20"/>
      <w:szCs w:val="20"/>
      <w:lang w:eastAsia="es-ES"/>
    </w:rPr>
  </w:style>
  <w:style w:type="paragraph" w:styleId="Sinespaciado">
    <w:name w:val="No Spacing"/>
    <w:uiPriority w:val="1"/>
    <w:qFormat/>
    <w:rPr>
      <w:rFonts w:ascii="Calibri" w:eastAsia="Calibri" w:hAnsi="Calibri" w:cs="Times New Roman"/>
      <w:sz w:val="22"/>
      <w:szCs w:val="22"/>
      <w:lang w:eastAsia="en-US"/>
    </w:rPr>
  </w:style>
  <w:style w:type="paragraph" w:customStyle="1" w:styleId="Default">
    <w:name w:val="Default"/>
    <w:qFormat/>
    <w:pPr>
      <w:autoSpaceDE w:val="0"/>
      <w:autoSpaceDN w:val="0"/>
      <w:adjustRightInd w:val="0"/>
    </w:pPr>
    <w:rPr>
      <w:rFonts w:ascii="Arial" w:hAnsi="Arial" w:cs="Arial"/>
      <w:color w:val="000000"/>
      <w:sz w:val="24"/>
      <w:szCs w:val="24"/>
      <w:lang w:eastAsia="en-US"/>
    </w:rPr>
  </w:style>
  <w:style w:type="paragraph" w:customStyle="1" w:styleId="Texto">
    <w:name w:val="Texto"/>
    <w:basedOn w:val="Normal"/>
    <w:link w:val="TextoCar"/>
    <w:qFormat/>
    <w:pPr>
      <w:spacing w:after="101" w:line="216" w:lineRule="exact"/>
      <w:ind w:firstLine="288"/>
      <w:jc w:val="both"/>
    </w:pPr>
    <w:rPr>
      <w:rFonts w:ascii="Arial" w:eastAsia="Times New Roman" w:hAnsi="Arial" w:cs="Arial"/>
      <w:sz w:val="18"/>
      <w:szCs w:val="20"/>
      <w:lang w:val="es-ES"/>
    </w:rPr>
  </w:style>
  <w:style w:type="character" w:customStyle="1" w:styleId="TextoCar">
    <w:name w:val="Texto Car"/>
    <w:link w:val="Texto"/>
    <w:qFormat/>
    <w:locked/>
    <w:rPr>
      <w:rFonts w:ascii="Arial" w:eastAsia="Times New Roman" w:hAnsi="Arial" w:cs="Arial"/>
      <w:sz w:val="18"/>
      <w:szCs w:val="20"/>
      <w:lang w:val="es-ES" w:eastAsia="es-ES"/>
    </w:rPr>
  </w:style>
  <w:style w:type="paragraph" w:customStyle="1" w:styleId="corte4fondo">
    <w:name w:val="corte4 fondo"/>
    <w:basedOn w:val="Normal"/>
    <w:qFormat/>
    <w:pPr>
      <w:spacing w:line="360" w:lineRule="auto"/>
      <w:ind w:firstLine="709"/>
      <w:jc w:val="both"/>
    </w:pPr>
    <w:rPr>
      <w:rFonts w:ascii="Arial" w:eastAsia="Times New Roman" w:hAnsi="Arial" w:cs="Times New Roman"/>
      <w:sz w:val="30"/>
      <w:szCs w:val="20"/>
      <w:lang w:eastAsia="es-MX"/>
    </w:rPr>
  </w:style>
  <w:style w:type="character" w:customStyle="1" w:styleId="TextocomentarioCar">
    <w:name w:val="Texto comentario Car"/>
    <w:basedOn w:val="Fuentedeprrafopredeter"/>
    <w:link w:val="Textocomentario"/>
    <w:uiPriority w:val="99"/>
    <w:qFormat/>
    <w:rPr>
      <w:rFonts w:eastAsiaTheme="minorEastAsia"/>
      <w:lang w:eastAsia="es-ES"/>
    </w:rPr>
  </w:style>
  <w:style w:type="character" w:customStyle="1" w:styleId="AsuntodelcomentarioCar">
    <w:name w:val="Asunto del comentario Car"/>
    <w:basedOn w:val="TextocomentarioCar"/>
    <w:link w:val="Asuntodelcomentario"/>
    <w:uiPriority w:val="99"/>
    <w:semiHidden/>
    <w:qFormat/>
    <w:rPr>
      <w:rFonts w:eastAsiaTheme="minorEastAsia"/>
      <w:b/>
      <w:bCs/>
      <w:lang w:eastAsia="es-ES"/>
    </w:rPr>
  </w:style>
  <w:style w:type="paragraph" w:styleId="Subttulo">
    <w:name w:val="Subtitle"/>
    <w:basedOn w:val="Normal"/>
    <w:next w:val="Normal"/>
    <w:link w:val="SubttuloCar"/>
    <w:uiPriority w:val="11"/>
    <w:qFormat/>
    <w:rsid w:val="00E61018"/>
    <w:pPr>
      <w:numPr>
        <w:ilvl w:val="1"/>
      </w:numPr>
      <w:spacing w:after="160"/>
    </w:pPr>
    <w:rPr>
      <w:color w:val="5A5A5A" w:themeColor="text1" w:themeTint="A5"/>
      <w:spacing w:val="15"/>
      <w:sz w:val="22"/>
      <w:szCs w:val="22"/>
    </w:rPr>
  </w:style>
  <w:style w:type="character" w:customStyle="1" w:styleId="SubttuloCar">
    <w:name w:val="Subtítulo Car"/>
    <w:basedOn w:val="Fuentedeprrafopredeter"/>
    <w:link w:val="Subttulo"/>
    <w:uiPriority w:val="11"/>
    <w:rsid w:val="00E61018"/>
    <w:rPr>
      <w:rFonts w:eastAsiaTheme="minorEastAsia"/>
      <w:color w:val="5A5A5A" w:themeColor="text1" w:themeTint="A5"/>
      <w:spacing w:val="15"/>
      <w:sz w:val="22"/>
      <w:szCs w:val="22"/>
      <w:lang w:eastAsia="es-ES"/>
    </w:rPr>
  </w:style>
  <w:style w:type="table" w:styleId="Tablaconcuadrcula">
    <w:name w:val="Table Grid"/>
    <w:basedOn w:val="Tablanormal"/>
    <w:uiPriority w:val="39"/>
    <w:rsid w:val="007D231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1218877">
      <w:bodyDiv w:val="1"/>
      <w:marLeft w:val="0"/>
      <w:marRight w:val="0"/>
      <w:marTop w:val="0"/>
      <w:marBottom w:val="0"/>
      <w:divBdr>
        <w:top w:val="none" w:sz="0" w:space="0" w:color="auto"/>
        <w:left w:val="none" w:sz="0" w:space="0" w:color="auto"/>
        <w:bottom w:val="none" w:sz="0" w:space="0" w:color="auto"/>
        <w:right w:val="none" w:sz="0" w:space="0" w:color="auto"/>
      </w:divBdr>
    </w:div>
    <w:div w:id="718359749">
      <w:bodyDiv w:val="1"/>
      <w:marLeft w:val="0"/>
      <w:marRight w:val="0"/>
      <w:marTop w:val="0"/>
      <w:marBottom w:val="0"/>
      <w:divBdr>
        <w:top w:val="none" w:sz="0" w:space="0" w:color="auto"/>
        <w:left w:val="none" w:sz="0" w:space="0" w:color="auto"/>
        <w:bottom w:val="none" w:sz="0" w:space="0" w:color="auto"/>
        <w:right w:val="none" w:sz="0" w:space="0" w:color="auto"/>
      </w:divBdr>
    </w:div>
    <w:div w:id="841431118">
      <w:bodyDiv w:val="1"/>
      <w:marLeft w:val="0"/>
      <w:marRight w:val="0"/>
      <w:marTop w:val="0"/>
      <w:marBottom w:val="0"/>
      <w:divBdr>
        <w:top w:val="none" w:sz="0" w:space="0" w:color="auto"/>
        <w:left w:val="none" w:sz="0" w:space="0" w:color="auto"/>
        <w:bottom w:val="none" w:sz="0" w:space="0" w:color="auto"/>
        <w:right w:val="none" w:sz="0" w:space="0" w:color="auto"/>
      </w:divBdr>
    </w:div>
    <w:div w:id="130380466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22254D7-C330-4FEA-B51A-B67194DD0C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TotalTime>
  <Pages>10</Pages>
  <Words>4333</Words>
  <Characters>23835</Characters>
  <Application>Microsoft Office Word</Application>
  <DocSecurity>0</DocSecurity>
  <Lines>198</Lines>
  <Paragraphs>56</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28112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Usuario de Microsoft Office</dc:creator>
  <cp:lastModifiedBy>FGESLP</cp:lastModifiedBy>
  <cp:revision>9</cp:revision>
  <cp:lastPrinted>2025-09-04T14:44:00Z</cp:lastPrinted>
  <dcterms:created xsi:type="dcterms:W3CDTF">2025-08-05T16:19:00Z</dcterms:created>
  <dcterms:modified xsi:type="dcterms:W3CDTF">2025-11-12T20:25:00Z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2058-12.2.0.17119</vt:lpwstr>
  </property>
  <property fmtid="{D5CDD505-2E9C-101B-9397-08002B2CF9AE}" pid="3" name="ICV">
    <vt:lpwstr>2079CDD4F9A04498984247549F36F67E_13</vt:lpwstr>
  </property>
</Properties>
</file>