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F36F63">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C71D2F">
        <w:rPr>
          <w:rFonts w:ascii="Arial" w:hAnsi="Arial" w:cs="Arial"/>
          <w:b/>
          <w:sz w:val="24"/>
          <w:szCs w:val="24"/>
        </w:rPr>
        <w:t>noviembre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F36F63">
        <w:rPr>
          <w:rFonts w:ascii="Arial" w:hAnsi="Arial" w:cs="Arial"/>
          <w:b/>
          <w:sz w:val="24"/>
          <w:szCs w:val="24"/>
        </w:rPr>
        <w:t>décima</w:t>
      </w:r>
      <w:r w:rsidR="00C71D2F">
        <w:rPr>
          <w:rFonts w:ascii="Arial" w:hAnsi="Arial" w:cs="Arial"/>
          <w:b/>
          <w:sz w:val="24"/>
          <w:szCs w:val="24"/>
        </w:rPr>
        <w:t xml:space="preserve"> primera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442D8D">
        <w:rPr>
          <w:rFonts w:ascii="Arial" w:hAnsi="Arial" w:cs="Arial"/>
          <w:sz w:val="24"/>
          <w:szCs w:val="24"/>
        </w:rPr>
        <w:t xml:space="preserve">El Fiscal Especializado en Materia de Derechos Humanos licenciado Doroteo Paredes Granado mediante oficio </w:t>
      </w:r>
      <w:r w:rsidR="00442D8D">
        <w:rPr>
          <w:rFonts w:ascii="Arial" w:hAnsi="Arial" w:cs="Arial"/>
          <w:b/>
          <w:sz w:val="24"/>
          <w:szCs w:val="24"/>
        </w:rPr>
        <w:t>FMDH/39</w:t>
      </w:r>
      <w:r w:rsidR="00ED11D2">
        <w:rPr>
          <w:rFonts w:ascii="Arial" w:hAnsi="Arial" w:cs="Arial"/>
          <w:b/>
          <w:sz w:val="24"/>
          <w:szCs w:val="24"/>
        </w:rPr>
        <w:t>71</w:t>
      </w:r>
      <w:r w:rsidR="00442D8D">
        <w:rPr>
          <w:rFonts w:ascii="Arial" w:hAnsi="Arial" w:cs="Arial"/>
          <w:b/>
          <w:sz w:val="24"/>
          <w:szCs w:val="24"/>
        </w:rPr>
        <w:t>/2025</w:t>
      </w:r>
      <w:r w:rsidR="00442D8D" w:rsidRPr="00115CE3">
        <w:rPr>
          <w:rFonts w:ascii="Arial" w:hAnsi="Arial" w:cs="Arial"/>
          <w:b/>
          <w:sz w:val="24"/>
          <w:szCs w:val="24"/>
        </w:rPr>
        <w:t xml:space="preserve"> </w:t>
      </w:r>
      <w:r w:rsidR="00442D8D">
        <w:rPr>
          <w:rFonts w:ascii="Arial" w:hAnsi="Arial" w:cs="Arial"/>
          <w:sz w:val="24"/>
          <w:szCs w:val="24"/>
        </w:rPr>
        <w:t>entrega al Colegiado</w:t>
      </w:r>
      <w:r w:rsidR="00442D8D">
        <w:rPr>
          <w:rFonts w:ascii="Arial" w:hAnsi="Arial" w:cs="Arial"/>
          <w:b/>
          <w:sz w:val="24"/>
          <w:szCs w:val="24"/>
        </w:rPr>
        <w:t xml:space="preserve"> </w:t>
      </w:r>
      <w:r w:rsidR="00442D8D" w:rsidRPr="00115CE3">
        <w:rPr>
          <w:rFonts w:ascii="Arial" w:hAnsi="Arial" w:cs="Arial"/>
          <w:sz w:val="24"/>
          <w:szCs w:val="24"/>
        </w:rPr>
        <w:t xml:space="preserve">el acuerdo de reserva </w:t>
      </w:r>
      <w:r w:rsidR="00442D8D">
        <w:rPr>
          <w:rFonts w:ascii="Arial" w:hAnsi="Arial" w:cs="Arial"/>
          <w:b/>
          <w:sz w:val="24"/>
          <w:szCs w:val="24"/>
        </w:rPr>
        <w:t xml:space="preserve">parcial </w:t>
      </w:r>
      <w:r w:rsidR="00A11979" w:rsidRPr="00A11979">
        <w:rPr>
          <w:rFonts w:ascii="Arial" w:hAnsi="Arial" w:cs="Arial"/>
          <w:b/>
          <w:sz w:val="24"/>
          <w:szCs w:val="24"/>
        </w:rPr>
        <w:t>UILEJA/FMDH/000</w:t>
      </w:r>
      <w:r w:rsidR="00ED11D2">
        <w:rPr>
          <w:rFonts w:ascii="Arial" w:hAnsi="Arial" w:cs="Arial"/>
          <w:b/>
          <w:sz w:val="24"/>
          <w:szCs w:val="24"/>
        </w:rPr>
        <w:t>8</w:t>
      </w:r>
      <w:r w:rsidR="00A11979" w:rsidRPr="00A11979">
        <w:rPr>
          <w:rFonts w:ascii="Arial" w:hAnsi="Arial" w:cs="Arial"/>
          <w:b/>
          <w:sz w:val="24"/>
          <w:szCs w:val="24"/>
        </w:rPr>
        <w:t>/2025-AR</w:t>
      </w:r>
      <w:r w:rsidR="00442D8D">
        <w:rPr>
          <w:rFonts w:ascii="Arial" w:hAnsi="Arial" w:cs="Arial"/>
          <w:sz w:val="24"/>
          <w:szCs w:val="24"/>
        </w:rPr>
        <w:t xml:space="preserve"> que emite </w:t>
      </w:r>
      <w:r w:rsidR="00FC22BE">
        <w:rPr>
          <w:rFonts w:ascii="Arial" w:hAnsi="Arial" w:cs="Arial"/>
          <w:sz w:val="24"/>
          <w:szCs w:val="24"/>
        </w:rPr>
        <w:t>el jefe de la Unidad Especializada en Justicia Penal para Adolescentes Marcos Esteban Aguilar Pérez</w:t>
      </w:r>
      <w:r w:rsidR="00D4742A" w:rsidRPr="00115CE3">
        <w:rPr>
          <w:rFonts w:ascii="Arial" w:hAnsi="Arial" w:cs="Arial"/>
          <w:sz w:val="24"/>
          <w:szCs w:val="24"/>
        </w:rPr>
        <w:t>,</w:t>
      </w:r>
      <w:r w:rsidRPr="00115CE3">
        <w:rPr>
          <w:rFonts w:ascii="Arial" w:hAnsi="Arial" w:cs="Arial"/>
          <w:sz w:val="24"/>
          <w:szCs w:val="24"/>
        </w:rPr>
        <w:t xml:space="preserve"> </w:t>
      </w:r>
      <w:r w:rsidR="00442D8D">
        <w:rPr>
          <w:rFonts w:ascii="Arial" w:hAnsi="Arial" w:cs="Arial"/>
          <w:sz w:val="24"/>
          <w:szCs w:val="24"/>
        </w:rPr>
        <w:t xml:space="preserve"> por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946CC">
        <w:rPr>
          <w:rFonts w:ascii="Arial" w:hAnsi="Arial" w:cs="Arial"/>
          <w:b/>
          <w:sz w:val="24"/>
          <w:szCs w:val="24"/>
        </w:rPr>
        <w:t>4</w:t>
      </w:r>
      <w:r w:rsidR="00ED11D2">
        <w:rPr>
          <w:rFonts w:ascii="Arial" w:hAnsi="Arial" w:cs="Arial"/>
          <w:b/>
          <w:sz w:val="24"/>
          <w:szCs w:val="24"/>
        </w:rPr>
        <w:t>60</w:t>
      </w:r>
      <w:r w:rsidR="0053156B" w:rsidRPr="00115CE3">
        <w:rPr>
          <w:rFonts w:ascii="Arial" w:hAnsi="Arial" w:cs="Arial"/>
          <w:sz w:val="24"/>
          <w:szCs w:val="24"/>
        </w:rPr>
        <w:t>-240469825000</w:t>
      </w:r>
      <w:r w:rsidR="00C946CC">
        <w:rPr>
          <w:rFonts w:ascii="Arial" w:hAnsi="Arial" w:cs="Arial"/>
          <w:b/>
          <w:sz w:val="24"/>
          <w:szCs w:val="24"/>
        </w:rPr>
        <w:t>4</w:t>
      </w:r>
      <w:r w:rsidR="00ED11D2">
        <w:rPr>
          <w:rFonts w:ascii="Arial" w:hAnsi="Arial" w:cs="Arial"/>
          <w:b/>
          <w:sz w:val="24"/>
          <w:szCs w:val="24"/>
        </w:rPr>
        <w:t>60</w:t>
      </w:r>
      <w:r w:rsidR="0053156B" w:rsidRPr="00115CE3">
        <w:rPr>
          <w:rFonts w:ascii="Arial" w:hAnsi="Arial" w:cs="Arial"/>
          <w:sz w:val="24"/>
          <w:szCs w:val="24"/>
        </w:rPr>
        <w:t xml:space="preserve">-2025 realizada por </w:t>
      </w:r>
      <w:r w:rsidR="00C71D2F">
        <w:rPr>
          <w:rFonts w:ascii="Arial" w:hAnsi="Arial" w:cs="Arial"/>
          <w:sz w:val="24"/>
          <w:szCs w:val="24"/>
        </w:rPr>
        <w:t>la</w:t>
      </w:r>
      <w:r w:rsidR="005F0249">
        <w:rPr>
          <w:rFonts w:ascii="Arial" w:hAnsi="Arial" w:cs="Arial"/>
          <w:sz w:val="24"/>
          <w:szCs w:val="24"/>
        </w:rPr>
        <w:t xml:space="preserve"> usuari</w:t>
      </w:r>
      <w:r w:rsidR="00C71D2F">
        <w:rPr>
          <w:rFonts w:ascii="Arial" w:hAnsi="Arial" w:cs="Arial"/>
          <w:sz w:val="24"/>
          <w:szCs w:val="24"/>
        </w:rPr>
        <w:t>a</w:t>
      </w:r>
      <w:r w:rsidR="005F0249">
        <w:rPr>
          <w:rFonts w:ascii="Arial" w:hAnsi="Arial" w:cs="Arial"/>
          <w:sz w:val="24"/>
          <w:szCs w:val="24"/>
        </w:rPr>
        <w:t xml:space="preserve"> </w:t>
      </w:r>
      <w:r w:rsidR="00ED11D2" w:rsidRPr="00ED11D2">
        <w:rPr>
          <w:rFonts w:ascii="Arial" w:hAnsi="Arial" w:cs="Arial"/>
          <w:b/>
          <w:sz w:val="24"/>
          <w:szCs w:val="24"/>
        </w:rPr>
        <w:t xml:space="preserve">Lourdes </w:t>
      </w:r>
      <w:r w:rsidR="0050333F" w:rsidRPr="00ED11D2">
        <w:rPr>
          <w:rFonts w:ascii="Arial" w:hAnsi="Arial" w:cs="Arial"/>
          <w:b/>
          <w:sz w:val="24"/>
          <w:szCs w:val="24"/>
        </w:rPr>
        <w:t>Pérez</w:t>
      </w:r>
      <w:r w:rsidR="000C23C7">
        <w:rPr>
          <w:rFonts w:ascii="Arial" w:hAnsi="Arial" w:cs="Arial"/>
          <w:sz w:val="24"/>
          <w:szCs w:val="24"/>
        </w:rPr>
        <w:t>, quien manifiesta su deseo de acceder a la siguiente información:</w:t>
      </w:r>
    </w:p>
    <w:p w:rsidR="00ED11D2" w:rsidRPr="00ED11D2" w:rsidRDefault="00ED11D2" w:rsidP="00ED11D2">
      <w:pPr>
        <w:spacing w:after="0" w:line="240" w:lineRule="auto"/>
        <w:jc w:val="both"/>
        <w:rPr>
          <w:rFonts w:ascii="Arial" w:hAnsi="Arial" w:cs="Arial"/>
          <w:sz w:val="20"/>
          <w:szCs w:val="20"/>
        </w:rPr>
      </w:pPr>
      <w:r w:rsidRPr="00ED11D2">
        <w:rPr>
          <w:rFonts w:ascii="Arial" w:hAnsi="Arial" w:cs="Arial"/>
          <w:sz w:val="20"/>
          <w:szCs w:val="20"/>
        </w:rPr>
        <w:t>Número total de casos de feminicidio registrados del 01 enero de 2024 al 16 de octubre de 2025.</w:t>
      </w:r>
    </w:p>
    <w:p w:rsidR="00ED11D2" w:rsidRPr="00ED11D2" w:rsidRDefault="00ED11D2" w:rsidP="00ED11D2">
      <w:pPr>
        <w:spacing w:after="0" w:line="240" w:lineRule="auto"/>
        <w:jc w:val="both"/>
        <w:rPr>
          <w:rFonts w:ascii="Arial" w:hAnsi="Arial" w:cs="Arial"/>
          <w:sz w:val="20"/>
          <w:szCs w:val="20"/>
        </w:rPr>
      </w:pPr>
      <w:r w:rsidRPr="00ED11D2">
        <w:rPr>
          <w:rFonts w:ascii="Arial" w:hAnsi="Arial" w:cs="Arial"/>
          <w:sz w:val="20"/>
          <w:szCs w:val="20"/>
        </w:rPr>
        <w:t>Número de homicidios de mujeres, adolescentes y niñas registrados del 01 enero de 2024 al 16 de octubre de 2025.</w:t>
      </w:r>
    </w:p>
    <w:p w:rsidR="00ED11D2" w:rsidRPr="00ED11D2" w:rsidRDefault="00ED11D2" w:rsidP="00ED11D2">
      <w:pPr>
        <w:spacing w:after="0" w:line="240" w:lineRule="auto"/>
        <w:jc w:val="both"/>
        <w:rPr>
          <w:rFonts w:ascii="Arial" w:hAnsi="Arial" w:cs="Arial"/>
          <w:sz w:val="20"/>
          <w:szCs w:val="20"/>
        </w:rPr>
      </w:pPr>
      <w:r w:rsidRPr="00ED11D2">
        <w:rPr>
          <w:rFonts w:ascii="Arial" w:hAnsi="Arial" w:cs="Arial"/>
          <w:sz w:val="20"/>
          <w:szCs w:val="20"/>
        </w:rPr>
        <w:t>De ambos delitos, favor de proporcionar la información desagregada por:</w:t>
      </w:r>
    </w:p>
    <w:p w:rsidR="00ED11D2" w:rsidRPr="00ED11D2" w:rsidRDefault="00ED11D2" w:rsidP="00ED11D2">
      <w:pPr>
        <w:spacing w:after="0" w:line="240" w:lineRule="auto"/>
        <w:jc w:val="both"/>
        <w:rPr>
          <w:rFonts w:ascii="Arial" w:hAnsi="Arial" w:cs="Arial"/>
          <w:sz w:val="20"/>
          <w:szCs w:val="20"/>
        </w:rPr>
      </w:pPr>
      <w:r w:rsidRPr="00ED11D2">
        <w:rPr>
          <w:rFonts w:ascii="Arial" w:hAnsi="Arial" w:cs="Arial"/>
          <w:sz w:val="20"/>
          <w:szCs w:val="20"/>
        </w:rPr>
        <w:t>Edad o rango de edad de cada víctima.</w:t>
      </w:r>
    </w:p>
    <w:p w:rsidR="00ED11D2" w:rsidRPr="00ED11D2" w:rsidRDefault="00ED11D2" w:rsidP="00ED11D2">
      <w:pPr>
        <w:spacing w:after="0" w:line="240" w:lineRule="auto"/>
        <w:jc w:val="both"/>
        <w:rPr>
          <w:rFonts w:ascii="Arial" w:hAnsi="Arial" w:cs="Arial"/>
          <w:sz w:val="20"/>
          <w:szCs w:val="20"/>
        </w:rPr>
      </w:pPr>
      <w:r w:rsidRPr="00ED11D2">
        <w:rPr>
          <w:rFonts w:ascii="Arial" w:hAnsi="Arial" w:cs="Arial"/>
          <w:sz w:val="20"/>
          <w:szCs w:val="20"/>
        </w:rPr>
        <w:t>Municipio en el que ocurrió cada feminicidio.</w:t>
      </w:r>
    </w:p>
    <w:p w:rsidR="00ED11D2" w:rsidRPr="00ED11D2" w:rsidRDefault="00ED11D2" w:rsidP="00ED11D2">
      <w:pPr>
        <w:spacing w:after="0" w:line="240" w:lineRule="auto"/>
        <w:jc w:val="both"/>
        <w:rPr>
          <w:rFonts w:ascii="Arial" w:hAnsi="Arial" w:cs="Arial"/>
          <w:sz w:val="20"/>
          <w:szCs w:val="20"/>
        </w:rPr>
      </w:pPr>
      <w:r w:rsidRPr="00ED11D2">
        <w:rPr>
          <w:rFonts w:ascii="Arial" w:hAnsi="Arial" w:cs="Arial"/>
          <w:sz w:val="20"/>
          <w:szCs w:val="20"/>
        </w:rPr>
        <w:t>Fecha en que se localizó el cuerpo de la víctima.</w:t>
      </w:r>
    </w:p>
    <w:p w:rsidR="00ED11D2" w:rsidRPr="00ED11D2" w:rsidRDefault="00ED11D2" w:rsidP="00ED11D2">
      <w:pPr>
        <w:spacing w:after="0" w:line="240" w:lineRule="auto"/>
        <w:jc w:val="both"/>
        <w:rPr>
          <w:rFonts w:ascii="Arial" w:hAnsi="Arial" w:cs="Arial"/>
          <w:sz w:val="20"/>
          <w:szCs w:val="20"/>
        </w:rPr>
      </w:pPr>
      <w:r w:rsidRPr="00ED11D2">
        <w:rPr>
          <w:rFonts w:ascii="Arial" w:hAnsi="Arial" w:cs="Arial"/>
          <w:sz w:val="20"/>
          <w:szCs w:val="20"/>
        </w:rPr>
        <w:t>Ubicación general del hallazgo (por ejemplo: domicilio, vía pública, paraje, etc.), sin incluir datos personales o de identificación.</w:t>
      </w:r>
    </w:p>
    <w:p w:rsidR="00ED11D2" w:rsidRPr="00ED11D2" w:rsidRDefault="00ED11D2" w:rsidP="00ED11D2">
      <w:pPr>
        <w:spacing w:after="0" w:line="240" w:lineRule="auto"/>
        <w:jc w:val="both"/>
        <w:rPr>
          <w:rFonts w:ascii="Arial" w:hAnsi="Arial" w:cs="Arial"/>
          <w:sz w:val="20"/>
          <w:szCs w:val="20"/>
        </w:rPr>
      </w:pPr>
      <w:r w:rsidRPr="00ED11D2">
        <w:rPr>
          <w:rFonts w:ascii="Arial" w:hAnsi="Arial" w:cs="Arial"/>
          <w:sz w:val="20"/>
          <w:szCs w:val="20"/>
        </w:rPr>
        <w:t>Estatus actual de la carpeta de investigación de cada caso (por ejemplo: en investigación, con imputado vinculado a proceso, con sentencia condenatoria, etc.).</w:t>
      </w:r>
    </w:p>
    <w:p w:rsidR="00ED11D2" w:rsidRPr="00ED11D2" w:rsidRDefault="00ED11D2" w:rsidP="00ED11D2">
      <w:pPr>
        <w:spacing w:after="0" w:line="240" w:lineRule="auto"/>
        <w:jc w:val="both"/>
        <w:rPr>
          <w:rFonts w:ascii="Arial" w:hAnsi="Arial" w:cs="Arial"/>
          <w:sz w:val="20"/>
          <w:szCs w:val="20"/>
        </w:rPr>
      </w:pPr>
      <w:r w:rsidRPr="00ED11D2">
        <w:rPr>
          <w:rFonts w:ascii="Arial" w:hAnsi="Arial" w:cs="Arial"/>
          <w:sz w:val="20"/>
          <w:szCs w:val="20"/>
        </w:rPr>
        <w:t>En caso de existir, estadísticas o bases de datos que sistematicen esta información por año y municipio.</w:t>
      </w:r>
    </w:p>
    <w:p w:rsidR="00ED11D2" w:rsidRPr="00ED11D2" w:rsidRDefault="00ED11D2" w:rsidP="00ED11D2">
      <w:pPr>
        <w:spacing w:after="0" w:line="240" w:lineRule="auto"/>
        <w:jc w:val="both"/>
        <w:rPr>
          <w:rFonts w:ascii="Arial" w:hAnsi="Arial" w:cs="Arial"/>
          <w:sz w:val="20"/>
          <w:szCs w:val="20"/>
        </w:rPr>
      </w:pPr>
      <w:r w:rsidRPr="00ED11D2">
        <w:rPr>
          <w:rFonts w:ascii="Arial" w:hAnsi="Arial" w:cs="Arial"/>
          <w:sz w:val="20"/>
          <w:szCs w:val="20"/>
        </w:rPr>
        <w:t>Indicar si las víctimas tenían reporte de desaparición previo al hallazgo.</w:t>
      </w:r>
    </w:p>
    <w:p w:rsidR="00ED11D2" w:rsidRPr="00ED11D2" w:rsidRDefault="00ED11D2" w:rsidP="00ED11D2">
      <w:pPr>
        <w:spacing w:after="0" w:line="240" w:lineRule="auto"/>
        <w:jc w:val="both"/>
        <w:rPr>
          <w:rFonts w:ascii="Arial" w:hAnsi="Arial" w:cs="Arial"/>
          <w:sz w:val="20"/>
          <w:szCs w:val="20"/>
        </w:rPr>
      </w:pPr>
      <w:r w:rsidRPr="00ED11D2">
        <w:rPr>
          <w:rFonts w:ascii="Arial" w:hAnsi="Arial" w:cs="Arial"/>
          <w:sz w:val="20"/>
          <w:szCs w:val="20"/>
        </w:rPr>
        <w:t>Indicar si el feminicidio u homicidio fue vinculado a otro tipo de delito (violencia sexual, desaparición, trata, etc.).</w:t>
      </w:r>
    </w:p>
    <w:p w:rsidR="00F36F63" w:rsidRDefault="00ED11D2" w:rsidP="00ED11D2">
      <w:pPr>
        <w:spacing w:after="0" w:line="240" w:lineRule="auto"/>
        <w:jc w:val="both"/>
        <w:rPr>
          <w:rFonts w:ascii="Arial" w:hAnsi="Arial" w:cs="Arial"/>
          <w:sz w:val="20"/>
          <w:szCs w:val="20"/>
        </w:rPr>
      </w:pPr>
      <w:r w:rsidRPr="00ED11D2">
        <w:rPr>
          <w:rFonts w:ascii="Arial" w:hAnsi="Arial" w:cs="Arial"/>
          <w:sz w:val="20"/>
          <w:szCs w:val="20"/>
        </w:rPr>
        <w:t xml:space="preserve">Número total de sentencias condenatorias por feminicidio en el mismo periodo. </w:t>
      </w:r>
      <w:r w:rsidR="00C71D2F">
        <w:rPr>
          <w:rFonts w:ascii="Arial" w:hAnsi="Arial" w:cs="Arial"/>
          <w:sz w:val="20"/>
          <w:szCs w:val="20"/>
        </w:rPr>
        <w:t>[SIC]</w:t>
      </w:r>
    </w:p>
    <w:p w:rsidR="00C71D2F" w:rsidRPr="00C71D2F" w:rsidRDefault="00C71D2F" w:rsidP="00C71D2F">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FC22BE">
        <w:rPr>
          <w:rFonts w:ascii="Arial" w:hAnsi="Arial" w:cs="Arial"/>
          <w:sz w:val="24"/>
          <w:szCs w:val="24"/>
        </w:rPr>
        <w:t>El jefe de la Unidad Especializada en Justicia Penal para Adolescentes Marcos Esteban Aguilar Pérez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proofErr w:type="spellStart"/>
      <w:r w:rsidR="00504A90">
        <w:rPr>
          <w:rFonts w:ascii="Arial" w:hAnsi="Arial" w:cs="Arial"/>
          <w:sz w:val="24"/>
          <w:szCs w:val="24"/>
        </w:rPr>
        <w:t>la</w:t>
      </w:r>
      <w:proofErr w:type="spellEnd"/>
      <w:r w:rsidR="00035BE7" w:rsidRPr="00115CE3">
        <w:rPr>
          <w:rFonts w:ascii="Arial" w:hAnsi="Arial" w:cs="Arial"/>
          <w:sz w:val="24"/>
          <w:szCs w:val="24"/>
        </w:rPr>
        <w:t xml:space="preserve">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FC22BE">
        <w:rPr>
          <w:rFonts w:ascii="Arial" w:hAnsi="Arial" w:cs="Arial"/>
          <w:sz w:val="24"/>
          <w:szCs w:val="24"/>
        </w:rPr>
        <w:t>El jefe de la Unidad Especializada en Justicia Penal para Adolescentes</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A11979" w:rsidRPr="00A11979">
        <w:rPr>
          <w:rFonts w:ascii="Arial" w:hAnsi="Arial" w:cs="Arial"/>
          <w:b/>
          <w:sz w:val="24"/>
          <w:szCs w:val="24"/>
        </w:rPr>
        <w:t>UILEJA/FMDH/000</w:t>
      </w:r>
      <w:r w:rsidR="00ED11D2">
        <w:rPr>
          <w:rFonts w:ascii="Arial" w:hAnsi="Arial" w:cs="Arial"/>
          <w:b/>
          <w:sz w:val="24"/>
          <w:szCs w:val="24"/>
        </w:rPr>
        <w:t>8</w:t>
      </w:r>
      <w:r w:rsidR="00A11979" w:rsidRPr="00A11979">
        <w:rPr>
          <w:rFonts w:ascii="Arial" w:hAnsi="Arial" w:cs="Arial"/>
          <w:b/>
          <w:sz w:val="24"/>
          <w:szCs w:val="24"/>
        </w:rPr>
        <w:t>/2025-AR</w:t>
      </w:r>
      <w:r w:rsidR="00682B93" w:rsidRPr="00115CE3">
        <w:rPr>
          <w:rFonts w:ascii="Arial" w:hAnsi="Arial" w:cs="Arial"/>
          <w:b/>
          <w:sz w:val="24"/>
          <w:szCs w:val="24"/>
        </w:rPr>
        <w:t xml:space="preserve">. </w:t>
      </w:r>
    </w:p>
    <w:p w:rsidR="00B94212" w:rsidRDefault="00B94212" w:rsidP="005F0249">
      <w:pPr>
        <w:spacing w:line="240" w:lineRule="auto"/>
        <w:jc w:val="both"/>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lastRenderedPageBreak/>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A11979" w:rsidRPr="00A11979">
        <w:rPr>
          <w:rFonts w:ascii="Arial" w:hAnsi="Arial" w:cs="Arial"/>
          <w:b/>
          <w:sz w:val="24"/>
          <w:szCs w:val="24"/>
        </w:rPr>
        <w:t>UILEJA/FMDH/000</w:t>
      </w:r>
      <w:r w:rsidR="00ED11D2">
        <w:rPr>
          <w:rFonts w:ascii="Arial" w:hAnsi="Arial" w:cs="Arial"/>
          <w:b/>
          <w:sz w:val="24"/>
          <w:szCs w:val="24"/>
        </w:rPr>
        <w:t>8</w:t>
      </w:r>
      <w:r w:rsidR="00A11979" w:rsidRPr="00A11979">
        <w:rPr>
          <w:rFonts w:ascii="Arial" w:hAnsi="Arial" w:cs="Arial"/>
          <w:b/>
          <w:sz w:val="24"/>
          <w:szCs w:val="24"/>
        </w:rPr>
        <w:t>/2025-AR</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A11979" w:rsidRPr="00A11979">
        <w:rPr>
          <w:rFonts w:ascii="Arial" w:hAnsi="Arial" w:cs="Arial"/>
          <w:b/>
          <w:sz w:val="24"/>
          <w:szCs w:val="24"/>
        </w:rPr>
        <w:t>UILEJA/FMDH/000</w:t>
      </w:r>
      <w:r w:rsidR="00ED11D2">
        <w:rPr>
          <w:rFonts w:ascii="Arial" w:hAnsi="Arial" w:cs="Arial"/>
          <w:b/>
          <w:sz w:val="24"/>
          <w:szCs w:val="24"/>
        </w:rPr>
        <w:t>8</w:t>
      </w:r>
      <w:r w:rsidR="00A11979" w:rsidRPr="00A11979">
        <w:rPr>
          <w:rFonts w:ascii="Arial" w:hAnsi="Arial" w:cs="Arial"/>
          <w:b/>
          <w:sz w:val="24"/>
          <w:szCs w:val="24"/>
        </w:rPr>
        <w:t>/2025-AR</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ED11D2" w:rsidRPr="00ED11D2" w:rsidRDefault="007336C3" w:rsidP="00ED11D2">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ED11D2" w:rsidRPr="00ED11D2">
        <w:rPr>
          <w:rFonts w:ascii="Arial" w:hAnsi="Arial" w:cs="Arial"/>
          <w:sz w:val="24"/>
          <w:szCs w:val="24"/>
        </w:rPr>
        <w:t xml:space="preserve">Se considera que el hacer pública la información contenida en diversas investigaciones particularmente en únicamente en cuanto a los municipios donde ocurrieron los hechos los cuáles son; 08 municipios del estado de San Luis Potosí, así como la ubicación del hallazgo en el período comprendido del 01 de enero del 2024 al 16 de octubre del 2025; representaría  una vulneración grave a los Derechos Humanos de las víctimas directas e indirectas, toda vez que contienen datos personales y ello expone un alto riesgo al hacer identificable a las víctimas directas e indirectas, ya que estamos hablando de los delitos de feminicidio y homicidio, comprometiendo con ello su integridad, la identidad y la intimidad de las personas, de igual manera se pondría en riesgo el debido proceso, específicamente en algunas investigaciones que aún se encuentran en trámite, pues no consta en el caso concreto que uso se le dará a dicha información pudiendo ser publicada en periódicos, noticias, etc., sin el consentimiento expreso de los involucrados dentro de las investigaciones, aunado a lo </w:t>
      </w:r>
      <w:r w:rsidR="00ED11D2" w:rsidRPr="00ED11D2">
        <w:rPr>
          <w:rFonts w:ascii="Arial" w:hAnsi="Arial" w:cs="Arial"/>
          <w:sz w:val="24"/>
          <w:szCs w:val="24"/>
        </w:rPr>
        <w:lastRenderedPageBreak/>
        <w:t>anterior sirve como sustento la tesis jurisprudencial "PROTECCIÓN DE DATOS PERSONALES, MENORES DE EDAD. DERECHO HUMANO”. Con fundamento en los artículos 1° y 4° de la Constitución Política de los Estados Unidos Mexicanos, en los asuntos que estén involucrados menores de edad, se debe velar por la protección de sus datos personales, ello, atendiendo al primero de los citados numerales, que impone la obligación a las autoridades en el ámbito de su competencia, a velar y proteger los derechos humanos contenidos en la Constitución Federal, y el segundo de los numerales tutela los derechos del menor que tenga intervención en juicio, asimismo, conforme lo estatuyen los Tratados Internacionales firmados por el Estado Mexicano, Tales como la Convención Americana sobre los Derechos Humanos (Pacto de San José), en su numeral 11, párrafos segundo y tercero, la Convención sobre los Derechos del Niño, artículos 1, 2, 3, 12, 16 y 17 inciso e), asimismo, con base en el Protocolo de Actuación para quienes Imparten Justicia en casos que afecten a Niñas, Niños y Adolescentes, así como de conformidad en lo dispuesto en la Ley General de los Derechos de Niñas, Niños y Adolescentes en sus numerales 13 fracción XVII, 76 y 77, en concordancia con lo estipulado en la Ley de los Derechos de Niñas, Niños y Adolescentes del Estado, en sus artículos 16 fracción VIII, 68 y 69. En consecuencia, publicitar los datos personales de los menores de edad, violenta su derecho humano a la protección de datos personales colocándolos en una situación de vulnerabilidad en detrimento de su dignidad e interés superior. De ahí que se sugiere utilizar las letras iniciales del nombre del menor o señalar que es de identidad reservada."</w:t>
      </w:r>
    </w:p>
    <w:p w:rsidR="00ED11D2" w:rsidRPr="00ED11D2" w:rsidRDefault="00ED11D2" w:rsidP="00ED11D2">
      <w:pPr>
        <w:autoSpaceDE w:val="0"/>
        <w:autoSpaceDN w:val="0"/>
        <w:adjustRightInd w:val="0"/>
        <w:spacing w:line="240" w:lineRule="auto"/>
        <w:jc w:val="both"/>
        <w:rPr>
          <w:rFonts w:ascii="Arial" w:hAnsi="Arial" w:cs="Arial"/>
          <w:sz w:val="24"/>
          <w:szCs w:val="24"/>
        </w:rPr>
      </w:pPr>
      <w:r w:rsidRPr="00ED11D2">
        <w:rPr>
          <w:rFonts w:ascii="Arial" w:hAnsi="Arial" w:cs="Arial"/>
          <w:sz w:val="24"/>
          <w:szCs w:val="24"/>
        </w:rPr>
        <w:t xml:space="preserve">En cuanto proporcionar información respecto del únicamente en cuanto a los municipios donde ocurrieron los hechos los cuáles son; 08 municipios del estado de San Luis Potosí, así como la ubicación del hallazgo puede hacer posible identificar o vincular a una persona en específico causando un daño real y demostrable pues al recopilar diferentes informaciones pueden combinarse con otros registros y podrían servir para descubrir la identidad de las víctimas; sobre todo ahora con la tecnología por medio de la cual se facilita con pocos datos la identificación de personas. </w:t>
      </w:r>
    </w:p>
    <w:p w:rsidR="00736E1F" w:rsidRDefault="00ED11D2" w:rsidP="00ED11D2">
      <w:pPr>
        <w:autoSpaceDE w:val="0"/>
        <w:autoSpaceDN w:val="0"/>
        <w:adjustRightInd w:val="0"/>
        <w:spacing w:line="240" w:lineRule="auto"/>
        <w:jc w:val="both"/>
        <w:rPr>
          <w:rFonts w:ascii="Arial" w:hAnsi="Arial" w:cs="Arial"/>
          <w:sz w:val="24"/>
          <w:szCs w:val="24"/>
        </w:rPr>
      </w:pPr>
      <w:r w:rsidRPr="00ED11D2">
        <w:rPr>
          <w:rFonts w:ascii="Arial" w:hAnsi="Arial" w:cs="Arial"/>
          <w:sz w:val="24"/>
          <w:szCs w:val="24"/>
        </w:rPr>
        <w:t>Esto es así, porque como lo refiere el artículo 17 segundo párrafo,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segundo, de los Lineamientos Generales en Materia de Clasificación y Desclasificación de la Información, así como la </w:t>
      </w:r>
      <w:r w:rsidR="00551990" w:rsidRPr="00115CE3">
        <w:rPr>
          <w:rFonts w:ascii="Arial" w:hAnsi="Arial" w:cs="Arial"/>
          <w:sz w:val="24"/>
          <w:szCs w:val="24"/>
        </w:rPr>
        <w:lastRenderedPageBreak/>
        <w:t>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9475D7" w:rsidP="003474AB">
      <w:pPr>
        <w:autoSpaceDE w:val="0"/>
        <w:autoSpaceDN w:val="0"/>
        <w:adjustRightInd w:val="0"/>
        <w:spacing w:line="240" w:lineRule="auto"/>
        <w:jc w:val="both"/>
        <w:rPr>
          <w:rFonts w:ascii="Arial" w:hAnsi="Arial" w:cs="Arial"/>
          <w:sz w:val="24"/>
          <w:szCs w:val="24"/>
        </w:rPr>
      </w:pPr>
      <w:r w:rsidRPr="009475D7">
        <w:rPr>
          <w:rFonts w:ascii="Arial" w:hAnsi="Arial" w:cs="Arial"/>
          <w:sz w:val="24"/>
          <w:szCs w:val="24"/>
        </w:rPr>
        <w:t>Concatenado a lo anterior, los artículos 105,</w:t>
      </w:r>
      <w:r w:rsidR="00736E1F">
        <w:rPr>
          <w:rFonts w:ascii="Arial" w:hAnsi="Arial" w:cs="Arial"/>
          <w:sz w:val="24"/>
          <w:szCs w:val="24"/>
        </w:rPr>
        <w:t xml:space="preserve"> 106, </w:t>
      </w:r>
      <w:r w:rsidRPr="009475D7">
        <w:rPr>
          <w:rFonts w:ascii="Arial" w:hAnsi="Arial" w:cs="Arial"/>
          <w:sz w:val="24"/>
          <w:szCs w:val="24"/>
        </w:rPr>
        <w:t>y 218 del Código Nacional de Procedimientos Penales, señalan las partes del proceso, las cuales son las únicas que tienen derecho de acceder a los registros de la investigación, así como todos los documentos, independientemente de su contenido o naturaleza, los objetos, los registros de voz e imágenes o cosas que le estén relacionados, y para quienes no sean partes, esta información es estrictamente reservada.</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FC22BE">
        <w:rPr>
          <w:rFonts w:ascii="Arial" w:hAnsi="Arial" w:cs="Arial"/>
          <w:sz w:val="24"/>
          <w:szCs w:val="24"/>
        </w:rPr>
        <w:t>El jefe de la Unidad Especializada en Justicia Penal para Adolescentes</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lastRenderedPageBreak/>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9B1619">
        <w:rPr>
          <w:rFonts w:ascii="Arial" w:eastAsia="Times New Roman" w:hAnsi="Arial" w:cs="Arial"/>
          <w:sz w:val="24"/>
          <w:szCs w:val="24"/>
          <w:lang w:val="es-ES"/>
        </w:rPr>
        <w:t>,</w:t>
      </w:r>
      <w:r w:rsidR="000C4F3A">
        <w:rPr>
          <w:rFonts w:ascii="Arial" w:eastAsia="Times New Roman" w:hAnsi="Arial" w:cs="Arial"/>
          <w:sz w:val="24"/>
          <w:szCs w:val="24"/>
          <w:lang w:val="es-ES"/>
        </w:rPr>
        <w:t xml:space="preserve"> establecidas por </w:t>
      </w:r>
      <w:r w:rsidR="00FC22BE">
        <w:rPr>
          <w:rFonts w:ascii="Arial" w:hAnsi="Arial" w:cs="Arial"/>
          <w:sz w:val="24"/>
          <w:szCs w:val="24"/>
        </w:rPr>
        <w:t xml:space="preserve">el </w:t>
      </w:r>
      <w:r w:rsidR="00736E1F">
        <w:rPr>
          <w:rFonts w:ascii="Arial" w:hAnsi="Arial" w:cs="Arial"/>
          <w:sz w:val="24"/>
          <w:szCs w:val="24"/>
        </w:rPr>
        <w:t>j</w:t>
      </w:r>
      <w:r w:rsidR="00FC22BE">
        <w:rPr>
          <w:rFonts w:ascii="Arial" w:hAnsi="Arial" w:cs="Arial"/>
          <w:sz w:val="24"/>
          <w:szCs w:val="24"/>
        </w:rPr>
        <w:t>efe de la Unidad Especializada en Justicia Penal para Adolescentes</w:t>
      </w:r>
      <w:r w:rsidR="009B1619">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lastRenderedPageBreak/>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ED11D2" w:rsidRPr="00ED11D2" w:rsidRDefault="00ED11D2" w:rsidP="00E7618B">
      <w:pPr>
        <w:spacing w:after="0" w:line="240" w:lineRule="auto"/>
        <w:ind w:right="49"/>
        <w:jc w:val="both"/>
        <w:rPr>
          <w:rFonts w:ascii="Arial" w:hAnsi="Arial" w:cs="Arial"/>
          <w:bCs/>
          <w:color w:val="000000" w:themeColor="text1"/>
          <w:sz w:val="24"/>
          <w:szCs w:val="24"/>
        </w:rPr>
      </w:pPr>
      <w:r w:rsidRPr="00ED11D2">
        <w:rPr>
          <w:rFonts w:ascii="Arial" w:hAnsi="Arial" w:cs="Arial"/>
          <w:bCs/>
          <w:color w:val="000000" w:themeColor="text1"/>
          <w:sz w:val="24"/>
          <w:szCs w:val="24"/>
        </w:rPr>
        <w:t>La reserva que se realiza es de manera parcial, en relación a la solicitud de información número UT-SI-P-460-240469825000460-2025</w:t>
      </w:r>
      <w:r>
        <w:rPr>
          <w:rFonts w:ascii="Arial" w:hAnsi="Arial" w:cs="Arial"/>
          <w:bCs/>
          <w:color w:val="000000" w:themeColor="text1"/>
          <w:sz w:val="24"/>
          <w:szCs w:val="24"/>
        </w:rPr>
        <w:t>, ú</w:t>
      </w:r>
      <w:r w:rsidRPr="00ED11D2">
        <w:rPr>
          <w:rFonts w:ascii="Arial" w:hAnsi="Arial" w:cs="Arial"/>
          <w:bCs/>
          <w:color w:val="000000" w:themeColor="text1"/>
          <w:sz w:val="24"/>
          <w:szCs w:val="24"/>
        </w:rPr>
        <w:t>nicamente en cuanto a los municipios donde ocurrieron los hechos los cuáles son; 08 municipios del estado de San Luis Potosí, así como la ubicación del hallazgo, contenida dentro de las Carpetas de Investigación por los delitos de feminicidio y homicidio de la Unidad Especializada en Justicia Penal para Adolescentes en el periodo comprendido del 01 de enero del 2024 al 16 de octubre del 2025.</w:t>
      </w:r>
    </w:p>
    <w:p w:rsidR="009B1619" w:rsidRDefault="009B1619" w:rsidP="009B1619">
      <w:pPr>
        <w:spacing w:after="0"/>
        <w:ind w:right="49"/>
        <w:jc w:val="both"/>
        <w:rPr>
          <w:rFonts w:ascii="Arial" w:hAnsi="Arial" w:cs="Arial"/>
          <w:bCs/>
          <w:color w:val="000000" w:themeColor="text1"/>
          <w:sz w:val="24"/>
          <w:szCs w:val="24"/>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0E378A">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F52044">
        <w:rPr>
          <w:rFonts w:ascii="Arial" w:eastAsia="Times New Roman" w:hAnsi="Arial" w:cs="Arial"/>
          <w:b/>
          <w:sz w:val="24"/>
          <w:szCs w:val="24"/>
        </w:rPr>
        <w:t>noviembre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E7618B" w:rsidRDefault="00E7618B" w:rsidP="005F0249">
      <w:pPr>
        <w:spacing w:line="240" w:lineRule="auto"/>
        <w:jc w:val="both"/>
        <w:rPr>
          <w:rFonts w:ascii="Arial" w:eastAsia="Times New Roman" w:hAnsi="Arial" w:cs="Arial"/>
          <w:sz w:val="24"/>
          <w:szCs w:val="24"/>
        </w:rPr>
      </w:pP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lastRenderedPageBreak/>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A11979" w:rsidRPr="00A11979">
        <w:rPr>
          <w:rFonts w:ascii="Arial" w:hAnsi="Arial" w:cs="Arial"/>
          <w:b/>
          <w:sz w:val="24"/>
          <w:szCs w:val="24"/>
        </w:rPr>
        <w:t>UILEJA/FMDH/000</w:t>
      </w:r>
      <w:r w:rsidR="00ED11D2">
        <w:rPr>
          <w:rFonts w:ascii="Arial" w:hAnsi="Arial" w:cs="Arial"/>
          <w:b/>
          <w:sz w:val="24"/>
          <w:szCs w:val="24"/>
        </w:rPr>
        <w:t>8</w:t>
      </w:r>
      <w:r w:rsidR="00A11979" w:rsidRPr="00A11979">
        <w:rPr>
          <w:rFonts w:ascii="Arial" w:hAnsi="Arial" w:cs="Arial"/>
          <w:b/>
          <w:sz w:val="24"/>
          <w:szCs w:val="24"/>
        </w:rPr>
        <w:t>/2025-AR</w:t>
      </w:r>
      <w:r w:rsidR="00A11979">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FC22BE">
        <w:rPr>
          <w:rFonts w:ascii="Arial" w:hAnsi="Arial" w:cs="Arial"/>
          <w:sz w:val="24"/>
          <w:szCs w:val="24"/>
        </w:rPr>
        <w:t>el jefe de la Unidad Especializada en Justicia Penal para Adolescentes Marcos Esteban Aguilar Pérez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FC22BE">
        <w:rPr>
          <w:rFonts w:ascii="Arial" w:hAnsi="Arial" w:cs="Arial"/>
          <w:sz w:val="24"/>
          <w:szCs w:val="24"/>
        </w:rPr>
        <w:t>al jefe de la Unidad Especializada en Justicia Penal para Adolescentes</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FC22BE">
        <w:rPr>
          <w:rFonts w:ascii="Arial" w:hAnsi="Arial" w:cs="Arial"/>
          <w:sz w:val="24"/>
          <w:szCs w:val="24"/>
        </w:rPr>
        <w:t>al jefe de la Unidad Especializada en Justicia Penal para Adolescentes</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FC28C6" w:rsidRDefault="00FC28C6" w:rsidP="005F0249">
      <w:pPr>
        <w:spacing w:line="240" w:lineRule="auto"/>
        <w:jc w:val="center"/>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ED11D2" w:rsidRDefault="00ED11D2" w:rsidP="005F0249">
      <w:pPr>
        <w:spacing w:line="240" w:lineRule="auto"/>
        <w:jc w:val="center"/>
        <w:rPr>
          <w:rFonts w:ascii="Arial" w:hAnsi="Arial" w:cs="Arial"/>
          <w:b/>
          <w:sz w:val="24"/>
          <w:szCs w:val="24"/>
        </w:rPr>
      </w:pPr>
    </w:p>
    <w:p w:rsidR="00476EF2" w:rsidRDefault="00476EF2" w:rsidP="007E043D">
      <w:pPr>
        <w:spacing w:after="0"/>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A11979" w:rsidRPr="00A11979">
        <w:rPr>
          <w:rFonts w:ascii="Arial" w:hAnsi="Arial" w:cs="Arial"/>
          <w:b/>
          <w:sz w:val="24"/>
          <w:szCs w:val="24"/>
        </w:rPr>
        <w:t>UILEJA/FMDH/000</w:t>
      </w:r>
      <w:r w:rsidR="00ED11D2">
        <w:rPr>
          <w:rFonts w:ascii="Arial" w:hAnsi="Arial" w:cs="Arial"/>
          <w:b/>
          <w:sz w:val="24"/>
          <w:szCs w:val="24"/>
        </w:rPr>
        <w:t>8</w:t>
      </w:r>
      <w:r w:rsidR="00A11979" w:rsidRPr="00A11979">
        <w:rPr>
          <w:rFonts w:ascii="Arial" w:hAnsi="Arial" w:cs="Arial"/>
          <w:b/>
          <w:sz w:val="24"/>
          <w:szCs w:val="24"/>
        </w:rPr>
        <w:t>/2025-AR</w:t>
      </w:r>
      <w:r w:rsidRPr="00115CE3">
        <w:rPr>
          <w:rFonts w:ascii="Arial" w:hAnsi="Arial" w:cs="Arial"/>
          <w:b/>
          <w:sz w:val="24"/>
          <w:szCs w:val="24"/>
        </w:rPr>
        <w:t xml:space="preserve"> </w:t>
      </w:r>
      <w:r w:rsidRPr="00115CE3">
        <w:rPr>
          <w:rFonts w:ascii="Arial" w:hAnsi="Arial" w:cs="Arial"/>
          <w:sz w:val="24"/>
          <w:szCs w:val="24"/>
        </w:rPr>
        <w:t xml:space="preserve">emitido por </w:t>
      </w:r>
      <w:r w:rsidR="00FC22BE">
        <w:rPr>
          <w:rFonts w:ascii="Arial" w:hAnsi="Arial" w:cs="Arial"/>
          <w:sz w:val="24"/>
          <w:szCs w:val="24"/>
        </w:rPr>
        <w:t>el jefe de la Unidad Especializada en Justicia Penal para Adolescentes Marcos Esteban Aguilar Pérez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FC22BE" w:rsidRDefault="00FC22BE" w:rsidP="007E043D">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SEGUNDO. </w:t>
      </w:r>
      <w:r w:rsidR="00FC22BE">
        <w:rPr>
          <w:rFonts w:ascii="Arial" w:hAnsi="Arial" w:cs="Arial"/>
          <w:sz w:val="24"/>
          <w:szCs w:val="24"/>
        </w:rPr>
        <w:t>El jefe de la Unidad Especializada en Justicia Penal para Adolescentes Marcos Esteban Aguilar Pérez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ED11D2" w:rsidRDefault="00ED11D2" w:rsidP="000940CE">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FC22BE">
        <w:rPr>
          <w:rFonts w:ascii="Arial" w:hAnsi="Arial" w:cs="Arial"/>
          <w:sz w:val="24"/>
          <w:szCs w:val="24"/>
        </w:rPr>
        <w:t>al jefe de la Unidad Especializada en Justicia Penal para Adolescentes Marcos Esteban Aguilar Pérez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B94212" w:rsidRDefault="00B94212" w:rsidP="007E043D">
      <w:pPr>
        <w:spacing w:after="0"/>
        <w:jc w:val="both"/>
        <w:rPr>
          <w:rFonts w:ascii="Arial" w:hAnsi="Arial" w:cs="Arial"/>
          <w:sz w:val="24"/>
          <w:szCs w:val="24"/>
        </w:rPr>
      </w:pPr>
    </w:p>
    <w:p w:rsidR="00ED11D2" w:rsidRDefault="00ED11D2"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lastRenderedPageBreak/>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F52044">
        <w:rPr>
          <w:rFonts w:ascii="Arial" w:hAnsi="Arial" w:cs="Arial"/>
          <w:b/>
          <w:sz w:val="24"/>
          <w:szCs w:val="24"/>
        </w:rPr>
        <w:t>2</w:t>
      </w:r>
      <w:r w:rsidR="000D70C2">
        <w:rPr>
          <w:rFonts w:ascii="Arial" w:hAnsi="Arial" w:cs="Arial"/>
          <w:b/>
          <w:sz w:val="24"/>
          <w:szCs w:val="24"/>
        </w:rPr>
        <w:t>1</w:t>
      </w:r>
      <w:r w:rsidR="00ED11D2">
        <w:rPr>
          <w:rFonts w:ascii="Arial" w:hAnsi="Arial" w:cs="Arial"/>
          <w:b/>
          <w:sz w:val="24"/>
          <w:szCs w:val="24"/>
        </w:rPr>
        <w:t>8</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9B1619" w:rsidRDefault="009B1619" w:rsidP="00EF1D58">
      <w:pPr>
        <w:spacing w:after="0"/>
        <w:jc w:val="both"/>
        <w:rPr>
          <w:rFonts w:ascii="Arial" w:hAnsi="Arial" w:cs="Arial"/>
          <w:sz w:val="24"/>
          <w:szCs w:val="24"/>
          <w:highlight w:val="yellow"/>
        </w:rPr>
      </w:pPr>
    </w:p>
    <w:p w:rsidR="00B94212" w:rsidRDefault="00B94212"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9B1619" w:rsidRDefault="009B1619" w:rsidP="00EF1D58">
      <w:pPr>
        <w:tabs>
          <w:tab w:val="left" w:pos="8998"/>
          <w:tab w:val="left" w:pos="9932"/>
        </w:tabs>
        <w:spacing w:before="20" w:after="0"/>
        <w:rPr>
          <w:rFonts w:ascii="Arial" w:eastAsia="Arial" w:hAnsi="Arial" w:cs="Arial"/>
          <w:b/>
          <w:sz w:val="24"/>
          <w:szCs w:val="24"/>
        </w:rPr>
      </w:pPr>
    </w:p>
    <w:p w:rsidR="00ED11D2" w:rsidRDefault="00ED11D2"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B94212" w:rsidRDefault="00B94212" w:rsidP="00EF1D58">
      <w:pPr>
        <w:spacing w:after="0"/>
        <w:rPr>
          <w:rFonts w:ascii="Arial" w:hAnsi="Arial" w:cs="Arial"/>
          <w:b/>
          <w:sz w:val="24"/>
          <w:szCs w:val="24"/>
        </w:rPr>
      </w:pPr>
    </w:p>
    <w:p w:rsidR="00ED11D2" w:rsidRDefault="00ED11D2" w:rsidP="00EF1D58">
      <w:pPr>
        <w:spacing w:after="0"/>
        <w:rPr>
          <w:rFonts w:ascii="Arial" w:hAnsi="Arial" w:cs="Arial"/>
          <w:b/>
          <w:sz w:val="24"/>
          <w:szCs w:val="24"/>
        </w:rPr>
      </w:pPr>
    </w:p>
    <w:p w:rsidR="00ED11D2" w:rsidRDefault="00ED11D2"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6B35" w:rsidRDefault="00626B35">
      <w:r>
        <w:separator/>
      </w:r>
    </w:p>
  </w:endnote>
  <w:endnote w:type="continuationSeparator" w:id="0">
    <w:p w:rsidR="00626B35" w:rsidRDefault="00626B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2446" w:rsidRDefault="0060244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2446" w:rsidRDefault="0060244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6B35" w:rsidRDefault="00626B35">
      <w:r>
        <w:separator/>
      </w:r>
    </w:p>
  </w:footnote>
  <w:footnote w:type="continuationSeparator" w:id="0">
    <w:p w:rsidR="00626B35" w:rsidRDefault="00626B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2446" w:rsidRDefault="0060244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180751"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602446">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180752"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 xml:space="preserve">06 de noviembre 2025. </w:t>
          </w:r>
          <w:r>
            <w:rPr>
              <w:rFonts w:ascii="Arial" w:hAnsi="Arial" w:cs="Arial"/>
              <w:color w:val="FFFFFF" w:themeColor="background1"/>
              <w:sz w:val="18"/>
              <w:szCs w:val="18"/>
            </w:rPr>
            <w:t xml:space="preserve">Décima primera </w:t>
          </w:r>
          <w:r w:rsidRPr="00D338A0">
            <w:rPr>
              <w:rFonts w:ascii="Arial" w:hAnsi="Arial" w:cs="Arial"/>
              <w:color w:val="FFFFFF" w:themeColor="background1"/>
              <w:sz w:val="18"/>
              <w:szCs w:val="18"/>
            </w:rPr>
            <w:t>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3" w:name="_Hlk212533529"/>
          <w:r w:rsidR="00A11979">
            <w:rPr>
              <w:rFonts w:ascii="Arial" w:hAnsi="Arial" w:cs="Arial"/>
              <w:b/>
              <w:color w:val="FFFFFF" w:themeColor="background1"/>
              <w:sz w:val="18"/>
              <w:szCs w:val="18"/>
              <w:lang w:val="es-ES"/>
            </w:rPr>
            <w:t>UILEJA/FMDH/000</w:t>
          </w:r>
          <w:r w:rsidR="00ED11D2">
            <w:rPr>
              <w:rFonts w:ascii="Arial" w:hAnsi="Arial" w:cs="Arial"/>
              <w:b/>
              <w:color w:val="FFFFFF" w:themeColor="background1"/>
              <w:sz w:val="18"/>
              <w:szCs w:val="18"/>
              <w:lang w:val="es-ES"/>
            </w:rPr>
            <w:t>8</w:t>
          </w:r>
          <w:r w:rsidR="00A11979">
            <w:rPr>
              <w:rFonts w:ascii="Arial" w:hAnsi="Arial" w:cs="Arial"/>
              <w:b/>
              <w:color w:val="FFFFFF" w:themeColor="background1"/>
              <w:sz w:val="18"/>
              <w:szCs w:val="18"/>
              <w:lang w:val="es-ES"/>
            </w:rPr>
            <w:t>/2025-AR</w:t>
          </w:r>
          <w:r w:rsidR="00A11979" w:rsidRPr="00D338A0">
            <w:rPr>
              <w:rFonts w:ascii="Arial" w:hAnsi="Arial" w:cs="Arial"/>
              <w:color w:val="FFFFFF" w:themeColor="background1"/>
              <w:sz w:val="18"/>
              <w:szCs w:val="18"/>
              <w:lang w:val="es-ES"/>
            </w:rPr>
            <w:t xml:space="preserve"> </w:t>
          </w:r>
          <w:bookmarkEnd w:id="3"/>
          <w:r w:rsidRPr="00D338A0">
            <w:rPr>
              <w:rFonts w:ascii="Arial" w:hAnsi="Arial" w:cs="Arial"/>
              <w:color w:val="FFFFFF" w:themeColor="background1"/>
              <w:sz w:val="18"/>
              <w:szCs w:val="18"/>
              <w:lang w:val="es-ES"/>
            </w:rPr>
            <w:t xml:space="preserve">que emite </w:t>
          </w:r>
          <w:r w:rsidR="00A11979">
            <w:rPr>
              <w:rFonts w:ascii="Arial" w:hAnsi="Arial" w:cs="Arial"/>
              <w:color w:val="FFFFFF" w:themeColor="background1"/>
              <w:sz w:val="18"/>
              <w:szCs w:val="18"/>
              <w:lang w:val="es-ES"/>
            </w:rPr>
            <w:t>el jefe de la Unidad Especializada en Justicia Penal para Adolescentes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2446" w:rsidRDefault="0060244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180750"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33F"/>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2446"/>
    <w:rsid w:val="006036CF"/>
    <w:rsid w:val="006046F9"/>
    <w:rsid w:val="00604782"/>
    <w:rsid w:val="006161FB"/>
    <w:rsid w:val="00620AA5"/>
    <w:rsid w:val="00620EB9"/>
    <w:rsid w:val="006214A7"/>
    <w:rsid w:val="00622506"/>
    <w:rsid w:val="006235C6"/>
    <w:rsid w:val="00624454"/>
    <w:rsid w:val="00626B35"/>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ED9"/>
    <w:rsid w:val="00A20C0F"/>
    <w:rsid w:val="00A21527"/>
    <w:rsid w:val="00A22535"/>
    <w:rsid w:val="00A23464"/>
    <w:rsid w:val="00A25645"/>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94212"/>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1282"/>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7618B"/>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1D2"/>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0813A4-6540-4AF5-9C4D-DA2E2CD10A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8</Pages>
  <Words>3093</Words>
  <Characters>17014</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2025-10-29T15:54:00Z</cp:lastPrinted>
  <dcterms:created xsi:type="dcterms:W3CDTF">2025-10-29T15:43:00Z</dcterms:created>
  <dcterms:modified xsi:type="dcterms:W3CDTF">2025-11-12T20:22:00Z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