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3C071A"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 xml:space="preserve">El </w:t>
      </w:r>
      <w:r w:rsidR="00672FE8">
        <w:rPr>
          <w:rFonts w:ascii="Arial" w:hAnsi="Arial" w:cs="Arial"/>
          <w:sz w:val="24"/>
          <w:szCs w:val="24"/>
        </w:rPr>
        <w:t>director General de Administración Cesar Isidro Cruz</w:t>
      </w:r>
      <w:r w:rsidR="00D4742A" w:rsidRPr="00115CE3">
        <w:rPr>
          <w:rFonts w:ascii="Arial" w:hAnsi="Arial" w:cs="Arial"/>
          <w:sz w:val="24"/>
          <w:szCs w:val="24"/>
        </w:rPr>
        <w:t>,</w:t>
      </w:r>
      <w:r w:rsidRPr="00115CE3">
        <w:rPr>
          <w:rFonts w:ascii="Arial" w:hAnsi="Arial" w:cs="Arial"/>
          <w:sz w:val="24"/>
          <w:szCs w:val="24"/>
        </w:rPr>
        <w:t xml:space="preserve"> mediante oficio </w:t>
      </w:r>
      <w:r w:rsidR="00CE3272">
        <w:rPr>
          <w:rFonts w:ascii="Arial" w:hAnsi="Arial" w:cs="Arial"/>
          <w:b/>
          <w:sz w:val="24"/>
          <w:szCs w:val="24"/>
        </w:rPr>
        <w:t>DGA/DRH/</w:t>
      </w:r>
      <w:r w:rsidR="00691A2B">
        <w:rPr>
          <w:rFonts w:ascii="Arial" w:hAnsi="Arial" w:cs="Arial"/>
          <w:b/>
          <w:sz w:val="24"/>
          <w:szCs w:val="24"/>
        </w:rPr>
        <w:t>3324</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F801A9">
        <w:rPr>
          <w:rFonts w:ascii="Arial" w:hAnsi="Arial" w:cs="Arial"/>
          <w:b/>
          <w:sz w:val="24"/>
          <w:szCs w:val="24"/>
        </w:rPr>
        <w:t>total</w:t>
      </w:r>
      <w:r w:rsidR="00A15922">
        <w:rPr>
          <w:rFonts w:ascii="Arial" w:hAnsi="Arial" w:cs="Arial"/>
          <w:b/>
          <w:sz w:val="24"/>
          <w:szCs w:val="24"/>
        </w:rPr>
        <w:t xml:space="preserve"> </w:t>
      </w:r>
      <w:r w:rsidR="00E0610B">
        <w:rPr>
          <w:rFonts w:ascii="Arial" w:hAnsi="Arial" w:cs="Arial"/>
          <w:b/>
          <w:sz w:val="24"/>
          <w:szCs w:val="24"/>
        </w:rPr>
        <w:t>AR/</w:t>
      </w:r>
      <w:r w:rsidR="00CE3272">
        <w:rPr>
          <w:rFonts w:ascii="Arial" w:hAnsi="Arial" w:cs="Arial"/>
          <w:b/>
          <w:sz w:val="24"/>
          <w:szCs w:val="24"/>
        </w:rPr>
        <w:t>05</w:t>
      </w:r>
      <w:r w:rsidR="00691A2B">
        <w:rPr>
          <w:rFonts w:ascii="Arial" w:hAnsi="Arial" w:cs="Arial"/>
          <w:b/>
          <w:sz w:val="24"/>
          <w:szCs w:val="24"/>
        </w:rPr>
        <w:t>4</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F0249">
        <w:rPr>
          <w:rFonts w:ascii="Arial" w:hAnsi="Arial" w:cs="Arial"/>
          <w:b/>
          <w:sz w:val="24"/>
          <w:szCs w:val="24"/>
        </w:rPr>
        <w:t>3</w:t>
      </w:r>
      <w:r w:rsidR="004D583C">
        <w:rPr>
          <w:rFonts w:ascii="Arial" w:hAnsi="Arial" w:cs="Arial"/>
          <w:b/>
          <w:sz w:val="24"/>
          <w:szCs w:val="24"/>
        </w:rPr>
        <w:t>95</w:t>
      </w:r>
      <w:r w:rsidR="0053156B" w:rsidRPr="00115CE3">
        <w:rPr>
          <w:rFonts w:ascii="Arial" w:hAnsi="Arial" w:cs="Arial"/>
          <w:sz w:val="24"/>
          <w:szCs w:val="24"/>
        </w:rPr>
        <w:t>-240469825000</w:t>
      </w:r>
      <w:r w:rsidR="005F0249">
        <w:rPr>
          <w:rFonts w:ascii="Arial" w:hAnsi="Arial" w:cs="Arial"/>
          <w:b/>
          <w:sz w:val="24"/>
          <w:szCs w:val="24"/>
        </w:rPr>
        <w:t>3</w:t>
      </w:r>
      <w:r w:rsidR="004D583C">
        <w:rPr>
          <w:rFonts w:ascii="Arial" w:hAnsi="Arial" w:cs="Arial"/>
          <w:b/>
          <w:sz w:val="24"/>
          <w:szCs w:val="24"/>
        </w:rPr>
        <w:t>95</w:t>
      </w:r>
      <w:r w:rsidR="0053156B" w:rsidRPr="00115CE3">
        <w:rPr>
          <w:rFonts w:ascii="Arial" w:hAnsi="Arial" w:cs="Arial"/>
          <w:sz w:val="24"/>
          <w:szCs w:val="24"/>
        </w:rPr>
        <w:t xml:space="preserve">-2025 realizada por </w:t>
      </w:r>
      <w:r w:rsidR="005F0249">
        <w:rPr>
          <w:rFonts w:ascii="Arial" w:hAnsi="Arial" w:cs="Arial"/>
          <w:sz w:val="24"/>
          <w:szCs w:val="24"/>
        </w:rPr>
        <w:t xml:space="preserve">un usuario </w:t>
      </w:r>
      <w:r w:rsidR="004D583C">
        <w:rPr>
          <w:rFonts w:ascii="Arial" w:hAnsi="Arial" w:cs="Arial"/>
          <w:b/>
          <w:sz w:val="24"/>
          <w:szCs w:val="24"/>
        </w:rPr>
        <w:t xml:space="preserve">Erika </w:t>
      </w:r>
      <w:proofErr w:type="gramStart"/>
      <w:r w:rsidR="004D583C">
        <w:rPr>
          <w:rFonts w:ascii="Arial" w:hAnsi="Arial" w:cs="Arial"/>
          <w:b/>
          <w:sz w:val="24"/>
          <w:szCs w:val="24"/>
        </w:rPr>
        <w:t>Domínguez</w:t>
      </w:r>
      <w:r w:rsidR="003C071A">
        <w:rPr>
          <w:rFonts w:ascii="Arial" w:hAnsi="Arial" w:cs="Arial"/>
          <w:b/>
          <w:sz w:val="24"/>
          <w:szCs w:val="24"/>
        </w:rPr>
        <w:t xml:space="preserve">, </w:t>
      </w:r>
      <w:r w:rsidR="003C071A">
        <w:rPr>
          <w:rFonts w:ascii="Arial" w:hAnsi="Arial" w:cs="Arial"/>
          <w:sz w:val="24"/>
          <w:szCs w:val="24"/>
        </w:rPr>
        <w:t xml:space="preserve"> quien</w:t>
      </w:r>
      <w:proofErr w:type="gramEnd"/>
      <w:r w:rsidR="003C071A">
        <w:rPr>
          <w:rFonts w:ascii="Arial" w:hAnsi="Arial" w:cs="Arial"/>
          <w:sz w:val="24"/>
          <w:szCs w:val="24"/>
        </w:rPr>
        <w:t xml:space="preserve"> manifestó su deseo de acceder a:</w:t>
      </w:r>
    </w:p>
    <w:p w:rsidR="003C071A" w:rsidRPr="003C071A" w:rsidRDefault="003C071A" w:rsidP="003C071A">
      <w:pPr>
        <w:spacing w:line="240" w:lineRule="auto"/>
        <w:jc w:val="both"/>
        <w:rPr>
          <w:rFonts w:ascii="Arial" w:hAnsi="Arial" w:cs="Arial"/>
          <w:sz w:val="24"/>
          <w:szCs w:val="24"/>
        </w:rPr>
      </w:pPr>
      <w:r w:rsidRPr="003C071A">
        <w:rPr>
          <w:rFonts w:ascii="Arial" w:hAnsi="Arial" w:cs="Arial"/>
          <w:sz w:val="24"/>
          <w:szCs w:val="24"/>
        </w:rPr>
        <w:t xml:space="preserve">1. ¿Ha habido crecimiento de la plantilla de personal sustantivo (ministerio público, policía de investigación, perito) durante los años 2021, 2022, 2023, 2024 y 2025? En caso afirmativo desglosar por año e indicar cantidad de plazas incrementadas por cada rubro </w:t>
      </w:r>
    </w:p>
    <w:p w:rsidR="003C071A" w:rsidRPr="003C071A" w:rsidRDefault="003C071A" w:rsidP="003C071A">
      <w:pPr>
        <w:spacing w:line="240" w:lineRule="auto"/>
        <w:jc w:val="both"/>
        <w:rPr>
          <w:rFonts w:ascii="Arial" w:hAnsi="Arial" w:cs="Arial"/>
          <w:sz w:val="24"/>
          <w:szCs w:val="24"/>
        </w:rPr>
      </w:pPr>
      <w:r w:rsidRPr="003C071A">
        <w:rPr>
          <w:rFonts w:ascii="Arial" w:hAnsi="Arial" w:cs="Arial"/>
          <w:sz w:val="24"/>
          <w:szCs w:val="24"/>
        </w:rPr>
        <w:t xml:space="preserve">2. ¿Ha representado la Ley de Disciplina Financiera de las Entidades Financieras y los Municipios un obstáculo para generar este crecimiento? </w:t>
      </w:r>
    </w:p>
    <w:p w:rsidR="00BF3665" w:rsidRPr="00115CE3" w:rsidRDefault="003C071A" w:rsidP="003C071A">
      <w:pPr>
        <w:spacing w:line="240" w:lineRule="auto"/>
        <w:jc w:val="both"/>
        <w:rPr>
          <w:rFonts w:ascii="Arial" w:hAnsi="Arial" w:cs="Arial"/>
          <w:sz w:val="24"/>
          <w:szCs w:val="24"/>
        </w:rPr>
      </w:pPr>
      <w:r w:rsidRPr="003C071A">
        <w:rPr>
          <w:rFonts w:ascii="Arial" w:hAnsi="Arial" w:cs="Arial"/>
          <w:sz w:val="24"/>
          <w:szCs w:val="24"/>
        </w:rPr>
        <w:t>3. ¿De qué manera se ha justificado la creación de estas plazas? de ser necesario, mencione el marco jurídico, acuerdos, o demás normativas correspondientes.</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F801A9">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05</w:t>
      </w:r>
      <w:r w:rsidR="004D583C">
        <w:rPr>
          <w:rFonts w:ascii="Arial" w:hAnsi="Arial" w:cs="Arial"/>
          <w:b/>
          <w:sz w:val="24"/>
          <w:szCs w:val="24"/>
        </w:rPr>
        <w:t>4</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F801A9">
        <w:rPr>
          <w:rFonts w:ascii="Arial" w:hAnsi="Arial" w:cs="Arial"/>
          <w:b/>
          <w:sz w:val="24"/>
          <w:szCs w:val="24"/>
        </w:rPr>
        <w:t>total</w:t>
      </w:r>
      <w:r w:rsidRPr="00115CE3">
        <w:rPr>
          <w:rFonts w:ascii="Arial" w:hAnsi="Arial" w:cs="Arial"/>
          <w:sz w:val="24"/>
          <w:szCs w:val="24"/>
        </w:rPr>
        <w:t xml:space="preserve"> número </w:t>
      </w:r>
      <w:r w:rsidR="00E26106">
        <w:rPr>
          <w:rFonts w:ascii="Arial" w:hAnsi="Arial" w:cs="Arial"/>
          <w:b/>
          <w:sz w:val="24"/>
          <w:szCs w:val="24"/>
        </w:rPr>
        <w:t>AR/</w:t>
      </w:r>
      <w:r w:rsidR="00CE3272">
        <w:rPr>
          <w:rFonts w:ascii="Arial" w:hAnsi="Arial" w:cs="Arial"/>
          <w:b/>
          <w:sz w:val="24"/>
          <w:szCs w:val="24"/>
        </w:rPr>
        <w:t>05</w:t>
      </w:r>
      <w:r w:rsidR="004D583C">
        <w:rPr>
          <w:rFonts w:ascii="Arial" w:hAnsi="Arial" w:cs="Arial"/>
          <w:b/>
          <w:sz w:val="24"/>
          <w:szCs w:val="24"/>
        </w:rPr>
        <w:t>4</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w:t>
      </w:r>
      <w:r w:rsidRPr="00115CE3">
        <w:rPr>
          <w:rFonts w:ascii="Arial" w:hAnsi="Arial" w:cs="Arial"/>
          <w:sz w:val="24"/>
          <w:szCs w:val="24"/>
        </w:rPr>
        <w:lastRenderedPageBreak/>
        <w:t xml:space="preserve">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F801A9">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05</w:t>
      </w:r>
      <w:r w:rsidR="004D583C">
        <w:rPr>
          <w:rFonts w:ascii="Arial" w:hAnsi="Arial" w:cs="Arial"/>
          <w:b/>
          <w:sz w:val="24"/>
          <w:szCs w:val="24"/>
        </w:rPr>
        <w:t>4</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BB5A9F" w:rsidRPr="00BB5A9F" w:rsidRDefault="007336C3" w:rsidP="00BB5A9F">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BB5A9F">
        <w:rPr>
          <w:rFonts w:ascii="Arial" w:hAnsi="Arial" w:cs="Arial"/>
          <w:sz w:val="24"/>
          <w:szCs w:val="24"/>
        </w:rPr>
        <w:t>D</w:t>
      </w:r>
      <w:r w:rsidR="00BB5A9F" w:rsidRPr="00BB5A9F">
        <w:rPr>
          <w:rFonts w:ascii="Arial" w:hAnsi="Arial" w:cs="Arial"/>
          <w:sz w:val="24"/>
          <w:szCs w:val="24"/>
        </w:rPr>
        <w:t xml:space="preserve">ar a conocer la información pública solicitada El crecimiento de la plantilla de personal sustantivo (ministerio público, policía de investigación, perito) durante los años 2021, 2022, 2023, 2024 y 2025 y el desglose por año de la cantidad de plazas incrementadas por cada rubro en Materia de Derechos Humanos y el número total de personas que trabajan en la Fiscalía General del Estado de San Luis Potosí. Representa un riesgo real, ya que se daría conocer la totalidad de la capacidad de reacción de la Institución, ante la delincuencia organizada, lo que causaría un perjuicio significativo al interés público pues atenta de manera directa contra la seguridad del estado, debido a que miembros de asociaciones delictivas podrían aprovechar esa información para realizar algún ataque o amenaza, ya que con esta información se obtienen datos que además permitiría sustraerse de la acción de la justicia y, por tanto, quedar impunes por la comisión de delitos por los que se les persigue, siendo esta una de las causales de actualización de la hipótesis contemplada en el numeral Décimo Octavo de los Lineamientos Generales para la clasificación y desclasificación de la información así como la elaboración de versión Pública. </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 xml:space="preserve">Dicho entonces que “control” es un término que se usa como sinónimos de supervisar los actos de gobierno, pero no siempre implican la obligación de los gobernantes para informar de </w:t>
      </w:r>
      <w:r w:rsidRPr="00BB5A9F">
        <w:rPr>
          <w:rFonts w:ascii="Arial" w:hAnsi="Arial" w:cs="Arial"/>
          <w:sz w:val="24"/>
          <w:szCs w:val="24"/>
        </w:rPr>
        <w:lastRenderedPageBreak/>
        <w:t>manera periódica sobre sus decisiones y acciones. Por ello, el control y la fiscalización son mecanismos de un sistema global de rendición de cuentas, pero éste abarca además otros instrumentos como la transparencia y los informes periódicos que los gobernantes deben rendir a los ciudadanos.</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Finalmente, el concepto de “transparencia” también se usa en ocasiones como sinónimo de rendición de cuentas. La transparencia es una característica que abre la información de las organizaciones políticas y burocráticas al escrutinio público mediante sistemas de clasificación y difusión que reducen los costos de acceso a la información del gobierno. Sin embargo, la transparencia no implica un acto de rendir cuentas a un destinatario específico, sino la práctica de colocar la información en la “vitrina pública” para que los interesados puedan revisarla, analizarla y, en su caso, usarla como mecanismo para sancionar en caso de que haya anomalías en su interior. Al igual que en el caso de la fiscalización, la transparencia es sólo un instrumento de un sistema global de rendición de cuentas.</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Dicho lo anterior, para el caso en particular la difusión El crecimiento de la plantilla de personal sustantivo (ministerio público, policía de investigación, perito) durante los años 2021, 2022, 2023, 2024 y 2025 y el desglose por año de la cantidad de plazas incrementadas por cada rubro en Materia de Derechos Humanos y el número total de personas que trabajan en la Fiscalía General del Estado de San Luis Potosí.</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Afectarían los programas de inteligencia y contra inteligencia con los que cuenta la Fiscalía del Estado, dejando en un grave estado de vulnerabilidad a la corporación para cumplir con sus obligaciones constitucionales.</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No debe pasar desapercibido, que la información de interés asignaría un valor de peligrosidad en cada uno de los distintos mercados criminales, pues podría crear mecanismos en que estos se puedan especializar, agrupar o reclutar más individuos, para el desplegar acciones antisociales, que conllevan a una reestructura administrativa y operativa, ante la comisión de delitos.</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No pasando desapercibido, que la entrega de la información que se derive de esta traería como consecuencias de la individualización de casos y los potenciales riesgos que esto implica son sumamente relevantes, ya que de materializarse pueden propiciar la revictimización, la comisión de nuevos delitos, afectar los flujos de información y entorpecer la investigación (y otros proyectos similares, que son un insumo importante para la investigación criminal), afectar los procesos de procuración de justicia, incrementar la desconfianza de la población en las autoridades de procuración de justicia y generar incentivos negativos para la denuncia de futuros delitos.</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 xml:space="preserve">Esto cobra razón, pues entre las atribuciones conferidas a dicha Fiscalía se encuentra, el ejercicio de investigar, perseguir y ejercer sus atribuciones en los delitos contemplados en el </w:t>
      </w:r>
      <w:r w:rsidRPr="00BB5A9F">
        <w:rPr>
          <w:rFonts w:ascii="Arial" w:hAnsi="Arial" w:cs="Arial"/>
          <w:sz w:val="24"/>
          <w:szCs w:val="24"/>
        </w:rPr>
        <w:lastRenderedPageBreak/>
        <w:t>Código Penal vigente y aplicable a esta Fiscalía General del Estado, incluso en grado de tentativa.</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Naturaleza que hace perfectamente identificables a los servidores públicos, lo cual, les puede inhibir por el grado de exposición y conforme a las secuelas que cada una tengan, por lo que se les puede afectar de una manera incalculable, por ejemplo, en el sentido de que desistan de sus investigaciones, sea por presión social o por amenazas, lo que no solo conllevaría a la impunidad, sino a que se incrementen los delitos en el corto, mediano y largo plazo.</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De manera específica, su publicación afectaría en el corto plazo, en al menos tres esferas:</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w:t>
      </w:r>
      <w:r w:rsidRPr="00BB5A9F">
        <w:rPr>
          <w:rFonts w:ascii="Arial" w:hAnsi="Arial" w:cs="Arial"/>
          <w:sz w:val="24"/>
          <w:szCs w:val="24"/>
        </w:rPr>
        <w:tab/>
        <w:t>Individual: vulnera la integridad física y mental de las personas involucradas (víctimas, presunto responsable).</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w:t>
      </w:r>
      <w:r w:rsidRPr="00BB5A9F">
        <w:rPr>
          <w:rFonts w:ascii="Arial" w:hAnsi="Arial" w:cs="Arial"/>
          <w:sz w:val="24"/>
          <w:szCs w:val="24"/>
        </w:rPr>
        <w:tab/>
        <w:t>Investigación: puede afectar los procesos de investigación criminal.</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w:t>
      </w:r>
      <w:r w:rsidRPr="00BB5A9F">
        <w:rPr>
          <w:rFonts w:ascii="Arial" w:hAnsi="Arial" w:cs="Arial"/>
          <w:sz w:val="24"/>
          <w:szCs w:val="24"/>
        </w:rPr>
        <w:tab/>
        <w:t>Institucional: pone en riesgo la procuración de justicia.</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 xml:space="preserve">Este riesgo puede ser un incentivo importante para no denunciar o para desistir en un proceso de denuncia ya iniciado. Recordemos que en México durante los años 2023 la cifra negra (delitos no denunciados o denunciados que no derivaron en carpeta de investigación) es de 92.9%, y entre las razones para no denunciar se encuentra la desconfianza en la autoridad en el 12.7% de las ocasiones, como lo señala la Encuesta Nacional de Victimización y Percepción sobre Seguridad Pública (ENVIPE) 2024, realizada por el INEGI en su Comunicado de Prensa No. 562/24 de 19 de </w:t>
      </w:r>
      <w:r>
        <w:rPr>
          <w:rFonts w:ascii="Arial" w:hAnsi="Arial" w:cs="Arial"/>
          <w:sz w:val="24"/>
          <w:szCs w:val="24"/>
        </w:rPr>
        <w:t>s</w:t>
      </w:r>
      <w:r w:rsidRPr="00BB5A9F">
        <w:rPr>
          <w:rFonts w:ascii="Arial" w:hAnsi="Arial" w:cs="Arial"/>
          <w:sz w:val="24"/>
          <w:szCs w:val="24"/>
        </w:rPr>
        <w:t>eptiembre de 2024.</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Lo anterior cobra lógica, pues, como lo manifiesta el Lineamiento Trigésimo Segundo la normativa que exime el acceso a la información, lo contemplan los artículos 93, 93 bis, 99, fracciones I y III de la Ley del Sistema Estatal de Seguridad Pública, así como en observancia a la Controversia Constitucional número 325/2019.</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Bajo el preámbulo de ser información generada por esta autoridad en ejercicio de sus funciones y con recursos públicos, es, desde luego, información gubernamental a la que todos los ciudadanos deberían tener acceso. No obstante, al ser información que de forma paralela engloba a investigaciones de tipo criminal, se actualiza la excepción que dicta que parte de esta información puede ser reservada por las autoridades para que no sea conocida por el público hasta pasado un lapso de tiempo y bajo ciertas modalidades, ya que exponer determinados datos de manera anticipada puede llevar al fracaso las investigaciones que persiguen delitos.</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 xml:space="preserve">Cabe resaltar que es muy comprensible que las autoridades encargadas de investigar hechos ilícitos guarden sigilo y secrecía sobre sus actuaciones, pues no debe perderse de vista que, en muchos casos, el éxito de las investigaciones de este tipo depende de que sean oportunas </w:t>
      </w:r>
      <w:r w:rsidRPr="00BB5A9F">
        <w:rPr>
          <w:rFonts w:ascii="Arial" w:hAnsi="Arial" w:cs="Arial"/>
          <w:sz w:val="24"/>
          <w:szCs w:val="24"/>
        </w:rPr>
        <w:lastRenderedPageBreak/>
        <w:t>y discretamente conducidas, a fin de que no se destruyan los indicios del delito y se evadan responsabilidades. Sin embargo, algunas investigaciones penales demandan un conocimiento público cuando se relacionan con hechos relevantes para la vida nacional, como puede ser la persecución de delitos de corrupción o de delincuencia organizada, y exigen que las autoridades rindan cuentas de manera constante sobre los avances que esas investigaciones presentan.</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 xml:space="preserve">De lo anteriormente citado, robustece que la revelación de información del personal que tiene a su cargo el desarrollo o ejercicio de la función pública en materia de seguridad pública y procuración de justicia, pondría en conocimiento de la sociedad y más grave aún de los grupos criminales una parte porcentual de la capacidad de reacción de esta Institución, dejando en estado de indefensión a la sociedad y todos los ejes participes para el cumplimiento de la ley en toda su expresión. Daño que resultaría de imposible reparación, y en la que el Estado tiene la calidad de velador de un bien jurídico tutelado. </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Concierne señalar que la Fiscalía General del Estado, conoce de los asuntos conexos o relacionados con el ámbito de su competencia, cuidando su integridad y no fragmentación, aun aquellos que versen sobre delincuencia organizada; establece planes y programas para detectar, informar y fomentar la cultura de la denuncia de cualquier hechos delictivo; diseña e implementar mecanismos de colaboración con autoridades que ejercen facultades de fiscalización, con el fin de fortalecer el desarrollo de sus investigaciones, y tramita.</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Por su alta complejidad, importancia y trascendencia, relevancia o especialización, esta información podría permitir a los miembros de la delincuencia organizada identificar no solo a los servidores públicos, sino sus actividades concretas, hecho delictivo e incluso la efectividad de la amenaza real y eminente en el entorno social, desde la perspectiva de la Procuración de Justicia, como una expresión de la impericia de la delincuencia organizada y sus alcances hacia la capacidad de respuesta ante las acciones realizadas para abatir actos delictivos, lo que podría poner en riesgo las acciones concretas de la persecución delictiva, tal como lo provee la Suprema Corte de Justicia de la Nación, en su resolución emitida el 12 de mayo de 2022, dentro de la controversia constitucional número 325/2019:</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“b) con dicha información se revelarían a detalle las características funcionales del personal y con ello, su organización para el cumplimiento de sus funciones;”</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En cuanto al inciso C) de la misma resolución en comento: “c) los Ministerios Públicos de la Federación están sujetos a cambios de adscripción”. De igual forma los agentes del Ministerio Público, además de los Policías, Peritos, inclusive el personal de administrativo y de apoyo, están sujetos a cambios de adscripción, acorde a las necesidades del servicio.</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 xml:space="preserve">En concreto advierto que los rubros que se reservan, de manera razonable genera vulnerabilidad a la Seguridad Pública y la Paz social de la entidad. Así como a las acciones de procuración de justicia en materia de investigación y persecución de un delito de modo que </w:t>
      </w:r>
      <w:r w:rsidRPr="00BB5A9F">
        <w:rPr>
          <w:rFonts w:ascii="Arial" w:hAnsi="Arial" w:cs="Arial"/>
          <w:sz w:val="24"/>
          <w:szCs w:val="24"/>
        </w:rPr>
        <w:lastRenderedPageBreak/>
        <w:t>entorpece diligencias tendientes al cumplimiento de mandamientos judiciales dentro de su competencia, lo que resulta en detrimento de la seguridad pública y la conducción jurídica de investigaciones y el ejercicio de la acción penal, funciones preponderantes de la fiscalía General del Estado.</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La Suprema Corte de Justicia contempla, en su resolución emitida el 12 de mayo de 2022, dentro de la Controversia Constitucional número 325/2019, que “la entrega de información a un particular referente al nombre y cargo de todo el personal que realiza tareas sustantivas de investigación y persecución de delitos, podría comprometer el ejercicio de sus facultades constitucionales y, con ello, la seguridad pública del país, en virtud de que: a) la información podría ser aprovechada por los grupos criminales para conocer la capacidad de reacción de la FGR…” Partiendo de esta premisa, se estima que a través de la información correspondiente a “el desglose por año de la cantidad de plazas incrementadas de Ministerios Públicos Peritos y Policías de la Fiscalía General del Estado, revela el número total de personal vinculado en las labores de procuración de justicia de un parea específica y de un porcentaje del total del personal asignado a las áreas táctico operativas,  por lo cual resultaría en la revelación concreta de la capacidad de respuesta y capacidad operativa de la Fiscalía, así como establecería una brecha en la que el servidor público pueda ser corrompido para llevar sus actuaciones a directrices en donde no se garantice el Estado de Derecho, lo cual sería aprovechada por la delincuencia organizada, para impedir las acciones de procuración de justicia poniendo en riesgo, la seguridad pública del estado, el orden público, la seguridad de la institución, la seguridad y la vida de los propios servidores públicos, y en casos extremos la seguridad y vida de la ciudadanía, derivado de la posibilidad de que se generen enfrentamientos abiertamente violentos causando daños colaterales, además de la afectación directa en los procesos de investigación y persecución de los actos delictivos.</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 xml:space="preserve">Enfrentamientos que pudieran generarse dado que las acciones de procuración de justicia estarían afectando directamente en la comisión de actos ilícitos por parte de los grupos delincuenciales. </w:t>
      </w:r>
    </w:p>
    <w:p w:rsidR="00BB5A9F" w:rsidRPr="00BB5A9F"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El objeto de la clasificación es preservar la capacidad y con ello se pudiera inferir la fuerza de la corporación, sus funciones operativas en el desarrollo de las competencias de la Fiscalía General del Estado.</w:t>
      </w:r>
    </w:p>
    <w:p w:rsidR="007359E9" w:rsidRPr="009E1D25" w:rsidRDefault="00BB5A9F" w:rsidP="00BB5A9F">
      <w:pPr>
        <w:autoSpaceDE w:val="0"/>
        <w:autoSpaceDN w:val="0"/>
        <w:adjustRightInd w:val="0"/>
        <w:spacing w:line="240" w:lineRule="auto"/>
        <w:jc w:val="both"/>
        <w:rPr>
          <w:rFonts w:ascii="Arial" w:hAnsi="Arial" w:cs="Arial"/>
          <w:sz w:val="24"/>
          <w:szCs w:val="24"/>
        </w:rPr>
      </w:pPr>
      <w:r w:rsidRPr="00BB5A9F">
        <w:rPr>
          <w:rFonts w:ascii="Arial" w:hAnsi="Arial" w:cs="Arial"/>
          <w:sz w:val="24"/>
          <w:szCs w:val="24"/>
        </w:rPr>
        <w:t>Consecuentemente, se busca proteger los preceptos normativos que establecen que, para el ejercicio del derecho humano a la seguridad pública, la prevención, investigación y persecución de los delitos que son materia de su competencia.</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I y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w:t>
      </w:r>
      <w:r w:rsidR="004D583C">
        <w:rPr>
          <w:rFonts w:ascii="Arial" w:hAnsi="Arial" w:cs="Arial"/>
          <w:sz w:val="24"/>
          <w:szCs w:val="24"/>
        </w:rPr>
        <w:t xml:space="preserve"> Décimo octavo, </w:t>
      </w:r>
      <w:r w:rsidR="00551990" w:rsidRPr="00115CE3">
        <w:rPr>
          <w:rFonts w:ascii="Arial" w:hAnsi="Arial" w:cs="Arial"/>
          <w:sz w:val="24"/>
          <w:szCs w:val="24"/>
        </w:rPr>
        <w:t xml:space="preserve"> Trigésimo </w:t>
      </w:r>
      <w:r w:rsidR="00551990" w:rsidRPr="00115CE3">
        <w:rPr>
          <w:rFonts w:ascii="Arial" w:hAnsi="Arial" w:cs="Arial"/>
          <w:sz w:val="24"/>
          <w:szCs w:val="24"/>
        </w:rPr>
        <w:lastRenderedPageBreak/>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80577A">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P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lastRenderedPageBreak/>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3474AB" w:rsidRDefault="00427CA6" w:rsidP="00BB5A9F">
      <w:pPr>
        <w:pStyle w:val="Default"/>
        <w:jc w:val="both"/>
        <w:rPr>
          <w:rFonts w:eastAsia="Times New Roman"/>
          <w:lang w:eastAsia="es-ES"/>
        </w:rPr>
      </w:pPr>
      <w:r>
        <w:rPr>
          <w:sz w:val="23"/>
          <w:szCs w:val="23"/>
        </w:rPr>
        <w:t>Nos encontramos ante una reserva total.</w:t>
      </w:r>
      <w:r w:rsidR="00BB5A9F">
        <w:rPr>
          <w:sz w:val="23"/>
          <w:szCs w:val="23"/>
        </w:rPr>
        <w:t xml:space="preserve"> </w:t>
      </w:r>
      <w:r w:rsidR="00BB5A9F" w:rsidRPr="00BB5A9F">
        <w:rPr>
          <w:rFonts w:eastAsia="Times New Roman"/>
          <w:lang w:eastAsia="es-ES"/>
        </w:rPr>
        <w:t>Acorde a lo dispuesto por el artículo 115 fracción IV, segundo párrafo de la Ley de Transparencia del Estado, concatenado al lineamiento Trigésimo cuarto de los –LGCDIEVP-el plazo por el que se acuerda la reserva total por 5 (cinco) AÑOS, mismo que comprenderá del 27 de agosto del 2025, al 27 de agosto del 2030 esto debido a que durante este tiempo el divulgar la información de interés del personal sustantivo que conforman el área encargada de planear, organizar, coordinar y ejecutar las normas y programas para la evaluación técnico-jurídica, de las actividades realizadas por las áreas tácticas operativas de la Fiscalía General del Estado, que actualmente tiene la Institución dejarían en un grave estado de vulnerabilidad ante la delincuencia organizada, al dejar descubierta la capacidad de reacción de la corporación, salvaguardando de esta manera el interés público protegido que en el caso es la seguridad pública, y la capacidad de reacción de la Fiscalía General del Estado para la conducción jurídica de la investigación y el ejercicio de la acción penal. Siendo de forma conjunta, información que por normativa no puede obsequiarse o hacerse del conocimiento público.</w:t>
      </w:r>
    </w:p>
    <w:p w:rsidR="00BB5A9F" w:rsidRDefault="00BB5A9F" w:rsidP="00BB5A9F">
      <w:pPr>
        <w:pStyle w:val="Default"/>
        <w:jc w:val="both"/>
        <w:rPr>
          <w:rFonts w:eastAsia="Times New Roman"/>
          <w:lang w:eastAsia="es-ES"/>
        </w:rPr>
      </w:pPr>
    </w:p>
    <w:p w:rsidR="00BB5A9F" w:rsidRPr="008169B6" w:rsidRDefault="00BB5A9F" w:rsidP="00BB5A9F">
      <w:pPr>
        <w:pStyle w:val="Default"/>
        <w:jc w:val="both"/>
        <w:rPr>
          <w:rFonts w:eastAsia="Times New Roman"/>
          <w:lang w:eastAsia="es-ES"/>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B5A9F" w:rsidRPr="00115CE3" w:rsidRDefault="00BB5A9F"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Default="001E22D9" w:rsidP="003474AB">
      <w:pPr>
        <w:pStyle w:val="Prrafodelista"/>
        <w:numPr>
          <w:ilvl w:val="0"/>
          <w:numId w:val="17"/>
        </w:numPr>
        <w:jc w:val="both"/>
        <w:rPr>
          <w:rFonts w:ascii="Arial" w:hAnsi="Arial" w:cs="Arial"/>
          <w:b/>
        </w:rPr>
      </w:pPr>
      <w:r w:rsidRPr="003474AB">
        <w:rPr>
          <w:rFonts w:ascii="Arial" w:hAnsi="Arial" w:cs="Arial"/>
          <w:b/>
        </w:rPr>
        <w:lastRenderedPageBreak/>
        <w:t>El nombre del titular o área encargada de realizar la revisión pública del documento, en su caso.</w:t>
      </w:r>
    </w:p>
    <w:p w:rsidR="00BB5A9F" w:rsidRPr="003474AB" w:rsidRDefault="00BB5A9F" w:rsidP="00BB5A9F">
      <w:pPr>
        <w:pStyle w:val="Prrafodelista"/>
        <w:ind w:left="1080"/>
        <w:jc w:val="both"/>
        <w:rPr>
          <w:rFonts w:ascii="Arial" w:hAnsi="Arial" w:cs="Arial"/>
          <w:b/>
        </w:rPr>
      </w:pP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F801A9">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80577A">
        <w:rPr>
          <w:rFonts w:ascii="Arial" w:hAnsi="Arial" w:cs="Arial"/>
          <w:b/>
          <w:sz w:val="24"/>
          <w:szCs w:val="24"/>
        </w:rPr>
        <w:t>5</w:t>
      </w:r>
      <w:r w:rsidR="004D583C">
        <w:rPr>
          <w:rFonts w:ascii="Arial" w:hAnsi="Arial" w:cs="Arial"/>
          <w:b/>
          <w:sz w:val="24"/>
          <w:szCs w:val="24"/>
        </w:rPr>
        <w:t>4</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 xml:space="preserve">l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B5A9F" w:rsidRDefault="00BB5A9F"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BB5A9F" w:rsidRDefault="00BB5A9F" w:rsidP="005F0249">
      <w:pPr>
        <w:spacing w:line="240" w:lineRule="auto"/>
        <w:jc w:val="center"/>
        <w:rPr>
          <w:rFonts w:ascii="Arial" w:hAnsi="Arial" w:cs="Arial"/>
          <w:b/>
          <w:sz w:val="24"/>
          <w:szCs w:val="24"/>
        </w:rPr>
      </w:pP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F801A9">
        <w:rPr>
          <w:rFonts w:ascii="Arial" w:hAnsi="Arial" w:cs="Arial"/>
          <w:b/>
          <w:sz w:val="24"/>
          <w:szCs w:val="24"/>
        </w:rPr>
        <w:t xml:space="preserve">total </w:t>
      </w:r>
      <w:r w:rsidRPr="00115CE3">
        <w:rPr>
          <w:rFonts w:ascii="Arial" w:hAnsi="Arial" w:cs="Arial"/>
          <w:sz w:val="24"/>
          <w:szCs w:val="24"/>
        </w:rPr>
        <w:t xml:space="preserve">número </w:t>
      </w:r>
      <w:r w:rsidR="00375ED0">
        <w:rPr>
          <w:rFonts w:ascii="Arial" w:hAnsi="Arial" w:cs="Arial"/>
          <w:b/>
          <w:sz w:val="24"/>
          <w:szCs w:val="24"/>
        </w:rPr>
        <w:t>AR/</w:t>
      </w:r>
      <w:r w:rsidR="0080577A">
        <w:rPr>
          <w:rFonts w:ascii="Arial" w:hAnsi="Arial" w:cs="Arial"/>
          <w:b/>
          <w:sz w:val="24"/>
          <w:szCs w:val="24"/>
        </w:rPr>
        <w:t>5</w:t>
      </w:r>
      <w:r w:rsidR="004D583C">
        <w:rPr>
          <w:rFonts w:ascii="Arial" w:hAnsi="Arial" w:cs="Arial"/>
          <w:b/>
          <w:sz w:val="24"/>
          <w:szCs w:val="24"/>
        </w:rPr>
        <w:t>4</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 xml:space="preserve">el </w:t>
      </w:r>
      <w:r w:rsidR="00672FE8">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3C071A" w:rsidRDefault="00476EF2" w:rsidP="003C071A">
      <w:pPr>
        <w:spacing w:line="240" w:lineRule="auto"/>
        <w:jc w:val="both"/>
        <w:rPr>
          <w:rFonts w:ascii="Arial" w:hAnsi="Arial" w:cs="Arial"/>
          <w:sz w:val="24"/>
          <w:szCs w:val="24"/>
        </w:rPr>
      </w:pPr>
      <w:r w:rsidRPr="00115CE3">
        <w:rPr>
          <w:rFonts w:ascii="Arial" w:hAnsi="Arial" w:cs="Arial"/>
          <w:b/>
          <w:sz w:val="24"/>
          <w:szCs w:val="24"/>
        </w:rPr>
        <w:t xml:space="preserve">SEGUNDO. </w:t>
      </w:r>
      <w:r w:rsidR="003C071A">
        <w:rPr>
          <w:rFonts w:ascii="Arial" w:hAnsi="Arial" w:cs="Arial"/>
          <w:sz w:val="24"/>
          <w:szCs w:val="24"/>
        </w:rPr>
        <w:t>El director General de Administración Cesar Isidro Cruz</w:t>
      </w:r>
      <w:r w:rsidR="003C071A"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3C071A" w:rsidRPr="00115CE3">
        <w:rPr>
          <w:rFonts w:ascii="Arial" w:hAnsi="Arial" w:cs="Arial"/>
          <w:i/>
          <w:sz w:val="24"/>
          <w:szCs w:val="24"/>
        </w:rPr>
        <w:t>tercero</w:t>
      </w:r>
      <w:r w:rsidR="003C071A" w:rsidRPr="00115CE3">
        <w:rPr>
          <w:rFonts w:ascii="Arial" w:hAnsi="Arial" w:cs="Arial"/>
          <w:sz w:val="24"/>
          <w:szCs w:val="24"/>
        </w:rPr>
        <w:t xml:space="preserve"> fracción III de la presente resolución.</w:t>
      </w:r>
    </w:p>
    <w:p w:rsidR="003C071A" w:rsidRDefault="00476EF2" w:rsidP="003C071A">
      <w:pPr>
        <w:spacing w:line="240" w:lineRule="auto"/>
        <w:jc w:val="both"/>
        <w:rPr>
          <w:rFonts w:ascii="Arial" w:hAnsi="Arial" w:cs="Arial"/>
          <w:sz w:val="24"/>
          <w:szCs w:val="24"/>
        </w:rPr>
      </w:pPr>
      <w:r w:rsidRPr="00115CE3">
        <w:rPr>
          <w:rFonts w:ascii="Arial" w:hAnsi="Arial" w:cs="Arial"/>
          <w:b/>
          <w:sz w:val="24"/>
          <w:szCs w:val="24"/>
        </w:rPr>
        <w:t xml:space="preserve">TERCERO. </w:t>
      </w:r>
      <w:r w:rsidR="003C071A" w:rsidRPr="00115CE3">
        <w:rPr>
          <w:rFonts w:ascii="Arial" w:hAnsi="Arial" w:cs="Arial"/>
          <w:sz w:val="24"/>
          <w:szCs w:val="24"/>
        </w:rPr>
        <w:t xml:space="preserve">Se instruye </w:t>
      </w:r>
      <w:r w:rsidR="003C071A">
        <w:rPr>
          <w:rFonts w:ascii="Arial" w:hAnsi="Arial" w:cs="Arial"/>
          <w:sz w:val="24"/>
          <w:szCs w:val="24"/>
        </w:rPr>
        <w:t>al director General de Administración Cesar Isidro Cruz</w:t>
      </w:r>
      <w:r w:rsidR="003C071A" w:rsidRPr="00115CE3">
        <w:rPr>
          <w:rFonts w:ascii="Arial" w:hAnsi="Arial" w:cs="Arial"/>
          <w:sz w:val="24"/>
          <w:szCs w:val="24"/>
        </w:rPr>
        <w:t xml:space="preserve">, para que dé cumplimiento a los efectos de la presente resolución establecidos en el considerando </w:t>
      </w:r>
      <w:r w:rsidR="003C071A" w:rsidRPr="00115CE3">
        <w:rPr>
          <w:rFonts w:ascii="Arial" w:hAnsi="Arial" w:cs="Arial"/>
          <w:i/>
          <w:sz w:val="24"/>
          <w:szCs w:val="24"/>
        </w:rPr>
        <w:t>tercero</w:t>
      </w:r>
      <w:r w:rsidR="003C071A" w:rsidRPr="00115CE3">
        <w:rPr>
          <w:rFonts w:ascii="Arial" w:hAnsi="Arial" w:cs="Arial"/>
          <w:sz w:val="24"/>
          <w:szCs w:val="24"/>
        </w:rPr>
        <w:t xml:space="preserve"> fracción V.</w:t>
      </w:r>
    </w:p>
    <w:bookmarkEnd w:id="1"/>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4D583C">
        <w:rPr>
          <w:rFonts w:ascii="Arial" w:hAnsi="Arial" w:cs="Arial"/>
          <w:b/>
          <w:sz w:val="24"/>
          <w:szCs w:val="24"/>
        </w:rPr>
        <w:t>71</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BB5A9F" w:rsidRDefault="00BB5A9F" w:rsidP="00EF1D58">
      <w:pPr>
        <w:spacing w:after="0"/>
        <w:jc w:val="both"/>
        <w:rPr>
          <w:rFonts w:ascii="Arial" w:hAnsi="Arial" w:cs="Arial"/>
          <w:sz w:val="24"/>
          <w:szCs w:val="24"/>
          <w:highlight w:val="yellow"/>
        </w:rPr>
      </w:pPr>
    </w:p>
    <w:p w:rsidR="00BB5A9F" w:rsidRPr="00115CE3" w:rsidRDefault="00BB5A9F"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B5A9F" w:rsidRDefault="00BB5A9F" w:rsidP="00EF1D58">
      <w:pPr>
        <w:tabs>
          <w:tab w:val="left" w:pos="8998"/>
          <w:tab w:val="left" w:pos="9932"/>
        </w:tabs>
        <w:spacing w:before="20" w:after="0"/>
        <w:rPr>
          <w:rFonts w:ascii="Arial" w:eastAsia="Arial" w:hAnsi="Arial" w:cs="Arial"/>
          <w:b/>
          <w:sz w:val="24"/>
          <w:szCs w:val="24"/>
        </w:rPr>
      </w:pPr>
    </w:p>
    <w:p w:rsidR="00BB5A9F" w:rsidRDefault="00BB5A9F" w:rsidP="00EF1D58">
      <w:pPr>
        <w:tabs>
          <w:tab w:val="left" w:pos="8998"/>
          <w:tab w:val="left" w:pos="9932"/>
        </w:tabs>
        <w:spacing w:before="20" w:after="0"/>
        <w:rPr>
          <w:rFonts w:ascii="Arial" w:eastAsia="Arial" w:hAnsi="Arial" w:cs="Arial"/>
          <w:b/>
          <w:sz w:val="24"/>
          <w:szCs w:val="24"/>
        </w:rPr>
      </w:pPr>
    </w:p>
    <w:p w:rsidR="00BB5A9F" w:rsidRDefault="00BB5A9F"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BB5A9F" w:rsidRDefault="00BB5A9F" w:rsidP="00EF1D58">
      <w:pPr>
        <w:spacing w:after="0"/>
        <w:rPr>
          <w:rFonts w:ascii="Arial" w:hAnsi="Arial" w:cs="Arial"/>
          <w:b/>
          <w:sz w:val="24"/>
          <w:szCs w:val="24"/>
        </w:rPr>
      </w:pPr>
    </w:p>
    <w:p w:rsidR="00BB5A9F" w:rsidRDefault="00BB5A9F" w:rsidP="00EF1D58">
      <w:pPr>
        <w:spacing w:after="0"/>
        <w:rPr>
          <w:rFonts w:ascii="Arial" w:hAnsi="Arial" w:cs="Arial"/>
          <w:b/>
          <w:sz w:val="24"/>
          <w:szCs w:val="24"/>
        </w:rPr>
      </w:pPr>
    </w:p>
    <w:p w:rsidR="00BB5A9F" w:rsidRDefault="00BB5A9F" w:rsidP="00EF1D58">
      <w:pPr>
        <w:spacing w:after="0"/>
        <w:rPr>
          <w:rFonts w:ascii="Arial" w:hAnsi="Arial" w:cs="Arial"/>
          <w:b/>
          <w:sz w:val="24"/>
          <w:szCs w:val="24"/>
        </w:rPr>
      </w:pPr>
    </w:p>
    <w:p w:rsidR="00BB5A9F" w:rsidRDefault="00BB5A9F"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600F" w:rsidRDefault="00D0600F">
      <w:r>
        <w:separator/>
      </w:r>
    </w:p>
  </w:endnote>
  <w:endnote w:type="continuationSeparator" w:id="0">
    <w:p w:rsidR="00D0600F" w:rsidRDefault="00D060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492D" w:rsidRDefault="00DB492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492D" w:rsidRDefault="00DB492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600F" w:rsidRDefault="00D0600F">
      <w:r>
        <w:separator/>
      </w:r>
    </w:p>
  </w:footnote>
  <w:footnote w:type="continuationSeparator" w:id="0">
    <w:p w:rsidR="00D0600F" w:rsidRDefault="00D060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492D" w:rsidRDefault="00DB492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377704"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DB492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377705"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672FE8">
                            <w:rPr>
                              <w:rFonts w:ascii="Arial" w:hAnsi="Arial" w:cs="Arial"/>
                              <w:b/>
                              <w:color w:val="FFFFFF" w:themeColor="background1"/>
                              <w:sz w:val="18"/>
                              <w:szCs w:val="18"/>
                              <w:lang w:val="es-ES"/>
                            </w:rPr>
                            <w:t>5</w:t>
                          </w:r>
                          <w:r w:rsidR="00821EC8">
                            <w:rPr>
                              <w:rFonts w:ascii="Arial" w:hAnsi="Arial" w:cs="Arial"/>
                              <w:b/>
                              <w:color w:val="FFFFFF" w:themeColor="background1"/>
                              <w:sz w:val="18"/>
                              <w:szCs w:val="18"/>
                              <w:lang w:val="es-ES"/>
                            </w:rPr>
                            <w:t>4</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672FE8">
                      <w:rPr>
                        <w:rFonts w:ascii="Arial" w:hAnsi="Arial" w:cs="Arial"/>
                        <w:b/>
                        <w:color w:val="FFFFFF" w:themeColor="background1"/>
                        <w:sz w:val="18"/>
                        <w:szCs w:val="18"/>
                        <w:lang w:val="es-ES"/>
                      </w:rPr>
                      <w:t>5</w:t>
                    </w:r>
                    <w:r w:rsidR="00821EC8">
                      <w:rPr>
                        <w:rFonts w:ascii="Arial" w:hAnsi="Arial" w:cs="Arial"/>
                        <w:b/>
                        <w:color w:val="FFFFFF" w:themeColor="background1"/>
                        <w:sz w:val="18"/>
                        <w:szCs w:val="18"/>
                        <w:lang w:val="es-ES"/>
                      </w:rPr>
                      <w:t>4</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492D" w:rsidRDefault="00DB492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377703"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071A"/>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583C"/>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1A2B"/>
    <w:rsid w:val="006937A4"/>
    <w:rsid w:val="00694F13"/>
    <w:rsid w:val="006A44DB"/>
    <w:rsid w:val="006A570F"/>
    <w:rsid w:val="006A624D"/>
    <w:rsid w:val="006B0801"/>
    <w:rsid w:val="006B331C"/>
    <w:rsid w:val="006B4084"/>
    <w:rsid w:val="006B6F24"/>
    <w:rsid w:val="006B7482"/>
    <w:rsid w:val="006C0831"/>
    <w:rsid w:val="006C25A9"/>
    <w:rsid w:val="006C5FA7"/>
    <w:rsid w:val="006E21D7"/>
    <w:rsid w:val="006E6D1D"/>
    <w:rsid w:val="006F077F"/>
    <w:rsid w:val="006F086E"/>
    <w:rsid w:val="006F369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1EC8"/>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353B"/>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5A9F"/>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3272"/>
    <w:rsid w:val="00CF11DE"/>
    <w:rsid w:val="00CF5326"/>
    <w:rsid w:val="00CF5772"/>
    <w:rsid w:val="00D01046"/>
    <w:rsid w:val="00D024F4"/>
    <w:rsid w:val="00D0353D"/>
    <w:rsid w:val="00D0600F"/>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492D"/>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1A9"/>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3210FE-4913-4A28-ACCF-D561FA0CD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11</Pages>
  <Words>4446</Words>
  <Characters>24456</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2025-09-03T21:08:00Z</cp:lastPrinted>
  <dcterms:created xsi:type="dcterms:W3CDTF">2025-09-02T18:45:00Z</dcterms:created>
  <dcterms:modified xsi:type="dcterms:W3CDTF">2025-09-18T17:39:00Z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