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F36F63">
        <w:rPr>
          <w:rFonts w:ascii="Arial" w:hAnsi="Arial" w:cs="Arial"/>
          <w:b/>
          <w:sz w:val="24"/>
          <w:szCs w:val="24"/>
        </w:rPr>
        <w:t>seis</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C71D2F">
        <w:rPr>
          <w:rFonts w:ascii="Arial" w:hAnsi="Arial" w:cs="Arial"/>
          <w:b/>
          <w:sz w:val="24"/>
          <w:szCs w:val="24"/>
        </w:rPr>
        <w:t>noviembre</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5E66F3" w:rsidRPr="00115CE3">
        <w:rPr>
          <w:rFonts w:ascii="Arial" w:hAnsi="Arial" w:cs="Arial"/>
          <w:b/>
          <w:sz w:val="24"/>
          <w:szCs w:val="24"/>
        </w:rPr>
        <w:t>5</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F36F63">
        <w:rPr>
          <w:rFonts w:ascii="Arial" w:hAnsi="Arial" w:cs="Arial"/>
          <w:b/>
          <w:sz w:val="24"/>
          <w:szCs w:val="24"/>
        </w:rPr>
        <w:t>décima</w:t>
      </w:r>
      <w:r w:rsidR="00C71D2F">
        <w:rPr>
          <w:rFonts w:ascii="Arial" w:hAnsi="Arial" w:cs="Arial"/>
          <w:b/>
          <w:sz w:val="24"/>
          <w:szCs w:val="24"/>
        </w:rPr>
        <w:t xml:space="preserve"> 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5E66F3" w:rsidRPr="00115CE3">
        <w:rPr>
          <w:rFonts w:ascii="Arial" w:hAnsi="Arial" w:cs="Arial"/>
          <w:b/>
          <w:sz w:val="24"/>
          <w:szCs w:val="24"/>
        </w:rPr>
        <w:t>5</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D4742A" w:rsidRPr="00115CE3">
        <w:rPr>
          <w:rFonts w:ascii="Arial" w:hAnsi="Arial" w:cs="Arial"/>
          <w:sz w:val="24"/>
          <w:szCs w:val="24"/>
        </w:rPr>
        <w:t>,</w:t>
      </w:r>
      <w:r w:rsidRPr="00115CE3">
        <w:rPr>
          <w:rFonts w:ascii="Arial" w:hAnsi="Arial" w:cs="Arial"/>
          <w:sz w:val="24"/>
          <w:szCs w:val="24"/>
        </w:rPr>
        <w:t xml:space="preserve"> mediante oficio </w:t>
      </w:r>
      <w:r w:rsidR="0030605F">
        <w:rPr>
          <w:rFonts w:ascii="Arial" w:hAnsi="Arial" w:cs="Arial"/>
          <w:b/>
          <w:sz w:val="24"/>
          <w:szCs w:val="24"/>
        </w:rPr>
        <w:t>UC-</w:t>
      </w:r>
      <w:r w:rsidR="00175710">
        <w:rPr>
          <w:rFonts w:ascii="Arial" w:hAnsi="Arial" w:cs="Arial"/>
          <w:b/>
          <w:sz w:val="24"/>
          <w:szCs w:val="24"/>
        </w:rPr>
        <w:t>785</w:t>
      </w:r>
      <w:r w:rsidR="0030605F">
        <w:rPr>
          <w:rFonts w:ascii="Arial" w:hAnsi="Arial" w:cs="Arial"/>
          <w:b/>
          <w:sz w:val="24"/>
          <w:szCs w:val="24"/>
        </w:rPr>
        <w:t>/2025</w:t>
      </w:r>
      <w:r w:rsidR="00C03933" w:rsidRPr="00115CE3">
        <w:rPr>
          <w:rFonts w:ascii="Arial" w:hAnsi="Arial" w:cs="Arial"/>
          <w:b/>
          <w:sz w:val="24"/>
          <w:szCs w:val="24"/>
        </w:rPr>
        <w:t xml:space="preserve"> </w:t>
      </w:r>
      <w:r w:rsidR="00C03933" w:rsidRPr="00115CE3">
        <w:rPr>
          <w:rFonts w:ascii="Arial" w:hAnsi="Arial" w:cs="Arial"/>
          <w:sz w:val="24"/>
          <w:szCs w:val="24"/>
        </w:rPr>
        <w:t>hace llegar el acuerdo de reserva</w:t>
      </w:r>
      <w:r w:rsidR="00E8129C" w:rsidRPr="00115CE3">
        <w:rPr>
          <w:rFonts w:ascii="Arial" w:hAnsi="Arial" w:cs="Arial"/>
          <w:sz w:val="24"/>
          <w:szCs w:val="24"/>
        </w:rPr>
        <w:t xml:space="preserve"> </w:t>
      </w:r>
      <w:r w:rsidR="00A15922">
        <w:rPr>
          <w:rFonts w:ascii="Arial" w:hAnsi="Arial" w:cs="Arial"/>
          <w:b/>
          <w:sz w:val="24"/>
          <w:szCs w:val="24"/>
        </w:rPr>
        <w:t xml:space="preserve">parcial </w:t>
      </w:r>
      <w:r w:rsidR="0030605F">
        <w:rPr>
          <w:rFonts w:ascii="Arial" w:hAnsi="Arial" w:cs="Arial"/>
          <w:b/>
          <w:sz w:val="24"/>
          <w:szCs w:val="24"/>
        </w:rPr>
        <w:t>UC/0</w:t>
      </w:r>
      <w:r w:rsidR="00175710">
        <w:rPr>
          <w:rFonts w:ascii="Arial" w:hAnsi="Arial" w:cs="Arial"/>
          <w:b/>
          <w:sz w:val="24"/>
          <w:szCs w:val="24"/>
        </w:rPr>
        <w:t>7</w:t>
      </w:r>
      <w:r w:rsidR="0030605F">
        <w:rPr>
          <w:rFonts w:ascii="Arial" w:hAnsi="Arial" w:cs="Arial"/>
          <w:b/>
          <w:sz w:val="24"/>
          <w:szCs w:val="24"/>
        </w:rPr>
        <w:t>/2025</w:t>
      </w:r>
      <w:r w:rsidR="00C03933" w:rsidRPr="00115CE3">
        <w:rPr>
          <w:rFonts w:ascii="Arial" w:hAnsi="Arial" w:cs="Arial"/>
          <w:sz w:val="24"/>
          <w:szCs w:val="24"/>
        </w:rPr>
        <w:t xml:space="preserve"> al Órgano Colegiado</w:t>
      </w:r>
      <w:r w:rsidR="00EF1D58" w:rsidRPr="00115CE3">
        <w:rPr>
          <w:rFonts w:ascii="Arial" w:hAnsi="Arial" w:cs="Arial"/>
          <w:sz w:val="24"/>
          <w:szCs w:val="24"/>
        </w:rPr>
        <w:t xml:space="preserve"> manifestando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C946CC">
        <w:rPr>
          <w:rFonts w:ascii="Arial" w:hAnsi="Arial" w:cs="Arial"/>
          <w:b/>
          <w:sz w:val="24"/>
          <w:szCs w:val="24"/>
        </w:rPr>
        <w:t>4</w:t>
      </w:r>
      <w:r w:rsidR="00C71D2F">
        <w:rPr>
          <w:rFonts w:ascii="Arial" w:hAnsi="Arial" w:cs="Arial"/>
          <w:b/>
          <w:sz w:val="24"/>
          <w:szCs w:val="24"/>
        </w:rPr>
        <w:t>5</w:t>
      </w:r>
      <w:r w:rsidR="00175710">
        <w:rPr>
          <w:rFonts w:ascii="Arial" w:hAnsi="Arial" w:cs="Arial"/>
          <w:b/>
          <w:sz w:val="24"/>
          <w:szCs w:val="24"/>
        </w:rPr>
        <w:t>6</w:t>
      </w:r>
      <w:r w:rsidR="0053156B" w:rsidRPr="00115CE3">
        <w:rPr>
          <w:rFonts w:ascii="Arial" w:hAnsi="Arial" w:cs="Arial"/>
          <w:sz w:val="24"/>
          <w:szCs w:val="24"/>
        </w:rPr>
        <w:t>-240469825000</w:t>
      </w:r>
      <w:r w:rsidR="00C946CC">
        <w:rPr>
          <w:rFonts w:ascii="Arial" w:hAnsi="Arial" w:cs="Arial"/>
          <w:b/>
          <w:sz w:val="24"/>
          <w:szCs w:val="24"/>
        </w:rPr>
        <w:t>4</w:t>
      </w:r>
      <w:r w:rsidR="00C71D2F">
        <w:rPr>
          <w:rFonts w:ascii="Arial" w:hAnsi="Arial" w:cs="Arial"/>
          <w:b/>
          <w:sz w:val="24"/>
          <w:szCs w:val="24"/>
        </w:rPr>
        <w:t>5</w:t>
      </w:r>
      <w:r w:rsidR="00175710">
        <w:rPr>
          <w:rFonts w:ascii="Arial" w:hAnsi="Arial" w:cs="Arial"/>
          <w:b/>
          <w:sz w:val="24"/>
          <w:szCs w:val="24"/>
        </w:rPr>
        <w:t>6</w:t>
      </w:r>
      <w:r w:rsidR="0053156B" w:rsidRPr="00115CE3">
        <w:rPr>
          <w:rFonts w:ascii="Arial" w:hAnsi="Arial" w:cs="Arial"/>
          <w:sz w:val="24"/>
          <w:szCs w:val="24"/>
        </w:rPr>
        <w:t xml:space="preserve">-2025 realizada por </w:t>
      </w:r>
      <w:r w:rsidR="00C71D2F">
        <w:rPr>
          <w:rFonts w:ascii="Arial" w:hAnsi="Arial" w:cs="Arial"/>
          <w:sz w:val="24"/>
          <w:szCs w:val="24"/>
        </w:rPr>
        <w:t>la</w:t>
      </w:r>
      <w:r w:rsidR="005F0249">
        <w:rPr>
          <w:rFonts w:ascii="Arial" w:hAnsi="Arial" w:cs="Arial"/>
          <w:sz w:val="24"/>
          <w:szCs w:val="24"/>
        </w:rPr>
        <w:t xml:space="preserve"> usuari</w:t>
      </w:r>
      <w:r w:rsidR="00C71D2F">
        <w:rPr>
          <w:rFonts w:ascii="Arial" w:hAnsi="Arial" w:cs="Arial"/>
          <w:sz w:val="24"/>
          <w:szCs w:val="24"/>
        </w:rPr>
        <w:t>a</w:t>
      </w:r>
      <w:r w:rsidR="005F0249">
        <w:rPr>
          <w:rFonts w:ascii="Arial" w:hAnsi="Arial" w:cs="Arial"/>
          <w:sz w:val="24"/>
          <w:szCs w:val="24"/>
        </w:rPr>
        <w:t xml:space="preserve"> </w:t>
      </w:r>
      <w:r w:rsidR="00175710">
        <w:rPr>
          <w:rFonts w:ascii="Arial" w:hAnsi="Arial" w:cs="Arial"/>
          <w:b/>
          <w:sz w:val="24"/>
          <w:szCs w:val="24"/>
        </w:rPr>
        <w:t>Roxana Gutiérrez Romero</w:t>
      </w:r>
      <w:r w:rsidR="000C23C7">
        <w:rPr>
          <w:rFonts w:ascii="Arial" w:hAnsi="Arial" w:cs="Arial"/>
          <w:sz w:val="24"/>
          <w:szCs w:val="24"/>
        </w:rPr>
        <w:t>, quien manifiesta su deseo de acceder a la siguiente información:</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1.- Solicito de manera respetuosa se me informe el número de explosivos, desglosado por tipo: mina, dron, granada u otro, si fue casero o de grado militar y si los componentes de los mismos fueron caseros o de uso militar, que las fuerzas de seguridad estatales han decomisado o desactivado, así como el número de estos artefactos que han explotado en la entidad, por favor, especificar el lugar donde han sido encontrados, decomisados o donde explotaron en el periodo de tiempo de 2006 a la fecha de entregada de esta solicitud.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2.- Cuántas carpetas de investigación han sido abiertas para investigar construcción ilegal, la venta ilegal, colocación ilegal, compra ilegal o detonación ilegal de explosivos ya sean caseros o de uso militar.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3.- De igual manera, informar cuántas personas han sido detenidas por plantar explosivos, transportarlos, venderlos o capacitar a personal civil sobre el uso de explosivos.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4.- También quiero saber cuántas carpetas de investigación se han iniciado por el uso ilegal de estos artefactos. De 2006 a la fecha de entregada de esta solicitud.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5.- Informen también cuántos drones con explosivos han sido encontrados, decomisados, desactivados o denunciados y cuántos de éstos han hecho explosión y en dónde, desde el 2006 a la fecha de esta solicitud.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6.- De igual manera, quiero saber el número de personal con el que cuenta la entidad para poder manipular o desactivar estos artefactos explosivos y su nivel de entrenamiento, así como los certificados que los avalan de 2006 a la fecha de esta solicitud, ya sean policías, guardia nacional, </w:t>
      </w:r>
      <w:proofErr w:type="spellStart"/>
      <w:r w:rsidRPr="00175710">
        <w:rPr>
          <w:rFonts w:ascii="Arial" w:hAnsi="Arial" w:cs="Arial"/>
          <w:sz w:val="24"/>
          <w:szCs w:val="24"/>
        </w:rPr>
        <w:t>sedena</w:t>
      </w:r>
      <w:proofErr w:type="spellEnd"/>
      <w:r w:rsidRPr="00175710">
        <w:rPr>
          <w:rFonts w:ascii="Arial" w:hAnsi="Arial" w:cs="Arial"/>
          <w:sz w:val="24"/>
          <w:szCs w:val="24"/>
        </w:rPr>
        <w:t xml:space="preserve"> o marina. </w:t>
      </w:r>
    </w:p>
    <w:p w:rsidR="00175710" w:rsidRPr="00175710" w:rsidRDefault="00175710" w:rsidP="00175710">
      <w:pPr>
        <w:spacing w:after="0" w:line="240" w:lineRule="auto"/>
        <w:jc w:val="both"/>
        <w:rPr>
          <w:rFonts w:ascii="Arial" w:hAnsi="Arial" w:cs="Arial"/>
          <w:sz w:val="24"/>
          <w:szCs w:val="24"/>
        </w:rPr>
      </w:pPr>
      <w:r w:rsidRPr="00175710">
        <w:rPr>
          <w:rFonts w:ascii="Arial" w:hAnsi="Arial" w:cs="Arial"/>
          <w:sz w:val="24"/>
          <w:szCs w:val="24"/>
        </w:rPr>
        <w:t xml:space="preserve">7.- Informar cuántas personas han sido atendidas por los servicios de salud del estado, tanto civiles como personal de seguridad (policías estatales, guardia nacional, marinos o militares del ejército) por lesiones provocadas por artefactos explosivos y qué tipo de artefacto los hirió y el lugar de los hechos. </w:t>
      </w:r>
    </w:p>
    <w:p w:rsidR="00F36F63" w:rsidRPr="00BA4221" w:rsidRDefault="00175710" w:rsidP="00175710">
      <w:pPr>
        <w:spacing w:after="0" w:line="240" w:lineRule="auto"/>
        <w:jc w:val="both"/>
        <w:rPr>
          <w:rFonts w:ascii="Arial" w:hAnsi="Arial" w:cs="Arial"/>
          <w:sz w:val="24"/>
          <w:szCs w:val="24"/>
        </w:rPr>
      </w:pPr>
      <w:r w:rsidRPr="00175710">
        <w:rPr>
          <w:rFonts w:ascii="Arial" w:hAnsi="Arial" w:cs="Arial"/>
          <w:sz w:val="24"/>
          <w:szCs w:val="24"/>
        </w:rPr>
        <w:lastRenderedPageBreak/>
        <w:t>8.- También informar los medios que se han utilizado en la entidad para la colocación de estos artefactos explosivos: drones, coches bomba, motos bomba o cualquier otra de 2006 a la fecha de esta solicitud.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035BE7" w:rsidRPr="00115CE3">
        <w:rPr>
          <w:rFonts w:ascii="Arial" w:hAnsi="Arial" w:cs="Arial"/>
          <w:sz w:val="24"/>
          <w:szCs w:val="24"/>
        </w:rPr>
        <w:t xml:space="preserve">el solicitante, </w:t>
      </w:r>
      <w:r w:rsidRPr="00115CE3">
        <w:rPr>
          <w:rFonts w:ascii="Arial" w:hAnsi="Arial" w:cs="Arial"/>
          <w:sz w:val="24"/>
          <w:szCs w:val="24"/>
        </w:rPr>
        <w:t>es susceptible de clasificar</w:t>
      </w:r>
      <w:r w:rsidR="008D7FD6" w:rsidRPr="00115CE3">
        <w:rPr>
          <w:rFonts w:ascii="Arial" w:hAnsi="Arial" w:cs="Arial"/>
          <w:sz w:val="24"/>
          <w:szCs w:val="24"/>
        </w:rPr>
        <w:t>se</w:t>
      </w:r>
      <w:r w:rsidRPr="00115CE3">
        <w:rPr>
          <w:rFonts w:ascii="Arial" w:hAnsi="Arial" w:cs="Arial"/>
          <w:sz w:val="24"/>
          <w:szCs w:val="24"/>
        </w:rPr>
        <w:t xml:space="preserve"> 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055CD">
        <w:rPr>
          <w:rFonts w:ascii="Arial" w:hAnsi="Arial" w:cs="Arial"/>
          <w:b/>
          <w:sz w:val="24"/>
          <w:szCs w:val="24"/>
        </w:rPr>
        <w:t>UC/0</w:t>
      </w:r>
      <w:r w:rsidR="00175710">
        <w:rPr>
          <w:rFonts w:ascii="Arial" w:hAnsi="Arial" w:cs="Arial"/>
          <w:b/>
          <w:sz w:val="24"/>
          <w:szCs w:val="24"/>
        </w:rPr>
        <w:t>7</w:t>
      </w:r>
      <w:r w:rsidR="00A055CD">
        <w:rPr>
          <w:rFonts w:ascii="Arial" w:hAnsi="Arial" w:cs="Arial"/>
          <w:b/>
          <w:sz w:val="24"/>
          <w:szCs w:val="24"/>
        </w:rPr>
        <w:t>/2025</w:t>
      </w:r>
      <w:r w:rsidR="00682B93" w:rsidRPr="00115CE3">
        <w:rPr>
          <w:rFonts w:ascii="Arial" w:hAnsi="Arial" w:cs="Arial"/>
          <w:b/>
          <w:sz w:val="24"/>
          <w:szCs w:val="24"/>
        </w:rPr>
        <w:t xml:space="preserve">. </w:t>
      </w:r>
    </w:p>
    <w:p w:rsidR="00BA4221" w:rsidRDefault="00BA4221"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055CD">
        <w:rPr>
          <w:rFonts w:ascii="Arial" w:hAnsi="Arial" w:cs="Arial"/>
          <w:b/>
          <w:sz w:val="24"/>
          <w:szCs w:val="24"/>
        </w:rPr>
        <w:t>UC/0</w:t>
      </w:r>
      <w:r w:rsidR="00175710">
        <w:rPr>
          <w:rFonts w:ascii="Arial" w:hAnsi="Arial" w:cs="Arial"/>
          <w:b/>
          <w:sz w:val="24"/>
          <w:szCs w:val="24"/>
        </w:rPr>
        <w:t>7</w:t>
      </w:r>
      <w:r w:rsidR="00A055CD">
        <w:rPr>
          <w:rFonts w:ascii="Arial" w:hAnsi="Arial" w:cs="Arial"/>
          <w:b/>
          <w:sz w:val="24"/>
          <w:szCs w:val="24"/>
        </w:rPr>
        <w:t>/2025</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0E6129" w:rsidRDefault="000E6129" w:rsidP="005F0249">
      <w:pPr>
        <w:spacing w:line="240" w:lineRule="auto"/>
        <w:jc w:val="both"/>
        <w:rPr>
          <w:rFonts w:ascii="Arial" w:hAnsi="Arial" w:cs="Arial"/>
          <w:b/>
          <w:sz w:val="24"/>
          <w:szCs w:val="24"/>
        </w:rPr>
      </w:pP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055CD">
        <w:rPr>
          <w:rFonts w:ascii="Arial" w:hAnsi="Arial" w:cs="Arial"/>
          <w:b/>
          <w:sz w:val="24"/>
          <w:szCs w:val="24"/>
        </w:rPr>
        <w:t>UC/0</w:t>
      </w:r>
      <w:r w:rsidR="00175710">
        <w:rPr>
          <w:rFonts w:ascii="Arial" w:hAnsi="Arial" w:cs="Arial"/>
          <w:b/>
          <w:sz w:val="24"/>
          <w:szCs w:val="24"/>
        </w:rPr>
        <w:t>7</w:t>
      </w:r>
      <w:r w:rsidR="00A055CD">
        <w:rPr>
          <w:rFonts w:ascii="Arial" w:hAnsi="Arial" w:cs="Arial"/>
          <w:b/>
          <w:sz w:val="24"/>
          <w:szCs w:val="24"/>
        </w:rPr>
        <w:t>/2025</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lastRenderedPageBreak/>
        <w:t>TERCERO. Sentido de la resolución.</w:t>
      </w:r>
    </w:p>
    <w:p w:rsidR="00BF3665" w:rsidRPr="00115CE3"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C946CC" w:rsidRDefault="00C946CC" w:rsidP="004C6394">
      <w:pPr>
        <w:autoSpaceDE w:val="0"/>
        <w:autoSpaceDN w:val="0"/>
        <w:adjustRightInd w:val="0"/>
        <w:spacing w:line="240" w:lineRule="auto"/>
        <w:jc w:val="both"/>
        <w:rPr>
          <w:rFonts w:ascii="Arial" w:hAnsi="Arial" w:cs="Arial"/>
          <w:sz w:val="24"/>
          <w:szCs w:val="24"/>
          <w:u w:val="single"/>
        </w:rPr>
      </w:pPr>
    </w:p>
    <w:p w:rsidR="00F52044" w:rsidRDefault="007336C3" w:rsidP="0074124A">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175710">
        <w:rPr>
          <w:rFonts w:ascii="Arial" w:hAnsi="Arial" w:cs="Arial"/>
          <w:sz w:val="24"/>
          <w:szCs w:val="24"/>
        </w:rPr>
        <w:t>La información que se reserva</w:t>
      </w:r>
      <w:r w:rsidR="00175710" w:rsidRPr="00175710">
        <w:rPr>
          <w:rFonts w:ascii="Arial" w:hAnsi="Arial" w:cs="Arial"/>
          <w:sz w:val="24"/>
          <w:szCs w:val="24"/>
        </w:rPr>
        <w:t xml:space="preserve"> se encuentra contenida dentro de las investigaciones de hechos que la ley señala como delitos, es decir</w:t>
      </w:r>
      <w:r w:rsidR="00175710" w:rsidRPr="0074124A">
        <w:rPr>
          <w:rFonts w:ascii="Arial" w:hAnsi="Arial" w:cs="Arial"/>
          <w:sz w:val="24"/>
          <w:szCs w:val="24"/>
        </w:rPr>
        <w:t xml:space="preserve">; </w:t>
      </w:r>
      <w:r w:rsidR="0074124A" w:rsidRPr="0074124A">
        <w:rPr>
          <w:rFonts w:ascii="Arial" w:hAnsi="Arial" w:cs="Arial"/>
          <w:sz w:val="24"/>
          <w:szCs w:val="24"/>
        </w:rPr>
        <w:t xml:space="preserve">los registros de las averiguaciones previas en el periodo del 01 de enero de 2000 al 10 de junio 2016 que obran en los archivos de las Agencias del Ministerio Publico adscritas a la Unidad de Clausura del Sistema Tradicional de la Fiscalía General del Estado, </w:t>
      </w:r>
      <w:r w:rsidR="0074124A">
        <w:rPr>
          <w:rFonts w:ascii="Arial" w:hAnsi="Arial" w:cs="Arial"/>
          <w:sz w:val="24"/>
          <w:szCs w:val="24"/>
        </w:rPr>
        <w:t xml:space="preserve">únicamente en cuanto a;  </w:t>
      </w:r>
      <w:r w:rsidR="0074124A" w:rsidRPr="0074124A">
        <w:rPr>
          <w:rFonts w:ascii="Arial" w:hAnsi="Arial" w:cs="Arial"/>
          <w:sz w:val="24"/>
          <w:szCs w:val="24"/>
        </w:rPr>
        <w:t>municipio, ocupación de la víctima y la relación/vínculo entre víctima y presunto responsable, de las carpetas de investigación iniciadas por el delito de feminicidio, en el periodo comprendido del 01 de enero de 2000 al 10 de junio 2016</w:t>
      </w:r>
      <w:r w:rsidR="00175710" w:rsidRPr="00175710">
        <w:rPr>
          <w:rFonts w:ascii="Arial" w:hAnsi="Arial" w:cs="Arial"/>
          <w:sz w:val="24"/>
          <w:szCs w:val="24"/>
        </w:rPr>
        <w:t>; apreciándose que son registros que obran dentro de las averiguaciones previas, siendo únicamente las partes las que pueden tener acceso al contenido de la misma, asimismo el dar a conocer información contenida dentro de actos de investigación podría repercutir en el avance de las investigaciones y el resultado que se pretende obtener, divulgar la información afectaría la actividad esencial de la Fiscalía General del Estado que es la de procurar justicia y defender los intereses de la sociedad en general, las víctimas u ofendidos del delio, por lo que se tiene el deber de proteger los actos de investigación contenidos en las averiguaciones previas.</w:t>
      </w:r>
    </w:p>
    <w:p w:rsidR="00564BE0" w:rsidRPr="00564BE0" w:rsidRDefault="00564BE0" w:rsidP="00564BE0">
      <w:pPr>
        <w:autoSpaceDE w:val="0"/>
        <w:autoSpaceDN w:val="0"/>
        <w:adjustRightInd w:val="0"/>
        <w:spacing w:line="240" w:lineRule="auto"/>
        <w:jc w:val="both"/>
        <w:rPr>
          <w:rFonts w:ascii="Arial" w:hAnsi="Arial" w:cs="Arial"/>
          <w:sz w:val="24"/>
          <w:szCs w:val="24"/>
        </w:rPr>
      </w:pPr>
      <w:r w:rsidRPr="00564BE0">
        <w:rPr>
          <w:rFonts w:ascii="Arial" w:hAnsi="Arial" w:cs="Arial"/>
          <w:sz w:val="24"/>
          <w:szCs w:val="24"/>
        </w:rPr>
        <w:t>Resulta necesario mencionar que la Ley General de Responsabilidades Administrativas establece que incurrirá en falta administrativa el servidor público, cuyo actos o misiones, incumplan otras agredan, por ejemplo, el registrar, integrar, custodiar y cuidar la documentación e información que, por razón de su empleo, cargo comisión, tenga bajo su responsabilidad, e impedir o evitar su uso, divulgación, sustracción, destrucción, ocultamiento o inutilización indebidos, conforme el numeral 49, fracción V de la ley en cita.</w:t>
      </w:r>
    </w:p>
    <w:p w:rsidR="00564BE0" w:rsidRPr="00564BE0" w:rsidRDefault="00564BE0" w:rsidP="00564BE0">
      <w:pPr>
        <w:autoSpaceDE w:val="0"/>
        <w:autoSpaceDN w:val="0"/>
        <w:adjustRightInd w:val="0"/>
        <w:spacing w:line="240" w:lineRule="auto"/>
        <w:jc w:val="both"/>
        <w:rPr>
          <w:rFonts w:ascii="Arial" w:hAnsi="Arial" w:cs="Arial"/>
          <w:sz w:val="24"/>
          <w:szCs w:val="24"/>
        </w:rPr>
      </w:pPr>
      <w:r w:rsidRPr="00564BE0">
        <w:rPr>
          <w:rFonts w:ascii="Arial" w:hAnsi="Arial" w:cs="Arial"/>
          <w:sz w:val="24"/>
          <w:szCs w:val="24"/>
        </w:rPr>
        <w:t>Adicionalmente el Código Penal Federal en su artículo 225, fracción XXVIII, es claro, señalar que se considera delito, control, administración de justicia, cometidos por servidores públicos, el dar conocer a quien no tenga derecho documentos, constancias o información que obren una carpeta de investigación o en un proceso penal y que, por disposición de la ley o resolución de la autoridad judicial, se han reservados o confidenciales.</w:t>
      </w:r>
    </w:p>
    <w:p w:rsidR="00564BE0"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564BE0">
        <w:rPr>
          <w:rFonts w:ascii="Arial" w:hAnsi="Arial" w:cs="Arial"/>
          <w:sz w:val="24"/>
          <w:szCs w:val="24"/>
        </w:rPr>
        <w:t>primero</w:t>
      </w:r>
      <w:r w:rsidR="00551990" w:rsidRPr="00115CE3">
        <w:rPr>
          <w:rFonts w:ascii="Arial" w:hAnsi="Arial" w:cs="Arial"/>
          <w:sz w:val="24"/>
          <w:szCs w:val="24"/>
        </w:rPr>
        <w:t>, de los Lineamientos Generales en Materia de Clasificación y Desclasificación de la Información, así como la Elaboración de Versiones Públicas</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w:t>
      </w:r>
      <w:r w:rsidR="00CA433C">
        <w:rPr>
          <w:rFonts w:ascii="Arial" w:hAnsi="Arial" w:cs="Arial"/>
          <w:sz w:val="24"/>
          <w:szCs w:val="24"/>
        </w:rPr>
        <w:t xml:space="preserve">consideran </w:t>
      </w:r>
      <w:r w:rsidR="00551990">
        <w:rPr>
          <w:rFonts w:ascii="Arial" w:hAnsi="Arial" w:cs="Arial"/>
          <w:sz w:val="24"/>
          <w:szCs w:val="24"/>
        </w:rPr>
        <w:t xml:space="preserve">información reservada, aquella que </w:t>
      </w:r>
      <w:r w:rsidR="00564BE0">
        <w:rPr>
          <w:rFonts w:ascii="Arial" w:hAnsi="Arial" w:cs="Arial"/>
          <w:sz w:val="24"/>
          <w:szCs w:val="24"/>
        </w:rPr>
        <w:t xml:space="preserve">forma parte de las averiguaciones previas o carpetas de investigación que resulten de la etapa de </w:t>
      </w:r>
      <w:r w:rsidR="00564BE0">
        <w:rPr>
          <w:rFonts w:ascii="Arial" w:hAnsi="Arial" w:cs="Arial"/>
          <w:sz w:val="24"/>
          <w:szCs w:val="24"/>
        </w:rPr>
        <w:lastRenderedPageBreak/>
        <w:t>investigación durante la cual,  de conformidad con la normativa en materia penal, el Ministerio Público o su equivalente reúne indicios para el esclarecimiento de los hechos y, en su caso, los datos  de prueba para sustentar el ejercicio o no de la acción penal, la acusación contra el imputado y la reparación del daño.</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1206EF">
        <w:rPr>
          <w:rFonts w:ascii="Arial" w:hAnsi="Arial" w:cs="Arial"/>
          <w:sz w:val="24"/>
          <w:szCs w:val="24"/>
        </w:rPr>
        <w:t xml:space="preserve">La </w:t>
      </w:r>
      <w:r w:rsidR="00BA4221">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lastRenderedPageBreak/>
        <w:t>Con el ánimo de evitar repeticiones innecesarias se tienen aquí por reproducido el desarrollo de cada una de las hipótesis</w:t>
      </w:r>
      <w:r w:rsidR="000C4F3A">
        <w:rPr>
          <w:rFonts w:ascii="Arial" w:eastAsia="Times New Roman" w:hAnsi="Arial" w:cs="Arial"/>
          <w:sz w:val="24"/>
          <w:szCs w:val="24"/>
          <w:lang w:val="es-ES"/>
        </w:rPr>
        <w:t xml:space="preserve"> establecidas</w:t>
      </w:r>
      <w:r w:rsidR="001206EF">
        <w:rPr>
          <w:rFonts w:ascii="Arial" w:eastAsia="Times New Roman" w:hAnsi="Arial" w:cs="Arial"/>
          <w:sz w:val="24"/>
          <w:szCs w:val="24"/>
          <w:lang w:val="es-ES"/>
        </w:rPr>
        <w:t>,</w:t>
      </w:r>
      <w:r w:rsidR="000C4F3A">
        <w:rPr>
          <w:rFonts w:ascii="Arial" w:eastAsia="Times New Roman" w:hAnsi="Arial" w:cs="Arial"/>
          <w:sz w:val="24"/>
          <w:szCs w:val="24"/>
          <w:lang w:val="es-ES"/>
        </w:rPr>
        <w:t xml:space="preserve"> por </w:t>
      </w:r>
      <w:r w:rsidR="00CA433C">
        <w:rPr>
          <w:rFonts w:ascii="Arial" w:eastAsia="Times New Roman" w:hAnsi="Arial" w:cs="Arial"/>
          <w:sz w:val="24"/>
          <w:szCs w:val="24"/>
          <w:lang w:val="es-ES"/>
        </w:rPr>
        <w:t>l</w:t>
      </w:r>
      <w:r w:rsidR="001206EF">
        <w:rPr>
          <w:rFonts w:ascii="Arial" w:hAnsi="Arial" w:cs="Arial"/>
          <w:sz w:val="24"/>
          <w:szCs w:val="24"/>
        </w:rPr>
        <w:t xml:space="preserve">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 xml:space="preserve">istema Penal Tradicional de la Procuraduría General de Justicia del Estado,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lastRenderedPageBreak/>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1452B4" w:rsidRPr="001452B4" w:rsidRDefault="001452B4" w:rsidP="001452B4">
      <w:pPr>
        <w:spacing w:after="0"/>
        <w:ind w:right="49"/>
        <w:jc w:val="both"/>
        <w:rPr>
          <w:rFonts w:ascii="Arial" w:hAnsi="Arial" w:cs="Arial"/>
          <w:color w:val="000000" w:themeColor="text1"/>
          <w:sz w:val="24"/>
          <w:szCs w:val="24"/>
          <w:lang w:val="es-ES_tradnl" w:eastAsia="es-ES"/>
        </w:rPr>
      </w:pPr>
      <w:r w:rsidRPr="001452B4">
        <w:rPr>
          <w:rFonts w:ascii="Arial" w:hAnsi="Arial" w:cs="Arial"/>
          <w:color w:val="000000" w:themeColor="text1"/>
          <w:sz w:val="24"/>
          <w:szCs w:val="24"/>
          <w:lang w:val="es-ES_tradnl" w:eastAsia="es-ES"/>
        </w:rPr>
        <w:t>La clasificación de la información reservada es de manera parcial, los registros de las averiguaciones previas en el periodo del 01 de enero de 2000 al 10 de junio 2016 que obran en los archivos de las Agencias del Ministerio Publico adscritas a la Unidad de Clausura del Sistema Tradicional de la Fiscalía General del Estado, en relación a conocer a que:</w:t>
      </w:r>
    </w:p>
    <w:p w:rsidR="001452B4" w:rsidRPr="001452B4" w:rsidRDefault="001452B4" w:rsidP="001452B4">
      <w:pPr>
        <w:spacing w:after="0"/>
        <w:ind w:right="49"/>
        <w:jc w:val="both"/>
        <w:rPr>
          <w:rFonts w:ascii="Arial" w:hAnsi="Arial" w:cs="Arial"/>
          <w:color w:val="000000" w:themeColor="text1"/>
          <w:sz w:val="24"/>
          <w:szCs w:val="24"/>
          <w:lang w:val="es-ES_tradnl" w:eastAsia="es-ES"/>
        </w:rPr>
      </w:pPr>
    </w:p>
    <w:p w:rsidR="00BA4221" w:rsidRDefault="001452B4" w:rsidP="001452B4">
      <w:pPr>
        <w:spacing w:after="0"/>
        <w:ind w:right="49"/>
        <w:jc w:val="both"/>
        <w:rPr>
          <w:rFonts w:ascii="Arial" w:hAnsi="Arial" w:cs="Arial"/>
          <w:color w:val="000000" w:themeColor="text1"/>
          <w:sz w:val="24"/>
          <w:szCs w:val="24"/>
          <w:lang w:val="es-ES_tradnl" w:eastAsia="es-ES"/>
        </w:rPr>
      </w:pPr>
      <w:r>
        <w:rPr>
          <w:rFonts w:ascii="Arial" w:hAnsi="Arial" w:cs="Arial"/>
          <w:color w:val="000000" w:themeColor="text1"/>
          <w:sz w:val="24"/>
          <w:szCs w:val="24"/>
          <w:lang w:val="es-ES_tradnl" w:eastAsia="es-ES"/>
        </w:rPr>
        <w:t>M</w:t>
      </w:r>
      <w:r w:rsidRPr="001452B4">
        <w:rPr>
          <w:rFonts w:ascii="Arial" w:hAnsi="Arial" w:cs="Arial"/>
          <w:color w:val="000000" w:themeColor="text1"/>
          <w:sz w:val="24"/>
          <w:szCs w:val="24"/>
          <w:lang w:val="es-ES_tradnl" w:eastAsia="es-ES"/>
        </w:rPr>
        <w:t>unicipio, ocupación de la víctima y la relación/vínculo entre víctima y presunto responsable, de las carpetas de investigación iniciadas por el delito de feminicidio, en el periodo comprendido del 01 de enero de 2000 al 10 de junio 2016, reservándose cinco municipios.</w:t>
      </w:r>
    </w:p>
    <w:p w:rsidR="001452B4" w:rsidRDefault="001452B4" w:rsidP="001452B4">
      <w:pPr>
        <w:spacing w:after="0"/>
        <w:ind w:right="49"/>
        <w:jc w:val="both"/>
        <w:rPr>
          <w:rFonts w:ascii="Arial" w:hAnsi="Arial" w:cs="Arial"/>
          <w:bCs/>
          <w:color w:val="000000" w:themeColor="text1"/>
          <w:sz w:val="24"/>
          <w:szCs w:val="24"/>
        </w:rPr>
      </w:pPr>
    </w:p>
    <w:p w:rsidR="00BF3665" w:rsidRPr="005C62A1" w:rsidRDefault="009819AE" w:rsidP="003474AB">
      <w:pPr>
        <w:pStyle w:val="Prrafodelista"/>
        <w:numPr>
          <w:ilvl w:val="0"/>
          <w:numId w:val="17"/>
        </w:numPr>
        <w:jc w:val="both"/>
        <w:rPr>
          <w:rFonts w:ascii="Arial" w:hAnsi="Arial" w:cs="Arial"/>
        </w:rPr>
      </w:pPr>
      <w:r w:rsidRPr="003474AB">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E378A">
        <w:rPr>
          <w:rFonts w:ascii="Arial" w:eastAsia="Times New Roman" w:hAnsi="Arial" w:cs="Arial"/>
          <w:b/>
          <w:sz w:val="24"/>
          <w:szCs w:val="24"/>
        </w:rPr>
        <w:t>6</w:t>
      </w:r>
      <w:r w:rsidR="009F136E" w:rsidRPr="00115CE3">
        <w:rPr>
          <w:rFonts w:ascii="Arial" w:eastAsia="Times New Roman" w:hAnsi="Arial" w:cs="Arial"/>
          <w:b/>
          <w:sz w:val="24"/>
          <w:szCs w:val="24"/>
        </w:rPr>
        <w:t xml:space="preserve"> de </w:t>
      </w:r>
      <w:r w:rsidR="00F52044">
        <w:rPr>
          <w:rFonts w:ascii="Arial" w:eastAsia="Times New Roman" w:hAnsi="Arial" w:cs="Arial"/>
          <w:b/>
          <w:sz w:val="24"/>
          <w:szCs w:val="24"/>
        </w:rPr>
        <w:t>noviembre</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30</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LGCDIEVP. Señalando las razones por las cuales se estableció el plazo de reserva determinado, mismas que están relacionadas y sustentadas con la prueba de daño.</w:t>
      </w:r>
    </w:p>
    <w:p w:rsidR="001E22D9" w:rsidRPr="003474AB" w:rsidRDefault="001E22D9" w:rsidP="003474AB">
      <w:pPr>
        <w:pStyle w:val="Prrafodelista"/>
        <w:numPr>
          <w:ilvl w:val="0"/>
          <w:numId w:val="17"/>
        </w:numPr>
        <w:jc w:val="both"/>
        <w:rPr>
          <w:rFonts w:ascii="Arial" w:hAnsi="Arial" w:cs="Arial"/>
          <w:b/>
        </w:rPr>
      </w:pPr>
      <w:r w:rsidRPr="003474AB">
        <w:rPr>
          <w:rFonts w:ascii="Arial" w:hAnsi="Arial" w:cs="Arial"/>
          <w:b/>
        </w:rPr>
        <w:t>El nombre del titular o área encargada de realizar la revisión pública del documento, en su caso.</w:t>
      </w: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3474AB">
      <w:pPr>
        <w:pStyle w:val="Prrafodelista"/>
        <w:numPr>
          <w:ilvl w:val="0"/>
          <w:numId w:val="17"/>
        </w:numPr>
        <w:jc w:val="both"/>
        <w:rPr>
          <w:rFonts w:ascii="Arial" w:hAnsi="Arial" w:cs="Arial"/>
          <w:b/>
        </w:rPr>
      </w:pPr>
      <w:r w:rsidRPr="001E22D9">
        <w:rPr>
          <w:rFonts w:ascii="Arial" w:hAnsi="Arial" w:cs="Arial"/>
          <w:b/>
        </w:rPr>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lastRenderedPageBreak/>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055CD">
        <w:rPr>
          <w:rFonts w:ascii="Arial" w:hAnsi="Arial" w:cs="Arial"/>
          <w:b/>
          <w:sz w:val="24"/>
          <w:szCs w:val="24"/>
        </w:rPr>
        <w:t>UC/0</w:t>
      </w:r>
      <w:r w:rsidR="0074124A">
        <w:rPr>
          <w:rFonts w:ascii="Arial" w:hAnsi="Arial" w:cs="Arial"/>
          <w:b/>
          <w:sz w:val="24"/>
          <w:szCs w:val="24"/>
        </w:rPr>
        <w:t>7</w:t>
      </w:r>
      <w:r w:rsidR="00A055CD">
        <w:rPr>
          <w:rFonts w:ascii="Arial" w:hAnsi="Arial" w:cs="Arial"/>
          <w:b/>
          <w:sz w:val="24"/>
          <w:szCs w:val="24"/>
        </w:rPr>
        <w:t>/2025</w:t>
      </w:r>
      <w:r w:rsidR="00A055CD" w:rsidRPr="00115CE3">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1206EF">
        <w:rPr>
          <w:rFonts w:ascii="Arial" w:hAnsi="Arial" w:cs="Arial"/>
          <w:sz w:val="24"/>
          <w:szCs w:val="24"/>
        </w:rPr>
        <w:t xml:space="preserve">a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C63668">
        <w:rPr>
          <w:rFonts w:ascii="Arial" w:hAnsi="Arial" w:cs="Arial"/>
          <w:sz w:val="24"/>
          <w:szCs w:val="24"/>
        </w:rPr>
        <w:t>a</w:t>
      </w:r>
      <w:r w:rsidR="001206EF">
        <w:rPr>
          <w:rFonts w:ascii="Arial" w:hAnsi="Arial" w:cs="Arial"/>
          <w:sz w:val="24"/>
          <w:szCs w:val="24"/>
        </w:rPr>
        <w:t xml:space="preserve">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0E6129" w:rsidRDefault="000E6129"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055CD">
        <w:rPr>
          <w:rFonts w:ascii="Arial" w:hAnsi="Arial" w:cs="Arial"/>
          <w:b/>
          <w:sz w:val="24"/>
          <w:szCs w:val="24"/>
        </w:rPr>
        <w:t>UC/0</w:t>
      </w:r>
      <w:r w:rsidR="0074124A">
        <w:rPr>
          <w:rFonts w:ascii="Arial" w:hAnsi="Arial" w:cs="Arial"/>
          <w:b/>
          <w:sz w:val="24"/>
          <w:szCs w:val="24"/>
        </w:rPr>
        <w:t>7</w:t>
      </w:r>
      <w:r w:rsidR="00A055CD">
        <w:rPr>
          <w:rFonts w:ascii="Arial" w:hAnsi="Arial" w:cs="Arial"/>
          <w:b/>
          <w:sz w:val="24"/>
          <w:szCs w:val="24"/>
        </w:rPr>
        <w:t>/2025</w:t>
      </w:r>
      <w:r w:rsidRPr="00115CE3">
        <w:rPr>
          <w:rFonts w:ascii="Arial" w:hAnsi="Arial" w:cs="Arial"/>
          <w:sz w:val="24"/>
          <w:szCs w:val="24"/>
        </w:rPr>
        <w:t>,</w:t>
      </w:r>
      <w:r w:rsidRPr="00115CE3">
        <w:rPr>
          <w:rFonts w:ascii="Arial" w:hAnsi="Arial" w:cs="Arial"/>
          <w:b/>
          <w:sz w:val="24"/>
          <w:szCs w:val="24"/>
        </w:rPr>
        <w:t xml:space="preserve"> </w:t>
      </w:r>
      <w:r w:rsidRPr="00115CE3">
        <w:rPr>
          <w:rFonts w:ascii="Arial" w:hAnsi="Arial" w:cs="Arial"/>
          <w:sz w:val="24"/>
          <w:szCs w:val="24"/>
        </w:rPr>
        <w:t xml:space="preserve">emitido por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600426" w:rsidRDefault="00600426"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1206EF">
        <w:rPr>
          <w:rFonts w:ascii="Arial" w:hAnsi="Arial" w:cs="Arial"/>
          <w:sz w:val="24"/>
          <w:szCs w:val="24"/>
        </w:rPr>
        <w:t xml:space="preserve">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7E043D" w:rsidRDefault="007E043D" w:rsidP="007E043D">
      <w:pPr>
        <w:spacing w:after="0"/>
        <w:jc w:val="both"/>
        <w:rPr>
          <w:rFonts w:ascii="Arial" w:hAnsi="Arial" w:cs="Arial"/>
          <w:b/>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1206EF">
        <w:rPr>
          <w:rFonts w:ascii="Arial" w:hAnsi="Arial" w:cs="Arial"/>
          <w:sz w:val="24"/>
          <w:szCs w:val="24"/>
        </w:rPr>
        <w:t xml:space="preserve">a la </w:t>
      </w:r>
      <w:r w:rsidR="00CA433C">
        <w:rPr>
          <w:rFonts w:ascii="Arial" w:hAnsi="Arial" w:cs="Arial"/>
          <w:sz w:val="24"/>
          <w:szCs w:val="24"/>
        </w:rPr>
        <w:t>e</w:t>
      </w:r>
      <w:r w:rsidR="001206EF">
        <w:rPr>
          <w:rFonts w:ascii="Arial" w:hAnsi="Arial" w:cs="Arial"/>
          <w:sz w:val="24"/>
          <w:szCs w:val="24"/>
        </w:rPr>
        <w:t xml:space="preserve">ncargada de la Clausura del </w:t>
      </w:r>
      <w:r w:rsidR="00CA433C">
        <w:rPr>
          <w:rFonts w:ascii="Arial" w:hAnsi="Arial" w:cs="Arial"/>
          <w:sz w:val="24"/>
          <w:szCs w:val="24"/>
        </w:rPr>
        <w:t>S</w:t>
      </w:r>
      <w:r w:rsidR="001206EF">
        <w:rPr>
          <w:rFonts w:ascii="Arial" w:hAnsi="Arial" w:cs="Arial"/>
          <w:sz w:val="24"/>
          <w:szCs w:val="24"/>
        </w:rPr>
        <w:t>istema Penal Tradicional de la Procuraduría General de Justicia del Estado Sofia Hernández Vázquez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315C9C" w:rsidRDefault="00315C9C"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F52044">
        <w:rPr>
          <w:rFonts w:ascii="Arial" w:hAnsi="Arial" w:cs="Arial"/>
          <w:b/>
          <w:sz w:val="24"/>
          <w:szCs w:val="24"/>
        </w:rPr>
        <w:t>2</w:t>
      </w:r>
      <w:r w:rsidR="001206EF">
        <w:rPr>
          <w:rFonts w:ascii="Arial" w:hAnsi="Arial" w:cs="Arial"/>
          <w:b/>
          <w:sz w:val="24"/>
          <w:szCs w:val="24"/>
        </w:rPr>
        <w:t>1</w:t>
      </w:r>
      <w:r w:rsidR="0074124A">
        <w:rPr>
          <w:rFonts w:ascii="Arial" w:hAnsi="Arial" w:cs="Arial"/>
          <w:b/>
          <w:sz w:val="24"/>
          <w:szCs w:val="24"/>
        </w:rPr>
        <w:t>3</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600426" w:rsidRDefault="00600426"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600426" w:rsidRDefault="00600426" w:rsidP="00EF1D58">
      <w:pPr>
        <w:tabs>
          <w:tab w:val="left" w:pos="8998"/>
          <w:tab w:val="left" w:pos="9932"/>
        </w:tabs>
        <w:spacing w:before="20" w:after="0"/>
        <w:rPr>
          <w:rFonts w:ascii="Arial" w:eastAsia="Arial" w:hAnsi="Arial" w:cs="Arial"/>
          <w:b/>
          <w:sz w:val="24"/>
          <w:szCs w:val="24"/>
        </w:rPr>
      </w:pPr>
    </w:p>
    <w:p w:rsidR="007E043D" w:rsidRDefault="007E043D"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C63668" w:rsidRDefault="00C63668"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600426" w:rsidRDefault="00600426"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1206EF">
      <w:headerReference w:type="even" r:id="rId9"/>
      <w:headerReference w:type="default" r:id="rId10"/>
      <w:footerReference w:type="even" r:id="rId11"/>
      <w:footerReference w:type="default" r:id="rId12"/>
      <w:headerReference w:type="first" r:id="rId13"/>
      <w:footerReference w:type="first" r:id="rId14"/>
      <w:pgSz w:w="12240" w:h="15840"/>
      <w:pgMar w:top="179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64794" w:rsidRDefault="00A64794">
      <w:r>
        <w:separator/>
      </w:r>
    </w:p>
  </w:endnote>
  <w:endnote w:type="continuationSeparator" w:id="0">
    <w:p w:rsidR="00A64794" w:rsidRDefault="00A647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A7F" w:rsidRDefault="00193A7F">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A7F" w:rsidRDefault="00193A7F">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64794" w:rsidRDefault="00A64794">
      <w:r>
        <w:separator/>
      </w:r>
    </w:p>
  </w:footnote>
  <w:footnote w:type="continuationSeparator" w:id="0">
    <w:p w:rsidR="00A64794" w:rsidRDefault="00A647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A7F" w:rsidRDefault="00EF3E7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26047"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2293" w:rsidRDefault="00EF3E70">
    <w:pPr>
      <w:pStyle w:val="Encabezado"/>
      <w:tabs>
        <w:tab w:val="clear" w:pos="4419"/>
        <w:tab w:val="clear" w:pos="8838"/>
        <w:tab w:val="left" w:pos="812"/>
        <w:tab w:val="left" w:pos="9200"/>
      </w:tabs>
      <w:rPr>
        <w:noProof/>
        <w:lang w:eastAsia="es-MX"/>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26048"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CB2293">
      <w:rPr>
        <w:noProof/>
        <w:lang w:eastAsia="es-MX"/>
      </w:rPr>
      <w:drawing>
        <wp:anchor distT="0" distB="0" distL="114300" distR="114300" simplePos="0" relativeHeight="251662336" behindDoc="1" locked="0" layoutInCell="1" allowOverlap="1">
          <wp:simplePos x="0" y="0"/>
          <wp:positionH relativeFrom="page">
            <wp:posOffset>23854</wp:posOffset>
          </wp:positionH>
          <wp:positionV relativeFrom="paragraph">
            <wp:posOffset>-472191</wp:posOffset>
          </wp:positionV>
          <wp:extent cx="7772400" cy="1004570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p>
  <w:p w:rsidR="00CB2293" w:rsidRDefault="00CB2293" w:rsidP="00CB2293">
    <w:pPr>
      <w:pStyle w:val="Encabezado"/>
      <w:tabs>
        <w:tab w:val="clear" w:pos="4419"/>
        <w:tab w:val="clear" w:pos="8838"/>
        <w:tab w:val="left" w:pos="1540"/>
      </w:tabs>
      <w:rPr>
        <w:noProof/>
        <w:lang w:eastAsia="es-MX"/>
      </w:rPr>
    </w:pPr>
    <w:r>
      <w:rPr>
        <w:noProof/>
        <w:lang w:eastAsia="es-MX"/>
      </w:rPr>
      <w:tab/>
    </w:r>
  </w:p>
  <w:p w:rsidR="00CB2293" w:rsidRDefault="00CB2293">
    <w:pPr>
      <w:pStyle w:val="Encabezado"/>
      <w:tabs>
        <w:tab w:val="clear" w:pos="4419"/>
        <w:tab w:val="clear" w:pos="8838"/>
        <w:tab w:val="left" w:pos="812"/>
        <w:tab w:val="left" w:pos="9200"/>
      </w:tabs>
      <w:rPr>
        <w:noProof/>
        <w:lang w:eastAsia="es-MX"/>
      </w:rPr>
    </w:pPr>
  </w:p>
  <w:p w:rsidR="00BF3665" w:rsidRDefault="009819AE">
    <w:pPr>
      <w:pStyle w:val="Encabezado"/>
      <w:tabs>
        <w:tab w:val="clear" w:pos="4419"/>
        <w:tab w:val="clear" w:pos="8838"/>
        <w:tab w:val="left" w:pos="812"/>
        <w:tab w:val="left" w:pos="9200"/>
      </w:tabs>
    </w:pPr>
    <w:r>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Pr>
        <w:lang w:eastAsia="es-MX"/>
      </w:rPr>
      <w:t xml:space="preserve"> </w:t>
    </w:r>
    <w:r>
      <w:tab/>
    </w:r>
    <w:r>
      <w:tab/>
    </w:r>
  </w:p>
  <w:tbl>
    <w:tblPr>
      <w:tblStyle w:val="Tablaconcuadrcula"/>
      <w:tblW w:w="10006" w:type="dxa"/>
      <w:tblLook w:val="04A0" w:firstRow="1" w:lastRow="0" w:firstColumn="1" w:lastColumn="0" w:noHBand="0" w:noVBand="1"/>
    </w:tblPr>
    <w:tblGrid>
      <w:gridCol w:w="10006"/>
    </w:tblGrid>
    <w:tr w:rsidR="00CB2293" w:rsidTr="001206EF">
      <w:trPr>
        <w:trHeight w:val="563"/>
      </w:trPr>
      <w:tc>
        <w:tcPr>
          <w:tcW w:w="10006" w:type="dxa"/>
          <w:shd w:val="clear" w:color="auto" w:fill="000000" w:themeFill="text1"/>
        </w:tcPr>
        <w:p w:rsidR="00CB2293" w:rsidRPr="00CB2293" w:rsidRDefault="00CB2293" w:rsidP="001206EF">
          <w:pPr>
            <w:spacing w:after="0"/>
            <w:jc w:val="both"/>
            <w:rPr>
              <w:lang w:val="es-ES"/>
            </w:rPr>
          </w:pPr>
          <w:r>
            <w:rPr>
              <w:rFonts w:ascii="Arial" w:hAnsi="Arial" w:cs="Arial"/>
              <w:color w:val="FFFFFF" w:themeColor="background1"/>
              <w:sz w:val="18"/>
              <w:szCs w:val="18"/>
              <w:lang w:val="es-ES"/>
            </w:rPr>
            <w:t xml:space="preserve">06 de noviembre 2025. </w:t>
          </w:r>
          <w:r>
            <w:rPr>
              <w:rFonts w:ascii="Arial" w:hAnsi="Arial" w:cs="Arial"/>
              <w:color w:val="FFFFFF" w:themeColor="background1"/>
              <w:sz w:val="18"/>
              <w:szCs w:val="18"/>
            </w:rPr>
            <w:t xml:space="preserve">Décima primera </w:t>
          </w:r>
          <w:r w:rsidRPr="00D338A0">
            <w:rPr>
              <w:rFonts w:ascii="Arial" w:hAnsi="Arial" w:cs="Arial"/>
              <w:color w:val="FFFFFF" w:themeColor="background1"/>
              <w:sz w:val="18"/>
              <w:szCs w:val="18"/>
            </w:rPr>
            <w:t>sesión ordinaria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r w:rsidR="001206EF">
            <w:rPr>
              <w:rFonts w:ascii="Arial" w:hAnsi="Arial" w:cs="Arial"/>
              <w:b/>
              <w:color w:val="FFFFFF" w:themeColor="background1"/>
              <w:sz w:val="18"/>
              <w:szCs w:val="18"/>
              <w:lang w:val="es-ES"/>
            </w:rPr>
            <w:t>UC/0</w:t>
          </w:r>
          <w:r w:rsidR="00175710">
            <w:rPr>
              <w:rFonts w:ascii="Arial" w:hAnsi="Arial" w:cs="Arial"/>
              <w:b/>
              <w:color w:val="FFFFFF" w:themeColor="background1"/>
              <w:sz w:val="18"/>
              <w:szCs w:val="18"/>
              <w:lang w:val="es-ES"/>
            </w:rPr>
            <w:t>7</w:t>
          </w:r>
          <w:r w:rsidR="001206EF">
            <w:rPr>
              <w:rFonts w:ascii="Arial" w:hAnsi="Arial" w:cs="Arial"/>
              <w:b/>
              <w:color w:val="FFFFFF" w:themeColor="background1"/>
              <w:sz w:val="18"/>
              <w:szCs w:val="18"/>
              <w:lang w:val="es-ES"/>
            </w:rPr>
            <w:t>/2025</w:t>
          </w:r>
          <w:r w:rsidRPr="00D338A0">
            <w:rPr>
              <w:rFonts w:ascii="Arial" w:hAnsi="Arial" w:cs="Arial"/>
              <w:color w:val="FFFFFF" w:themeColor="background1"/>
              <w:sz w:val="18"/>
              <w:szCs w:val="18"/>
              <w:lang w:val="es-ES"/>
            </w:rPr>
            <w:t xml:space="preserve"> que emite </w:t>
          </w:r>
          <w:r w:rsidR="001206EF">
            <w:rPr>
              <w:rFonts w:ascii="Arial" w:hAnsi="Arial" w:cs="Arial"/>
              <w:color w:val="FFFFFF" w:themeColor="background1"/>
              <w:sz w:val="18"/>
              <w:szCs w:val="18"/>
              <w:lang w:val="es-ES"/>
            </w:rPr>
            <w:t xml:space="preserve">la </w:t>
          </w:r>
          <w:r w:rsidR="00CA433C">
            <w:rPr>
              <w:rFonts w:ascii="Arial" w:hAnsi="Arial" w:cs="Arial"/>
              <w:color w:val="FFFFFF" w:themeColor="background1"/>
              <w:sz w:val="18"/>
              <w:szCs w:val="18"/>
              <w:lang w:val="es-ES"/>
            </w:rPr>
            <w:t>e</w:t>
          </w:r>
          <w:r w:rsidR="001206EF">
            <w:rPr>
              <w:rFonts w:ascii="Arial" w:hAnsi="Arial" w:cs="Arial"/>
              <w:color w:val="FFFFFF" w:themeColor="background1"/>
              <w:sz w:val="18"/>
              <w:szCs w:val="18"/>
              <w:lang w:val="es-ES"/>
            </w:rPr>
            <w:t xml:space="preserve">ncargada de la </w:t>
          </w:r>
          <w:r w:rsidR="00175710">
            <w:rPr>
              <w:rFonts w:ascii="Arial" w:hAnsi="Arial" w:cs="Arial"/>
              <w:color w:val="FFFFFF" w:themeColor="background1"/>
              <w:sz w:val="18"/>
              <w:szCs w:val="18"/>
              <w:lang w:val="es-ES"/>
            </w:rPr>
            <w:t>C</w:t>
          </w:r>
          <w:r w:rsidR="001206EF">
            <w:rPr>
              <w:rFonts w:ascii="Arial" w:hAnsi="Arial" w:cs="Arial"/>
              <w:color w:val="FFFFFF" w:themeColor="background1"/>
              <w:sz w:val="18"/>
              <w:szCs w:val="18"/>
              <w:lang w:val="es-ES"/>
            </w:rPr>
            <w:t xml:space="preserve">lausura del </w:t>
          </w:r>
          <w:r w:rsidR="00CA433C">
            <w:rPr>
              <w:rFonts w:ascii="Arial" w:hAnsi="Arial" w:cs="Arial"/>
              <w:color w:val="FFFFFF" w:themeColor="background1"/>
              <w:sz w:val="18"/>
              <w:szCs w:val="18"/>
              <w:lang w:val="es-ES"/>
            </w:rPr>
            <w:t>S</w:t>
          </w:r>
          <w:r w:rsidR="001206EF">
            <w:rPr>
              <w:rFonts w:ascii="Arial" w:hAnsi="Arial" w:cs="Arial"/>
              <w:color w:val="FFFFFF" w:themeColor="background1"/>
              <w:sz w:val="18"/>
              <w:szCs w:val="18"/>
              <w:lang w:val="es-ES"/>
            </w:rPr>
            <w:t>istema Penal Tradicional de la Procuraduría General de Justicia del Estado</w:t>
          </w:r>
          <w:r w:rsidRPr="00D338A0">
            <w:rPr>
              <w:rFonts w:ascii="Arial" w:hAnsi="Arial" w:cs="Arial"/>
              <w:color w:val="FFFFFF" w:themeColor="background1"/>
              <w:sz w:val="18"/>
              <w:szCs w:val="18"/>
              <w:lang w:val="es-ES"/>
            </w:rPr>
            <w:t xml:space="preserve">. </w:t>
          </w:r>
        </w:p>
      </w:tc>
    </w:tr>
  </w:tbl>
  <w:p w:rsidR="00BF3665" w:rsidRDefault="00BF3665" w:rsidP="001206EF">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A7F" w:rsidRDefault="00EF3E70">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43626046"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7"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9"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0"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4"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7"/>
  </w:num>
  <w:num w:numId="2">
    <w:abstractNumId w:val="5"/>
  </w:num>
  <w:num w:numId="3">
    <w:abstractNumId w:val="16"/>
  </w:num>
  <w:num w:numId="4">
    <w:abstractNumId w:val="12"/>
  </w:num>
  <w:num w:numId="5">
    <w:abstractNumId w:val="14"/>
  </w:num>
  <w:num w:numId="6">
    <w:abstractNumId w:val="3"/>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6"/>
  </w:num>
  <w:num w:numId="13">
    <w:abstractNumId w:val="1"/>
  </w:num>
  <w:num w:numId="14">
    <w:abstractNumId w:val="10"/>
  </w:num>
  <w:num w:numId="15">
    <w:abstractNumId w:val="11"/>
  </w:num>
  <w:num w:numId="16">
    <w:abstractNumId w:val="2"/>
  </w:num>
  <w:num w:numId="17">
    <w:abstractNumId w:val="15"/>
  </w:num>
  <w:num w:numId="18">
    <w:abstractNumId w:val="17"/>
  </w:num>
  <w:num w:numId="1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012"/>
    <w:rsid w:val="00010714"/>
    <w:rsid w:val="000111BB"/>
    <w:rsid w:val="00011757"/>
    <w:rsid w:val="00012344"/>
    <w:rsid w:val="00014837"/>
    <w:rsid w:val="000215E3"/>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E151A"/>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06EF"/>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452B4"/>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710"/>
    <w:rsid w:val="00175F0E"/>
    <w:rsid w:val="00176FDC"/>
    <w:rsid w:val="001771BC"/>
    <w:rsid w:val="001771D4"/>
    <w:rsid w:val="001816A1"/>
    <w:rsid w:val="00182C9A"/>
    <w:rsid w:val="001848CD"/>
    <w:rsid w:val="00185709"/>
    <w:rsid w:val="001862D2"/>
    <w:rsid w:val="00192119"/>
    <w:rsid w:val="00193A7F"/>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62F6F"/>
    <w:rsid w:val="00263864"/>
    <w:rsid w:val="002648E0"/>
    <w:rsid w:val="002652A7"/>
    <w:rsid w:val="00273340"/>
    <w:rsid w:val="00275CAB"/>
    <w:rsid w:val="00276017"/>
    <w:rsid w:val="00281BD8"/>
    <w:rsid w:val="002825DF"/>
    <w:rsid w:val="00286015"/>
    <w:rsid w:val="00287913"/>
    <w:rsid w:val="00290A2E"/>
    <w:rsid w:val="00291A4A"/>
    <w:rsid w:val="002935FF"/>
    <w:rsid w:val="002A169C"/>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F210D"/>
    <w:rsid w:val="002F5CAB"/>
    <w:rsid w:val="002F7281"/>
    <w:rsid w:val="003003C1"/>
    <w:rsid w:val="00303ECE"/>
    <w:rsid w:val="0030605F"/>
    <w:rsid w:val="00311032"/>
    <w:rsid w:val="00311B65"/>
    <w:rsid w:val="00314F14"/>
    <w:rsid w:val="00315C9C"/>
    <w:rsid w:val="0032003C"/>
    <w:rsid w:val="00321F24"/>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10772"/>
    <w:rsid w:val="00412968"/>
    <w:rsid w:val="00420AA1"/>
    <w:rsid w:val="004231C1"/>
    <w:rsid w:val="00424F5C"/>
    <w:rsid w:val="00427CA6"/>
    <w:rsid w:val="00431ACA"/>
    <w:rsid w:val="0043309B"/>
    <w:rsid w:val="00433942"/>
    <w:rsid w:val="00433D8C"/>
    <w:rsid w:val="00434058"/>
    <w:rsid w:val="00437D50"/>
    <w:rsid w:val="00440358"/>
    <w:rsid w:val="00440E63"/>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4283"/>
    <w:rsid w:val="004E497E"/>
    <w:rsid w:val="004E75F9"/>
    <w:rsid w:val="004F4889"/>
    <w:rsid w:val="004F640E"/>
    <w:rsid w:val="004F7019"/>
    <w:rsid w:val="00501890"/>
    <w:rsid w:val="00502579"/>
    <w:rsid w:val="00503E4B"/>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4BE0"/>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8AA"/>
    <w:rsid w:val="005E66F3"/>
    <w:rsid w:val="005E7E7E"/>
    <w:rsid w:val="005E7EE7"/>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3EBB"/>
    <w:rsid w:val="00656F96"/>
    <w:rsid w:val="00660EA9"/>
    <w:rsid w:val="00662AED"/>
    <w:rsid w:val="006639DB"/>
    <w:rsid w:val="00663FD7"/>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40F43"/>
    <w:rsid w:val="0074124A"/>
    <w:rsid w:val="0074193F"/>
    <w:rsid w:val="0074476D"/>
    <w:rsid w:val="007450C6"/>
    <w:rsid w:val="007460DC"/>
    <w:rsid w:val="0074687D"/>
    <w:rsid w:val="00746A7A"/>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C35"/>
    <w:rsid w:val="009E4CCF"/>
    <w:rsid w:val="009F136E"/>
    <w:rsid w:val="009F1F56"/>
    <w:rsid w:val="009F25F5"/>
    <w:rsid w:val="009F61A6"/>
    <w:rsid w:val="009F7723"/>
    <w:rsid w:val="00A00378"/>
    <w:rsid w:val="00A027E0"/>
    <w:rsid w:val="00A055CD"/>
    <w:rsid w:val="00A11177"/>
    <w:rsid w:val="00A1332F"/>
    <w:rsid w:val="00A1409E"/>
    <w:rsid w:val="00A142C3"/>
    <w:rsid w:val="00A15922"/>
    <w:rsid w:val="00A16087"/>
    <w:rsid w:val="00A16ED9"/>
    <w:rsid w:val="00A20C0F"/>
    <w:rsid w:val="00A21527"/>
    <w:rsid w:val="00A22535"/>
    <w:rsid w:val="00A23464"/>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4794"/>
    <w:rsid w:val="00A67F68"/>
    <w:rsid w:val="00A720FD"/>
    <w:rsid w:val="00A773A3"/>
    <w:rsid w:val="00A80CA3"/>
    <w:rsid w:val="00A85761"/>
    <w:rsid w:val="00A85EE3"/>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4B7"/>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766D"/>
    <w:rsid w:val="00B87F89"/>
    <w:rsid w:val="00B90860"/>
    <w:rsid w:val="00B90A8A"/>
    <w:rsid w:val="00B932D0"/>
    <w:rsid w:val="00B9390A"/>
    <w:rsid w:val="00BA05C2"/>
    <w:rsid w:val="00BA3E12"/>
    <w:rsid w:val="00BA41D6"/>
    <w:rsid w:val="00BA4221"/>
    <w:rsid w:val="00BA7D3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46B2"/>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433C"/>
    <w:rsid w:val="00CB2293"/>
    <w:rsid w:val="00CB2DB5"/>
    <w:rsid w:val="00CB380F"/>
    <w:rsid w:val="00CB78A0"/>
    <w:rsid w:val="00CB7ADB"/>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3E70"/>
    <w:rsid w:val="00EF5541"/>
    <w:rsid w:val="00EF583B"/>
    <w:rsid w:val="00EF6001"/>
    <w:rsid w:val="00F0180B"/>
    <w:rsid w:val="00F02A16"/>
    <w:rsid w:val="00F052CF"/>
    <w:rsid w:val="00F06897"/>
    <w:rsid w:val="00F0748B"/>
    <w:rsid w:val="00F104DC"/>
    <w:rsid w:val="00F113DD"/>
    <w:rsid w:val="00F114D5"/>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285"/>
    <w:rsid w:val="00F97B38"/>
    <w:rsid w:val="00FA1DB0"/>
    <w:rsid w:val="00FA3775"/>
    <w:rsid w:val="00FA5344"/>
    <w:rsid w:val="00FA5484"/>
    <w:rsid w:val="00FB1319"/>
    <w:rsid w:val="00FB300E"/>
    <w:rsid w:val="00FB5F3C"/>
    <w:rsid w:val="00FC109E"/>
    <w:rsid w:val="00FC1A90"/>
    <w:rsid w:val="00FC2EB9"/>
    <w:rsid w:val="00FC3158"/>
    <w:rsid w:val="00FC5F11"/>
    <w:rsid w:val="00FD1CEE"/>
    <w:rsid w:val="00FD28BF"/>
    <w:rsid w:val="00FD3263"/>
    <w:rsid w:val="00FD350E"/>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97A9170A-49E6-4966-B58E-EF254D730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CB22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674857-C203-4A80-8C17-545FE282B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8</Pages>
  <Words>2998</Words>
  <Characters>16492</Characters>
  <Application>Microsoft Office Word</Application>
  <DocSecurity>0</DocSecurity>
  <Lines>137</Lines>
  <Paragraphs>38</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2</cp:revision>
  <cp:lastPrinted>2025-10-28T21:47:00Z</cp:lastPrinted>
  <dcterms:created xsi:type="dcterms:W3CDTF">2025-10-28T19:08:00Z</dcterms:created>
  <dcterms:modified xsi:type="dcterms:W3CDTF">2025-11-12T20:13:00Z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