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7961C159" w:rsidR="007949FF" w:rsidRDefault="007949FF" w:rsidP="004119A8">
      <w:pPr>
        <w:jc w:val="right"/>
      </w:pPr>
      <w:r>
        <w:t xml:space="preserve">EL Naranjo S.L.P., a </w:t>
      </w:r>
      <w:r w:rsidR="006C15BC">
        <w:t xml:space="preserve">30 de </w:t>
      </w:r>
      <w:proofErr w:type="gramStart"/>
      <w:r w:rsidR="006C15BC">
        <w:t>Noviembre</w:t>
      </w:r>
      <w:proofErr w:type="gramEnd"/>
      <w:r>
        <w:t xml:space="preserve"> de 2024 </w:t>
      </w:r>
    </w:p>
    <w:p w14:paraId="5DD89906" w14:textId="77777777" w:rsidR="007949FF" w:rsidRDefault="007949FF" w:rsidP="007949FF">
      <w:pPr>
        <w:jc w:val="both"/>
      </w:pPr>
    </w:p>
    <w:p w14:paraId="7921BAA6" w14:textId="5DE3C509" w:rsidR="007949FF" w:rsidRDefault="007949FF" w:rsidP="007949FF">
      <w:pPr>
        <w:jc w:val="both"/>
        <w:rPr>
          <w:sz w:val="32"/>
          <w:szCs w:val="32"/>
        </w:rPr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XXVIII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>, referente en la información a publicar a la Deuda Pública; En este periodo la información que hagan del conocimiento de la Secretaria de Hacienda y Crédito Público (SHCP) (o su homóloga estatal) sobre los datos de todos los Financiamientos Contratados o Empréstitos, así como de los movimientos que se efectúen en estos, de acuerdo con lo señalado en el Artículo 28 de la Ley General de Deuda Pública o norma que resulte aplicable</w:t>
      </w:r>
      <w:r>
        <w:rPr>
          <w:sz w:val="32"/>
          <w:szCs w:val="32"/>
        </w:rPr>
        <w:t>.</w:t>
      </w:r>
    </w:p>
    <w:p w14:paraId="36FC7625" w14:textId="75430F83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no contamos con un </w:t>
      </w:r>
      <w:r>
        <w:rPr>
          <w:sz w:val="32"/>
          <w:szCs w:val="32"/>
        </w:rPr>
        <w:t>Deuda Pública 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13900E0E" w:rsidR="00EE1AA2" w:rsidRPr="007949FF" w:rsidRDefault="004119A8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JUAN ORTIZ VAZQUEZ</w:t>
      </w:r>
    </w:p>
    <w:p w14:paraId="6A2D0689" w14:textId="78555E67" w:rsidR="00EE1AA2" w:rsidRPr="007949FF" w:rsidRDefault="007949FF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TESORERO</w:t>
      </w:r>
      <w:r w:rsidR="00EE1AA2" w:rsidRPr="007949FF">
        <w:rPr>
          <w:b/>
          <w:sz w:val="28"/>
          <w:szCs w:val="28"/>
        </w:rPr>
        <w:t xml:space="preserve"> MUNICIPAL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3F63B186" w:rsidR="008F5518" w:rsidRPr="008F5518" w:rsidRDefault="008F5518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 w:rsidRPr="008F5518">
      <w:rPr>
        <w:b/>
        <w:bCs/>
        <w:color w:val="538135" w:themeColor="accent6" w:themeShade="BF"/>
        <w:sz w:val="36"/>
        <w:szCs w:val="36"/>
      </w:rPr>
      <w:t>TESORERIA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F7044"/>
    <w:rsid w:val="001F798C"/>
    <w:rsid w:val="002D1667"/>
    <w:rsid w:val="00397B80"/>
    <w:rsid w:val="004119A8"/>
    <w:rsid w:val="00473945"/>
    <w:rsid w:val="004D300F"/>
    <w:rsid w:val="00506612"/>
    <w:rsid w:val="00527A53"/>
    <w:rsid w:val="00545671"/>
    <w:rsid w:val="00580F36"/>
    <w:rsid w:val="00623268"/>
    <w:rsid w:val="0065125B"/>
    <w:rsid w:val="006627B3"/>
    <w:rsid w:val="006C15BC"/>
    <w:rsid w:val="006C3EDD"/>
    <w:rsid w:val="006C7E4E"/>
    <w:rsid w:val="006E57A4"/>
    <w:rsid w:val="007949FF"/>
    <w:rsid w:val="007E69E8"/>
    <w:rsid w:val="0088776F"/>
    <w:rsid w:val="008A3E73"/>
    <w:rsid w:val="008F5518"/>
    <w:rsid w:val="00A04D49"/>
    <w:rsid w:val="00AF3088"/>
    <w:rsid w:val="00B163A8"/>
    <w:rsid w:val="00B700BE"/>
    <w:rsid w:val="00B74334"/>
    <w:rsid w:val="00BE6508"/>
    <w:rsid w:val="00C326F4"/>
    <w:rsid w:val="00C5182A"/>
    <w:rsid w:val="00D079B2"/>
    <w:rsid w:val="00D81C84"/>
    <w:rsid w:val="00E20B55"/>
    <w:rsid w:val="00E46AF4"/>
    <w:rsid w:val="00EB3788"/>
    <w:rsid w:val="00EC0A57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INGRESOS2</cp:lastModifiedBy>
  <cp:revision>7</cp:revision>
  <cp:lastPrinted>2024-11-04T20:57:00Z</cp:lastPrinted>
  <dcterms:created xsi:type="dcterms:W3CDTF">2024-11-21T20:38:00Z</dcterms:created>
  <dcterms:modified xsi:type="dcterms:W3CDTF">2025-02-07T15:48:00Z</dcterms:modified>
</cp:coreProperties>
</file>