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5037" w:rsidRPr="00195037" w:rsidRDefault="00195037" w:rsidP="00195037">
      <w:pPr>
        <w:pStyle w:val="corte1datos"/>
        <w:jc w:val="right"/>
        <w:rPr>
          <w:rFonts w:cs="Arial"/>
          <w:sz w:val="24"/>
          <w:szCs w:val="24"/>
          <w:lang w:val="es-MX"/>
        </w:rPr>
      </w:pPr>
      <w:r w:rsidRPr="00195037">
        <w:rPr>
          <w:rFonts w:cs="Arial"/>
          <w:sz w:val="24"/>
          <w:szCs w:val="24"/>
        </w:rPr>
        <w:t>RECURSO DE REVISIÓN</w:t>
      </w:r>
      <w:r w:rsidRPr="00195037">
        <w:rPr>
          <w:rFonts w:cs="Arial"/>
          <w:sz w:val="24"/>
          <w:szCs w:val="24"/>
          <w:lang w:val="es-MX"/>
        </w:rPr>
        <w:t xml:space="preserve"> </w:t>
      </w:r>
      <w:r w:rsidRPr="00195037">
        <w:rPr>
          <w:rFonts w:cs="Arial"/>
          <w:sz w:val="24"/>
          <w:szCs w:val="24"/>
          <w:lang w:val="es-MX"/>
        </w:rPr>
        <w:t>1840/2019</w:t>
      </w:r>
      <w:r w:rsidRPr="00195037">
        <w:rPr>
          <w:rFonts w:cs="Arial"/>
          <w:sz w:val="24"/>
          <w:szCs w:val="24"/>
          <w:lang w:val="es-MX"/>
        </w:rPr>
        <w:t xml:space="preserve">-2 </w:t>
      </w:r>
    </w:p>
    <w:p w:rsidR="00195037" w:rsidRPr="00195037" w:rsidRDefault="00195037" w:rsidP="00195037">
      <w:pPr>
        <w:pStyle w:val="corte1datos"/>
        <w:jc w:val="right"/>
        <w:rPr>
          <w:rFonts w:cs="Arial"/>
          <w:sz w:val="24"/>
          <w:szCs w:val="24"/>
          <w:lang w:val="es-MX"/>
        </w:rPr>
      </w:pPr>
      <w:r w:rsidRPr="00195037">
        <w:rPr>
          <w:rFonts w:cs="Arial"/>
          <w:sz w:val="24"/>
          <w:szCs w:val="24"/>
          <w:lang w:val="es-MX"/>
        </w:rPr>
        <w:t>PNT</w:t>
      </w:r>
      <w:r w:rsidRPr="00195037">
        <w:rPr>
          <w:rFonts w:cs="Arial"/>
          <w:sz w:val="24"/>
          <w:szCs w:val="24"/>
          <w:lang w:val="es-MX"/>
        </w:rPr>
        <w:t>.</w:t>
      </w:r>
    </w:p>
    <w:p w:rsidR="00195037" w:rsidRPr="00195037" w:rsidRDefault="00195037" w:rsidP="00195037">
      <w:pPr>
        <w:pStyle w:val="corte1datos"/>
        <w:jc w:val="right"/>
        <w:rPr>
          <w:rFonts w:cs="Arial"/>
          <w:sz w:val="24"/>
          <w:szCs w:val="24"/>
          <w:lang w:val="es-MX"/>
        </w:rPr>
      </w:pPr>
    </w:p>
    <w:p w:rsidR="00195037" w:rsidRPr="00195037" w:rsidRDefault="00195037" w:rsidP="00195037">
      <w:pPr>
        <w:pStyle w:val="corte2ponente"/>
        <w:jc w:val="right"/>
        <w:rPr>
          <w:rFonts w:cs="Arial"/>
          <w:sz w:val="24"/>
          <w:szCs w:val="24"/>
        </w:rPr>
      </w:pPr>
      <w:r w:rsidRPr="00195037">
        <w:rPr>
          <w:rFonts w:cs="Arial"/>
          <w:sz w:val="24"/>
          <w:szCs w:val="24"/>
        </w:rPr>
        <w:t xml:space="preserve">COMISIONADO PONENTE: </w:t>
      </w:r>
    </w:p>
    <w:p w:rsidR="00195037" w:rsidRPr="00195037" w:rsidRDefault="00195037" w:rsidP="00195037">
      <w:pPr>
        <w:pStyle w:val="corte2ponente"/>
        <w:jc w:val="right"/>
        <w:rPr>
          <w:rFonts w:cs="Arial"/>
          <w:sz w:val="24"/>
          <w:szCs w:val="24"/>
          <w:lang w:val="es-MX"/>
        </w:rPr>
      </w:pPr>
      <w:r w:rsidRPr="00195037">
        <w:rPr>
          <w:rFonts w:cs="Arial"/>
          <w:sz w:val="24"/>
          <w:szCs w:val="24"/>
          <w:lang w:val="es-MX"/>
        </w:rPr>
        <w:t xml:space="preserve">LIC. </w:t>
      </w:r>
      <w:r w:rsidRPr="00195037">
        <w:rPr>
          <w:rFonts w:cs="Arial"/>
          <w:sz w:val="24"/>
          <w:szCs w:val="24"/>
          <w:lang w:val="es-MX"/>
        </w:rPr>
        <w:t>PAULINA SÁNCHEZ PÉREZ DEL POZO</w:t>
      </w:r>
    </w:p>
    <w:p w:rsidR="00195037" w:rsidRPr="00195037" w:rsidRDefault="00195037" w:rsidP="00195037">
      <w:pPr>
        <w:pStyle w:val="corte2ponente"/>
        <w:jc w:val="right"/>
        <w:rPr>
          <w:rFonts w:cs="Arial"/>
          <w:sz w:val="24"/>
          <w:szCs w:val="24"/>
          <w:lang w:val="es-MX"/>
        </w:rPr>
      </w:pPr>
    </w:p>
    <w:p w:rsidR="00195037" w:rsidRPr="00195037" w:rsidRDefault="00195037" w:rsidP="00195037">
      <w:pPr>
        <w:pStyle w:val="corte2ponente"/>
        <w:jc w:val="right"/>
        <w:rPr>
          <w:rFonts w:cs="Arial"/>
          <w:sz w:val="24"/>
          <w:szCs w:val="24"/>
          <w:lang w:val="es-MX"/>
        </w:rPr>
      </w:pPr>
      <w:r w:rsidRPr="00195037">
        <w:rPr>
          <w:rFonts w:cs="Arial"/>
          <w:sz w:val="24"/>
          <w:szCs w:val="24"/>
          <w:lang w:val="es-MX"/>
        </w:rPr>
        <w:t>ENTE OBLIGADO:</w:t>
      </w:r>
    </w:p>
    <w:p w:rsidR="00195037" w:rsidRPr="00195037" w:rsidRDefault="00195037" w:rsidP="00195037">
      <w:pPr>
        <w:pStyle w:val="corte2ponente"/>
        <w:jc w:val="right"/>
        <w:rPr>
          <w:rFonts w:cs="Arial"/>
          <w:sz w:val="24"/>
          <w:szCs w:val="24"/>
          <w:lang w:val="es-MX"/>
        </w:rPr>
      </w:pPr>
      <w:r w:rsidRPr="00195037">
        <w:rPr>
          <w:rFonts w:cs="Arial"/>
          <w:sz w:val="24"/>
          <w:szCs w:val="24"/>
          <w:lang w:val="es-MX"/>
        </w:rPr>
        <w:t>H. AYUNT</w:t>
      </w:r>
      <w:r w:rsidRPr="00195037">
        <w:rPr>
          <w:rFonts w:cs="Arial"/>
          <w:sz w:val="24"/>
          <w:szCs w:val="24"/>
          <w:lang w:val="es-MX"/>
        </w:rPr>
        <w:t xml:space="preserve">AMIENTO DE, SAN LUISS </w:t>
      </w:r>
      <w:r w:rsidRPr="00195037">
        <w:rPr>
          <w:rFonts w:cs="Arial"/>
          <w:sz w:val="24"/>
          <w:szCs w:val="24"/>
          <w:lang w:val="es-MX"/>
        </w:rPr>
        <w:t>POTOSÍ</w:t>
      </w:r>
    </w:p>
    <w:p w:rsidR="00195037" w:rsidRPr="001D7F63" w:rsidRDefault="00195037" w:rsidP="00195037">
      <w:pPr>
        <w:rPr>
          <w:rFonts w:ascii="Arial" w:hAnsi="Arial" w:cs="Arial"/>
          <w:b/>
          <w:bCs/>
          <w:sz w:val="23"/>
          <w:szCs w:val="23"/>
        </w:rPr>
      </w:pPr>
    </w:p>
    <w:p w:rsidR="007F2742" w:rsidRPr="007F2742" w:rsidRDefault="007F2742" w:rsidP="007F2742">
      <w:pPr>
        <w:pStyle w:val="corte4fondo"/>
        <w:spacing w:line="240" w:lineRule="auto"/>
        <w:rPr>
          <w:rFonts w:eastAsia="Arial" w:cs="Arial"/>
          <w:color w:val="4472C4" w:themeColor="accent1"/>
          <w:sz w:val="20"/>
          <w:szCs w:val="24"/>
        </w:rPr>
      </w:pPr>
      <w:r w:rsidRPr="007F2742">
        <w:rPr>
          <w:rFonts w:eastAsia="Arial" w:cs="Arial"/>
          <w:color w:val="4472C4" w:themeColor="accent1"/>
          <w:sz w:val="20"/>
          <w:szCs w:val="24"/>
        </w:rPr>
        <w:t xml:space="preserve">San Luis Potosí, San Luis Potosí. Acuerdo del Pleno de la Comisión Estatal de Garantía de Acceso a la Información Pública, correspondiente a la Sesión Extraordinaria 10 diez de diciembre de 2019 dos mil diecinueve. </w:t>
      </w:r>
    </w:p>
    <w:p w:rsidR="007F2742" w:rsidRPr="007F2742" w:rsidRDefault="007F2742" w:rsidP="007F2742">
      <w:pPr>
        <w:spacing w:after="0" w:line="240" w:lineRule="auto"/>
        <w:ind w:firstLine="709"/>
        <w:jc w:val="both"/>
        <w:rPr>
          <w:rFonts w:ascii="Arial" w:eastAsia="Arial" w:hAnsi="Arial" w:cs="Arial"/>
          <w:color w:val="4472C4" w:themeColor="accent1"/>
          <w:sz w:val="20"/>
          <w:szCs w:val="24"/>
        </w:rPr>
      </w:pPr>
    </w:p>
    <w:p w:rsidR="007F2742" w:rsidRPr="007F2742" w:rsidRDefault="007F2742" w:rsidP="007F2742">
      <w:pPr>
        <w:spacing w:after="0" w:line="240" w:lineRule="auto"/>
        <w:ind w:firstLine="709"/>
        <w:jc w:val="both"/>
        <w:rPr>
          <w:rFonts w:ascii="Arial" w:eastAsia="Arial" w:hAnsi="Arial" w:cs="Arial"/>
          <w:color w:val="4472C4" w:themeColor="accent1"/>
          <w:sz w:val="20"/>
          <w:szCs w:val="24"/>
        </w:rPr>
      </w:pPr>
    </w:p>
    <w:p w:rsidR="007F2742" w:rsidRPr="007F2742" w:rsidRDefault="007F2742" w:rsidP="007F2742">
      <w:pPr>
        <w:pStyle w:val="corte4fondo"/>
        <w:spacing w:line="240" w:lineRule="auto"/>
        <w:rPr>
          <w:rFonts w:eastAsia="Arial" w:cs="Arial"/>
          <w:color w:val="4472C4" w:themeColor="accent1"/>
          <w:sz w:val="20"/>
          <w:szCs w:val="24"/>
        </w:rPr>
      </w:pPr>
      <w:r w:rsidRPr="007F2742">
        <w:rPr>
          <w:rFonts w:eastAsia="Arial" w:cs="Arial"/>
          <w:b/>
          <w:bCs/>
          <w:color w:val="4472C4" w:themeColor="accent1"/>
          <w:sz w:val="20"/>
          <w:szCs w:val="24"/>
        </w:rPr>
        <w:t>VISTOS</w:t>
      </w:r>
      <w:r w:rsidRPr="007F2742">
        <w:rPr>
          <w:rFonts w:eastAsia="Arial" w:cs="Arial"/>
          <w:color w:val="4472C4" w:themeColor="accent1"/>
          <w:sz w:val="20"/>
          <w:szCs w:val="24"/>
        </w:rPr>
        <w:t>, para resolver, los autos del recurso de revisión identificado al rubro; y</w:t>
      </w:r>
    </w:p>
    <w:p w:rsidR="007F2742" w:rsidRPr="007F2742" w:rsidRDefault="007F2742" w:rsidP="007F2742">
      <w:pPr>
        <w:spacing w:after="0" w:line="240" w:lineRule="auto"/>
        <w:ind w:firstLine="709"/>
        <w:jc w:val="both"/>
        <w:rPr>
          <w:rFonts w:ascii="Arial" w:eastAsia="Arial" w:hAnsi="Arial" w:cs="Arial"/>
          <w:color w:val="4472C4" w:themeColor="accent1"/>
          <w:sz w:val="20"/>
          <w:szCs w:val="24"/>
        </w:rPr>
      </w:pPr>
    </w:p>
    <w:p w:rsidR="007F2742" w:rsidRPr="007F2742" w:rsidRDefault="007F2742" w:rsidP="007F2742">
      <w:pPr>
        <w:spacing w:after="0" w:line="240" w:lineRule="auto"/>
        <w:ind w:firstLine="709"/>
        <w:jc w:val="both"/>
        <w:rPr>
          <w:rFonts w:ascii="Arial" w:eastAsia="Arial" w:hAnsi="Arial" w:cs="Arial"/>
          <w:color w:val="4472C4" w:themeColor="accent1"/>
          <w:sz w:val="20"/>
          <w:szCs w:val="24"/>
        </w:rPr>
      </w:pPr>
    </w:p>
    <w:p w:rsidR="007F2742" w:rsidRPr="007F2742" w:rsidRDefault="007F2742" w:rsidP="007F2742">
      <w:pPr>
        <w:pStyle w:val="corte4fondo"/>
        <w:spacing w:line="240" w:lineRule="auto"/>
        <w:jc w:val="center"/>
        <w:rPr>
          <w:rFonts w:eastAsia="Arial" w:cs="Arial"/>
          <w:color w:val="4472C4" w:themeColor="accent1"/>
          <w:sz w:val="20"/>
          <w:szCs w:val="24"/>
        </w:rPr>
      </w:pPr>
      <w:r w:rsidRPr="007F2742">
        <w:rPr>
          <w:rFonts w:eastAsia="Arial" w:cs="Arial"/>
          <w:b/>
          <w:bCs/>
          <w:color w:val="4472C4" w:themeColor="accent1"/>
          <w:sz w:val="20"/>
          <w:szCs w:val="24"/>
        </w:rPr>
        <w:t>R E S U L T A N D O</w:t>
      </w:r>
      <w:r w:rsidRPr="007F2742">
        <w:rPr>
          <w:rFonts w:eastAsia="Arial" w:cs="Arial"/>
          <w:color w:val="4472C4" w:themeColor="accent1"/>
          <w:sz w:val="20"/>
          <w:szCs w:val="24"/>
        </w:rPr>
        <w:t>:</w:t>
      </w:r>
    </w:p>
    <w:p w:rsidR="007F2742" w:rsidRPr="007F2742" w:rsidRDefault="007F2742" w:rsidP="007F2742">
      <w:pPr>
        <w:pStyle w:val="corte4fondo"/>
        <w:spacing w:line="240" w:lineRule="auto"/>
        <w:jc w:val="center"/>
        <w:rPr>
          <w:rFonts w:eastAsia="Arial" w:cs="Arial"/>
          <w:color w:val="4472C4" w:themeColor="accent1"/>
          <w:sz w:val="20"/>
          <w:szCs w:val="24"/>
        </w:rPr>
      </w:pPr>
    </w:p>
    <w:p w:rsidR="007F2742" w:rsidRPr="007F2742" w:rsidRDefault="007F2742" w:rsidP="007F2742">
      <w:pPr>
        <w:spacing w:after="0" w:line="240" w:lineRule="auto"/>
        <w:ind w:firstLine="709"/>
        <w:jc w:val="center"/>
        <w:rPr>
          <w:rFonts w:ascii="Arial" w:eastAsia="Arial" w:hAnsi="Arial" w:cs="Arial"/>
          <w:color w:val="4472C4" w:themeColor="accent1"/>
          <w:sz w:val="20"/>
          <w:szCs w:val="24"/>
        </w:rPr>
      </w:pPr>
    </w:p>
    <w:p w:rsidR="007F2742" w:rsidRPr="007F2742" w:rsidRDefault="007F2742" w:rsidP="007F2742">
      <w:pPr>
        <w:pStyle w:val="corte4fondo"/>
        <w:spacing w:line="240" w:lineRule="auto"/>
        <w:rPr>
          <w:rFonts w:eastAsia="Arial" w:cs="Arial"/>
          <w:color w:val="4472C4" w:themeColor="accent1"/>
          <w:sz w:val="20"/>
          <w:szCs w:val="24"/>
        </w:rPr>
      </w:pPr>
      <w:r w:rsidRPr="007F2742">
        <w:rPr>
          <w:rFonts w:eastAsia="Arial" w:cs="Arial"/>
          <w:b/>
          <w:bCs/>
          <w:color w:val="4472C4" w:themeColor="accent1"/>
          <w:sz w:val="20"/>
          <w:szCs w:val="24"/>
        </w:rPr>
        <w:t>PRIMERO. Solicitud de acceso a la información pública.</w:t>
      </w:r>
      <w:r w:rsidRPr="007F2742">
        <w:rPr>
          <w:rFonts w:eastAsia="Arial" w:cs="Arial"/>
          <w:color w:val="4472C4" w:themeColor="accent1"/>
          <w:sz w:val="20"/>
          <w:szCs w:val="24"/>
        </w:rPr>
        <w:t xml:space="preserve"> Según consta en la Plataforma Nacional de Transparencia con folio 01190719 el 17 diecisiete de diciembre de 2020, dos mil veinte, el H. AYUNTAMIENTO DE SAN LUIS POTOSÍ, SAN LUIS POTOSÍ, recibió una solicitud de acceso a la información requiriendo lo siguiente:</w:t>
      </w:r>
    </w:p>
    <w:p w:rsidR="007F2742" w:rsidRPr="007F2742" w:rsidRDefault="007F2742" w:rsidP="007F2742">
      <w:pPr>
        <w:spacing w:after="0" w:line="240" w:lineRule="auto"/>
        <w:ind w:firstLine="709"/>
        <w:jc w:val="both"/>
        <w:rPr>
          <w:rFonts w:ascii="Arial" w:eastAsia="Arial" w:hAnsi="Arial" w:cs="Arial"/>
          <w:color w:val="4472C4" w:themeColor="accent1"/>
          <w:sz w:val="20"/>
          <w:szCs w:val="24"/>
        </w:rPr>
      </w:pPr>
    </w:p>
    <w:p w:rsidR="007F2742" w:rsidRPr="007F2742" w:rsidRDefault="007F2742" w:rsidP="007F2742">
      <w:pPr>
        <w:spacing w:after="0" w:line="240" w:lineRule="auto"/>
        <w:ind w:firstLine="709"/>
        <w:jc w:val="both"/>
        <w:rPr>
          <w:rFonts w:ascii="Arial" w:eastAsia="Arial" w:hAnsi="Arial" w:cs="Arial"/>
          <w:color w:val="4472C4" w:themeColor="accent1"/>
          <w:sz w:val="20"/>
          <w:szCs w:val="24"/>
        </w:rPr>
      </w:pPr>
    </w:p>
    <w:p w:rsidR="007F2742" w:rsidRPr="007F2742" w:rsidRDefault="007F2742" w:rsidP="007F2742">
      <w:pPr>
        <w:pStyle w:val="corte4fondo"/>
        <w:spacing w:line="240" w:lineRule="auto"/>
        <w:ind w:left="709" w:right="900"/>
        <w:rPr>
          <w:rFonts w:eastAsia="Arial" w:cs="Arial"/>
          <w:i/>
          <w:iCs/>
          <w:color w:val="4472C4" w:themeColor="accent1"/>
          <w:sz w:val="18"/>
          <w:szCs w:val="22"/>
        </w:rPr>
      </w:pPr>
      <w:r w:rsidRPr="007F2742">
        <w:rPr>
          <w:rFonts w:eastAsia="Arial" w:cs="Arial"/>
          <w:i/>
          <w:iCs/>
          <w:color w:val="4472C4" w:themeColor="accent1"/>
          <w:sz w:val="18"/>
          <w:szCs w:val="22"/>
        </w:rPr>
        <w:t xml:space="preserve">“POR ESTE MEDIO SOLICITO SE ME DE LA SIGUIENTE INFORMACIÓN EN RELACIÓN A LA CICLOVIA DE HIMNO NACIONAL. CONTRATO DE OBRA, REPORTE TÉCNICO DE OBRA, REPORTE DE AVANCE DETALLADO, CONVENIO/AMPLIACIÓN, CALCULO DE SANCIÓN/RETENCIÓN, NOTAS DE BITÁCORA Y OTROS, LOS QUE SE TENGAN POR SEMANA, QUINCENA O MENSUALES O CON LA PERIODICIDAD EN LA QUE SEAN ENTREGADOS, SOLICITO SE ME INDIQUE QUIEN ES EL SUPERINTENDENTE DE LA OBRA Y QUIEN EL RESIDENTE, SOLICITO EL REPORTE FOTOGRÁFICO, LOS REPORTES ECONÓMICOS DE OBRA, LOS REPORTES QUINCENALES EN EL QUE SE DESGLOSE EL GASTO POR SEMANA QUE SE LLEVA”(sic). </w:t>
      </w:r>
    </w:p>
    <w:p w:rsidR="007F2742" w:rsidRPr="007F2742" w:rsidRDefault="007F2742" w:rsidP="007F2742">
      <w:pPr>
        <w:spacing w:after="0" w:line="240" w:lineRule="auto"/>
        <w:ind w:firstLine="709"/>
        <w:jc w:val="both"/>
        <w:rPr>
          <w:rFonts w:ascii="Arial" w:eastAsia="Arial" w:hAnsi="Arial" w:cs="Arial"/>
          <w:color w:val="4472C4" w:themeColor="accent1"/>
          <w:sz w:val="20"/>
          <w:szCs w:val="24"/>
        </w:rPr>
      </w:pPr>
    </w:p>
    <w:p w:rsidR="007F2742" w:rsidRPr="007F2742" w:rsidRDefault="007F2742" w:rsidP="007F2742">
      <w:pPr>
        <w:spacing w:after="0" w:line="240" w:lineRule="auto"/>
        <w:ind w:firstLine="709"/>
        <w:jc w:val="both"/>
        <w:rPr>
          <w:rFonts w:ascii="Arial" w:eastAsia="Arial" w:hAnsi="Arial" w:cs="Arial"/>
          <w:color w:val="4472C4" w:themeColor="accent1"/>
          <w:sz w:val="20"/>
          <w:szCs w:val="24"/>
        </w:rPr>
      </w:pPr>
    </w:p>
    <w:p w:rsidR="007F2742" w:rsidRPr="007F2742" w:rsidRDefault="007F2742" w:rsidP="007F2742">
      <w:pPr>
        <w:spacing w:after="0" w:line="240" w:lineRule="auto"/>
        <w:ind w:firstLine="709"/>
        <w:jc w:val="both"/>
        <w:rPr>
          <w:rFonts w:ascii="Arial" w:eastAsia="Arial" w:hAnsi="Arial" w:cs="Arial"/>
          <w:color w:val="4472C4" w:themeColor="accent1"/>
          <w:sz w:val="20"/>
          <w:szCs w:val="24"/>
        </w:rPr>
      </w:pPr>
    </w:p>
    <w:p w:rsidR="007F2742" w:rsidRPr="007F2742" w:rsidRDefault="007F2742" w:rsidP="007F2742">
      <w:pPr>
        <w:pStyle w:val="corte4fondo"/>
        <w:spacing w:line="240" w:lineRule="auto"/>
        <w:rPr>
          <w:rFonts w:eastAsia="Arial" w:cs="Arial"/>
          <w:color w:val="4472C4" w:themeColor="accent1"/>
          <w:sz w:val="20"/>
          <w:szCs w:val="24"/>
        </w:rPr>
      </w:pPr>
      <w:r w:rsidRPr="007F2742">
        <w:rPr>
          <w:rFonts w:eastAsia="Arial" w:cs="Arial"/>
          <w:b/>
          <w:bCs/>
          <w:color w:val="4472C4" w:themeColor="accent1"/>
          <w:sz w:val="20"/>
          <w:szCs w:val="24"/>
        </w:rPr>
        <w:t>SEGUNDO. Respuesta a la solicitud de acceso a la información pública.</w:t>
      </w:r>
      <w:r w:rsidRPr="007F2742">
        <w:rPr>
          <w:rFonts w:eastAsia="Arial" w:cs="Arial"/>
          <w:color w:val="4472C4" w:themeColor="accent1"/>
          <w:sz w:val="20"/>
          <w:szCs w:val="24"/>
        </w:rPr>
        <w:t xml:space="preserve"> el 07 siete de enero de 2021 dos mil veintiuno, el sujeto obligado consta que, a través de la Plataforma nacional de transparencia, otorgó respuesta al escrito de solicitud del recurrente de la manera siguiente:</w:t>
      </w:r>
    </w:p>
    <w:p w:rsidR="007F2742" w:rsidRPr="007F2742" w:rsidRDefault="007F2742" w:rsidP="007F2742">
      <w:pPr>
        <w:spacing w:after="0" w:line="240" w:lineRule="auto"/>
        <w:ind w:firstLine="709"/>
        <w:jc w:val="both"/>
        <w:rPr>
          <w:rFonts w:ascii="Arial" w:eastAsia="Arial" w:hAnsi="Arial" w:cs="Arial"/>
          <w:color w:val="4472C4" w:themeColor="accent1"/>
          <w:sz w:val="20"/>
          <w:szCs w:val="24"/>
        </w:rPr>
      </w:pPr>
    </w:p>
    <w:p w:rsidR="007F2742" w:rsidRPr="007F2742" w:rsidRDefault="007F2742" w:rsidP="007F2742">
      <w:pPr>
        <w:spacing w:after="0" w:line="240" w:lineRule="auto"/>
        <w:ind w:left="709" w:right="709"/>
        <w:jc w:val="both"/>
        <w:rPr>
          <w:rFonts w:ascii="Arial" w:eastAsia="Arial" w:hAnsi="Arial" w:cs="Arial"/>
          <w:i/>
          <w:iCs/>
          <w:color w:val="4472C4" w:themeColor="accent1"/>
          <w:sz w:val="18"/>
        </w:rPr>
      </w:pPr>
      <w:r w:rsidRPr="007F2742">
        <w:rPr>
          <w:rFonts w:ascii="Arial" w:eastAsia="Arial" w:hAnsi="Arial" w:cs="Arial"/>
          <w:i/>
          <w:iCs/>
          <w:color w:val="4472C4" w:themeColor="accent1"/>
          <w:sz w:val="18"/>
        </w:rPr>
        <w:t>“En respuesta a su solicitud de información con número de folio UT-SI-1257/2019-01190719-PNT.; al respecto me permito hacer de su conocimiento se solicita se descargue el archivo adjunto, en el que encontrará la respuesta a su solicitud”</w:t>
      </w:r>
    </w:p>
    <w:p w:rsidR="007F2742" w:rsidRPr="007F2742" w:rsidRDefault="007F2742" w:rsidP="007F2742">
      <w:pPr>
        <w:pStyle w:val="corte4fondo"/>
        <w:spacing w:line="240" w:lineRule="auto"/>
        <w:rPr>
          <w:rFonts w:eastAsia="Arial" w:cs="Arial"/>
          <w:color w:val="4472C4" w:themeColor="accent1"/>
          <w:sz w:val="20"/>
          <w:szCs w:val="24"/>
        </w:rPr>
      </w:pPr>
      <w:r w:rsidRPr="007F2742">
        <w:rPr>
          <w:noProof/>
          <w:sz w:val="24"/>
          <w:lang w:val="es-MX"/>
        </w:rPr>
        <w:drawing>
          <wp:inline distT="0" distB="0" distL="0" distR="0" wp14:anchorId="323EBB4D" wp14:editId="2BA45656">
            <wp:extent cx="3133725" cy="2038350"/>
            <wp:effectExtent l="0" t="0" r="9525" b="0"/>
            <wp:docPr id="4" name="Imagen 4" descr="Una captura de pantalla de una computador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Una captura de pantalla de una computadora&#10;&#10;Descripción generada automáticamente"/>
                    <pic:cNvPicPr>
                      <a:picLocks noChangeAspect="1" noChangeArrowheads="1"/>
                    </pic:cNvPicPr>
                  </pic:nvPicPr>
                  <pic:blipFill>
                    <a:blip r:embed="rId8" cstate="print">
                      <a:extLst>
                        <a:ext uri="{28A0092B-C50C-407E-A947-70E740481C1C}">
                          <a14:useLocalDpi xmlns:a14="http://schemas.microsoft.com/office/drawing/2010/main" val="0"/>
                        </a:ext>
                      </a:extLst>
                    </a:blip>
                    <a:srcRect l="24934" t="15674" r="19753" b="20290"/>
                    <a:stretch>
                      <a:fillRect/>
                    </a:stretch>
                  </pic:blipFill>
                  <pic:spPr bwMode="auto">
                    <a:xfrm>
                      <a:off x="0" y="0"/>
                      <a:ext cx="3133725" cy="2038350"/>
                    </a:xfrm>
                    <a:prstGeom prst="rect">
                      <a:avLst/>
                    </a:prstGeom>
                    <a:noFill/>
                    <a:ln>
                      <a:noFill/>
                    </a:ln>
                  </pic:spPr>
                </pic:pic>
              </a:graphicData>
            </a:graphic>
          </wp:inline>
        </w:drawing>
      </w:r>
      <w:r w:rsidRPr="007F2742">
        <w:rPr>
          <w:rFonts w:eastAsia="Arial" w:cs="Arial"/>
          <w:color w:val="4472C4" w:themeColor="accent1"/>
          <w:sz w:val="20"/>
          <w:szCs w:val="24"/>
        </w:rPr>
        <w:t xml:space="preserve"> </w:t>
      </w:r>
    </w:p>
    <w:p w:rsidR="007F2742" w:rsidRPr="007F2742" w:rsidRDefault="007F2742" w:rsidP="007F2742">
      <w:pPr>
        <w:pStyle w:val="corte4fondo"/>
        <w:spacing w:line="240" w:lineRule="auto"/>
        <w:rPr>
          <w:rFonts w:eastAsia="Arial" w:cs="Arial"/>
          <w:color w:val="4472C4" w:themeColor="accent1"/>
          <w:sz w:val="20"/>
          <w:szCs w:val="24"/>
        </w:rPr>
      </w:pPr>
      <w:r w:rsidRPr="007F2742">
        <w:rPr>
          <w:rFonts w:eastAsia="Arial" w:cs="Arial"/>
          <w:color w:val="4472C4" w:themeColor="accent1"/>
          <w:sz w:val="20"/>
          <w:szCs w:val="24"/>
        </w:rPr>
        <w:t>(archivo digital anexo)</w:t>
      </w:r>
    </w:p>
    <w:p w:rsidR="007F2742" w:rsidRPr="007F2742" w:rsidRDefault="007F2742" w:rsidP="007F2742">
      <w:pPr>
        <w:spacing w:after="0" w:line="240" w:lineRule="auto"/>
        <w:ind w:firstLine="709"/>
        <w:jc w:val="both"/>
        <w:rPr>
          <w:rFonts w:ascii="Arial" w:eastAsia="Arial" w:hAnsi="Arial" w:cs="Arial"/>
          <w:color w:val="4472C4" w:themeColor="accent1"/>
          <w:sz w:val="20"/>
          <w:szCs w:val="24"/>
        </w:rPr>
      </w:pPr>
    </w:p>
    <w:p w:rsidR="007F2742" w:rsidRPr="007F2742" w:rsidRDefault="007F2742" w:rsidP="007F2742">
      <w:pPr>
        <w:pStyle w:val="corte4fondo"/>
        <w:tabs>
          <w:tab w:val="left" w:pos="5825"/>
        </w:tabs>
        <w:spacing w:line="240" w:lineRule="auto"/>
        <w:rPr>
          <w:rFonts w:eastAsia="Arial" w:cs="Arial"/>
          <w:color w:val="4472C4" w:themeColor="accent1"/>
          <w:sz w:val="20"/>
          <w:szCs w:val="24"/>
        </w:rPr>
      </w:pPr>
      <w:r w:rsidRPr="007F2742">
        <w:rPr>
          <w:rFonts w:eastAsia="Arial" w:cs="Arial"/>
          <w:b/>
          <w:bCs/>
          <w:color w:val="4472C4" w:themeColor="accent1"/>
          <w:sz w:val="20"/>
          <w:szCs w:val="24"/>
        </w:rPr>
        <w:lastRenderedPageBreak/>
        <w:t xml:space="preserve">TERCERO. Interposición del recurso. </w:t>
      </w:r>
      <w:r w:rsidRPr="007F2742">
        <w:rPr>
          <w:rFonts w:eastAsia="Arial" w:cs="Arial"/>
          <w:color w:val="4472C4" w:themeColor="accent1"/>
          <w:sz w:val="20"/>
          <w:szCs w:val="24"/>
        </w:rPr>
        <w:t>El 13 trece de enero de 2021 dos mil veintiuno, el hoy recurrente interpuso el presente medio de impugnación a través de la Plataforma Nacional de Transparencia, el cual quedó presentado el mismo día, mes y año ante oficialía de partes de esta Comisión; mediante el cual señaló como inconformidad lo siguiente:</w:t>
      </w:r>
    </w:p>
    <w:p w:rsidR="007F2742" w:rsidRPr="007F2742" w:rsidRDefault="007F2742" w:rsidP="007F2742">
      <w:pPr>
        <w:spacing w:after="0" w:line="240" w:lineRule="auto"/>
        <w:ind w:firstLine="709"/>
        <w:jc w:val="both"/>
        <w:rPr>
          <w:rFonts w:ascii="Arial" w:eastAsia="Arial" w:hAnsi="Arial" w:cs="Arial"/>
          <w:color w:val="4472C4" w:themeColor="accent1"/>
          <w:sz w:val="20"/>
          <w:szCs w:val="24"/>
        </w:rPr>
      </w:pPr>
    </w:p>
    <w:p w:rsidR="007F2742" w:rsidRPr="007F2742" w:rsidRDefault="007F2742" w:rsidP="007F2742">
      <w:pPr>
        <w:pStyle w:val="corte4fondo"/>
        <w:spacing w:line="240" w:lineRule="auto"/>
        <w:ind w:left="709" w:right="900" w:firstLine="0"/>
        <w:rPr>
          <w:rFonts w:eastAsia="Arial" w:cs="Arial"/>
          <w:color w:val="4472C4" w:themeColor="accent1"/>
          <w:sz w:val="20"/>
          <w:szCs w:val="24"/>
        </w:rPr>
      </w:pPr>
      <w:r w:rsidRPr="007F2742">
        <w:rPr>
          <w:rFonts w:eastAsia="Arial" w:cs="Arial"/>
          <w:i/>
          <w:iCs/>
          <w:color w:val="4472C4" w:themeColor="accent1"/>
          <w:sz w:val="20"/>
          <w:szCs w:val="24"/>
        </w:rPr>
        <w:t>“…LA RESPUESTA QUE SE ME DA ES UNA BURLA AL INTELECTO DE CUALQUIER PERSONA Y DE EL ÓRGANO GARANTE DE BRINDAR EL ACCESO A LA INFORMACIÓN, POR LO QUE MI QUEJA ES PORQUE SE ME NIEGA TODA LA INFORMACIÓN QUE SOLICITE, RESUMIENDO QUE DEBEN DE PROTEGER LOS DATOS PERSONALES, COMO SI DESCONOCIERAN QUE DEBEN DE HACER VERSIÓN PUBLICA DE LA INFORMACIÓN QUE SOLICITE, ADEMAS CONSIDERO QUE NO SE REALIZARON TODAS LAS GESTIONES INTERNAS PARA DAR CON LA INFORMACIÓN QUE SOLICITO.” (sic)</w:t>
      </w:r>
    </w:p>
    <w:p w:rsidR="007F2742" w:rsidRPr="007F2742" w:rsidRDefault="007F2742" w:rsidP="007F2742">
      <w:pPr>
        <w:spacing w:after="0" w:line="240" w:lineRule="auto"/>
        <w:ind w:firstLine="709"/>
        <w:jc w:val="both"/>
        <w:rPr>
          <w:rFonts w:ascii="Arial" w:eastAsia="Arial" w:hAnsi="Arial" w:cs="Arial"/>
          <w:color w:val="4472C4" w:themeColor="accent1"/>
          <w:sz w:val="20"/>
          <w:szCs w:val="24"/>
        </w:rPr>
      </w:pPr>
    </w:p>
    <w:p w:rsidR="007F2742" w:rsidRPr="007F2742" w:rsidRDefault="007F2742" w:rsidP="007F2742">
      <w:pPr>
        <w:spacing w:after="0" w:line="240" w:lineRule="auto"/>
        <w:ind w:firstLine="709"/>
        <w:jc w:val="both"/>
        <w:rPr>
          <w:rFonts w:ascii="Arial" w:eastAsia="Arial" w:hAnsi="Arial" w:cs="Arial"/>
          <w:color w:val="4472C4" w:themeColor="accent1"/>
          <w:sz w:val="20"/>
          <w:szCs w:val="24"/>
        </w:rPr>
      </w:pPr>
    </w:p>
    <w:p w:rsidR="007F2742" w:rsidRPr="007F2742" w:rsidRDefault="007F2742" w:rsidP="007F2742">
      <w:pPr>
        <w:pStyle w:val="corte4fondo"/>
        <w:spacing w:line="240" w:lineRule="auto"/>
        <w:rPr>
          <w:rFonts w:eastAsia="Arial" w:cs="Arial"/>
          <w:color w:val="4472C4" w:themeColor="accent1"/>
          <w:sz w:val="20"/>
          <w:szCs w:val="24"/>
        </w:rPr>
      </w:pPr>
      <w:r w:rsidRPr="007F2742">
        <w:rPr>
          <w:rFonts w:eastAsia="Arial" w:cs="Arial"/>
          <w:b/>
          <w:bCs/>
          <w:color w:val="4472C4" w:themeColor="accent1"/>
          <w:sz w:val="20"/>
          <w:szCs w:val="24"/>
        </w:rPr>
        <w:t xml:space="preserve">CUARTO. Trámite del recurso de revisión ante esta Comisión Estatal de Garantía de Acceso a la Información Pública. </w:t>
      </w:r>
      <w:r w:rsidRPr="007F2742">
        <w:rPr>
          <w:rFonts w:eastAsia="Arial" w:cs="Arial"/>
          <w:color w:val="4472C4" w:themeColor="accent1"/>
          <w:sz w:val="20"/>
          <w:szCs w:val="24"/>
        </w:rPr>
        <w:t xml:space="preserve">Mediante auto de 14 catorce de enero de 2021 dos mil veintiuno, la Presidencia de esta Comisión tuvo por recibido el recurso de revisión que hoy nos ocupa, por lo que razón de turno toco conocer a la ponencia de la Comisionada Paulina Sánchez Pérez del Pozo, por lo que se le turnó dicho expediente bajo el número </w:t>
      </w:r>
      <w:r w:rsidRPr="007F2742">
        <w:rPr>
          <w:rFonts w:eastAsia="Arial" w:cs="Arial"/>
          <w:b/>
          <w:bCs/>
          <w:color w:val="4472C4" w:themeColor="accent1"/>
          <w:sz w:val="20"/>
          <w:szCs w:val="24"/>
        </w:rPr>
        <w:t xml:space="preserve">042/2021-2 SICOM, </w:t>
      </w:r>
      <w:r w:rsidRPr="007F2742">
        <w:rPr>
          <w:rFonts w:eastAsia="Arial" w:cs="Arial"/>
          <w:color w:val="4472C4" w:themeColor="accent1"/>
          <w:sz w:val="20"/>
          <w:szCs w:val="24"/>
        </w:rPr>
        <w:t xml:space="preserve">para que procediera, previo análisis a su admisión o desechamiento según fuera el caso. </w:t>
      </w:r>
    </w:p>
    <w:p w:rsidR="007F2742" w:rsidRPr="007F2742" w:rsidRDefault="007F2742" w:rsidP="007F2742">
      <w:pPr>
        <w:spacing w:after="0" w:line="240" w:lineRule="auto"/>
        <w:ind w:firstLine="709"/>
        <w:jc w:val="both"/>
        <w:rPr>
          <w:rFonts w:ascii="Arial" w:eastAsia="Arial" w:hAnsi="Arial" w:cs="Arial"/>
          <w:color w:val="4472C4" w:themeColor="accent1"/>
          <w:sz w:val="20"/>
          <w:szCs w:val="24"/>
        </w:rPr>
      </w:pPr>
    </w:p>
    <w:p w:rsidR="007F2742" w:rsidRPr="007F2742" w:rsidRDefault="007F2742" w:rsidP="007F2742">
      <w:pPr>
        <w:spacing w:after="0" w:line="240" w:lineRule="auto"/>
        <w:ind w:firstLine="709"/>
        <w:jc w:val="both"/>
        <w:rPr>
          <w:rFonts w:ascii="Arial" w:eastAsia="Arial" w:hAnsi="Arial" w:cs="Arial"/>
          <w:color w:val="4472C4" w:themeColor="accent1"/>
          <w:sz w:val="20"/>
          <w:szCs w:val="24"/>
        </w:rPr>
      </w:pPr>
    </w:p>
    <w:p w:rsidR="007F2742" w:rsidRPr="007F2742" w:rsidRDefault="007F2742" w:rsidP="007F2742">
      <w:pPr>
        <w:spacing w:line="240" w:lineRule="auto"/>
        <w:ind w:firstLine="709"/>
        <w:jc w:val="both"/>
        <w:rPr>
          <w:rFonts w:ascii="Arial" w:eastAsia="Arial" w:hAnsi="Arial" w:cs="Arial"/>
          <w:color w:val="4472C4" w:themeColor="accent1"/>
          <w:sz w:val="20"/>
          <w:szCs w:val="24"/>
        </w:rPr>
      </w:pPr>
      <w:r w:rsidRPr="007F2742">
        <w:rPr>
          <w:rFonts w:ascii="Arial" w:eastAsia="Arial" w:hAnsi="Arial" w:cs="Arial"/>
          <w:b/>
          <w:bCs/>
          <w:color w:val="4472C4" w:themeColor="accent1"/>
          <w:sz w:val="20"/>
          <w:szCs w:val="24"/>
        </w:rPr>
        <w:t xml:space="preserve">QUINTO. Auto de admisión y trámite. </w:t>
      </w:r>
      <w:r w:rsidRPr="007F2742">
        <w:rPr>
          <w:rFonts w:ascii="Arial" w:eastAsia="Arial" w:hAnsi="Arial" w:cs="Arial"/>
          <w:color w:val="4472C4" w:themeColor="accent1"/>
          <w:sz w:val="20"/>
          <w:szCs w:val="24"/>
        </w:rPr>
        <w:t xml:space="preserve">El 18 dieciocho de enero de 2021 dos mil veintiuno, la Comisionado Ponente acordó la admisión del recurso de recisión por actualizarse la hipótesis de la fracción I, II y XII, del artículo 167 de la Ley de Transparencia y Acceso a la Información Pública del Estado, tuvo como ente obligado a la </w:t>
      </w:r>
      <w:r w:rsidRPr="007F2742">
        <w:rPr>
          <w:rFonts w:ascii="Arial" w:eastAsia="Arial" w:hAnsi="Arial" w:cs="Arial"/>
          <w:b/>
          <w:bCs/>
          <w:color w:val="4472C4" w:themeColor="accent1"/>
          <w:sz w:val="20"/>
          <w:szCs w:val="24"/>
        </w:rPr>
        <w:t xml:space="preserve">H. AYUNTAMIENTO DE SAN LUIS POTOSÍ, SAN LUIS POTOSÍ, </w:t>
      </w:r>
      <w:r w:rsidRPr="007F2742">
        <w:rPr>
          <w:rFonts w:ascii="Arial" w:eastAsia="Arial" w:hAnsi="Arial" w:cs="Arial"/>
          <w:color w:val="4472C4" w:themeColor="accent1"/>
          <w:sz w:val="20"/>
          <w:szCs w:val="24"/>
        </w:rPr>
        <w:t xml:space="preserve">en lo sucesivo sujeto obligado. </w:t>
      </w:r>
    </w:p>
    <w:p w:rsidR="007F2742" w:rsidRPr="007F2742" w:rsidRDefault="007F2742" w:rsidP="007F2742">
      <w:pPr>
        <w:spacing w:line="240" w:lineRule="auto"/>
        <w:ind w:firstLine="709"/>
        <w:jc w:val="both"/>
        <w:rPr>
          <w:rFonts w:ascii="Arial" w:eastAsia="Arial" w:hAnsi="Arial" w:cs="Arial"/>
          <w:color w:val="4472C4" w:themeColor="accent1"/>
          <w:sz w:val="20"/>
          <w:szCs w:val="24"/>
        </w:rPr>
      </w:pPr>
      <w:r w:rsidRPr="007F2742">
        <w:rPr>
          <w:rFonts w:ascii="Arial" w:eastAsia="Arial" w:hAnsi="Arial" w:cs="Arial"/>
          <w:color w:val="4472C4" w:themeColor="accent1"/>
          <w:sz w:val="20"/>
          <w:szCs w:val="24"/>
        </w:rPr>
        <w:t xml:space="preserve">Se puso a disposición de las partes el expediente para que en un plazo máximo de 7 siete días manifestaran lo que a su derecho conviniera –ofrecer pruebas y alegar–. </w:t>
      </w:r>
    </w:p>
    <w:p w:rsidR="007F2742" w:rsidRPr="007F2742" w:rsidRDefault="007F2742" w:rsidP="007F2742">
      <w:pPr>
        <w:spacing w:line="240" w:lineRule="auto"/>
        <w:jc w:val="both"/>
        <w:rPr>
          <w:rFonts w:ascii="Arial" w:eastAsia="Arial" w:hAnsi="Arial" w:cs="Arial"/>
          <w:color w:val="4472C4" w:themeColor="accent1"/>
          <w:sz w:val="20"/>
          <w:szCs w:val="24"/>
        </w:rPr>
      </w:pPr>
    </w:p>
    <w:p w:rsidR="007F2742" w:rsidRPr="007F2742" w:rsidRDefault="007F2742" w:rsidP="007F2742">
      <w:pPr>
        <w:spacing w:line="240" w:lineRule="auto"/>
        <w:ind w:firstLine="708"/>
        <w:jc w:val="both"/>
        <w:rPr>
          <w:rFonts w:ascii="Arial" w:eastAsia="Arial" w:hAnsi="Arial" w:cs="Arial"/>
          <w:color w:val="4472C4" w:themeColor="accent1"/>
          <w:sz w:val="20"/>
          <w:szCs w:val="24"/>
        </w:rPr>
      </w:pPr>
      <w:r w:rsidRPr="007F2742">
        <w:rPr>
          <w:rFonts w:ascii="Arial" w:eastAsia="Arial" w:hAnsi="Arial" w:cs="Arial"/>
          <w:b/>
          <w:bCs/>
          <w:color w:val="4472C4" w:themeColor="accent1"/>
          <w:sz w:val="20"/>
          <w:szCs w:val="24"/>
        </w:rPr>
        <w:t>SÉXTO. Rendición del informe del sujeto obligado</w:t>
      </w:r>
      <w:r w:rsidRPr="007F2742">
        <w:rPr>
          <w:rFonts w:ascii="Arial" w:eastAsia="Arial" w:hAnsi="Arial" w:cs="Arial"/>
          <w:color w:val="4472C4" w:themeColor="accent1"/>
          <w:sz w:val="20"/>
          <w:szCs w:val="24"/>
        </w:rPr>
        <w:t xml:space="preserve">. El 21 veintiuno de octubre de 2019 dos mil diecinueve, esta Comisión tuvo por recibido oficio número U.T. 4417/2019 emitido el 15 quince de octubre de 2019 dos mil diecinueve, por la Titular de la Unidad de Transparencia del Ayuntamiento de San Luis Potosí, a través del cual se realizaron diversas manifestaciones respecto al agravio señalado por el hoy recurrente en su recurso de revisión </w:t>
      </w:r>
    </w:p>
    <w:p w:rsidR="007F2742" w:rsidRPr="007F2742" w:rsidRDefault="007F2742" w:rsidP="007F2742">
      <w:pPr>
        <w:spacing w:line="240" w:lineRule="auto"/>
        <w:ind w:firstLine="708"/>
        <w:jc w:val="both"/>
        <w:rPr>
          <w:rFonts w:ascii="Arial" w:eastAsia="Arial" w:hAnsi="Arial" w:cs="Arial"/>
          <w:b/>
          <w:color w:val="4472C4" w:themeColor="accent1"/>
          <w:sz w:val="20"/>
          <w:szCs w:val="24"/>
        </w:rPr>
      </w:pPr>
      <w:r w:rsidRPr="007F2742">
        <w:rPr>
          <w:rFonts w:ascii="Arial" w:eastAsia="Arial" w:hAnsi="Arial" w:cs="Arial"/>
          <w:b/>
          <w:color w:val="4472C4" w:themeColor="accent1"/>
          <w:sz w:val="20"/>
          <w:szCs w:val="24"/>
        </w:rPr>
        <w:t xml:space="preserve">El oficio U.T.44178/19 emitido el 07 siete de mayo de 2021 dos mil veintiuno, señala en su parte conducente: </w:t>
      </w:r>
    </w:p>
    <w:p w:rsidR="007F2742" w:rsidRPr="007F2742" w:rsidRDefault="007F2742" w:rsidP="007F2742">
      <w:pPr>
        <w:spacing w:after="120" w:line="240" w:lineRule="auto"/>
        <w:ind w:left="567" w:right="425"/>
        <w:jc w:val="both"/>
        <w:rPr>
          <w:rFonts w:ascii="Arial" w:eastAsia="Arial" w:hAnsi="Arial" w:cs="Arial"/>
          <w:bCs/>
          <w:i/>
          <w:iCs/>
          <w:color w:val="4472C4" w:themeColor="accent1"/>
          <w:sz w:val="18"/>
        </w:rPr>
      </w:pPr>
      <w:r w:rsidRPr="007F2742">
        <w:rPr>
          <w:rFonts w:ascii="Arial" w:eastAsia="Arial" w:hAnsi="Arial" w:cs="Arial"/>
          <w:bCs/>
          <w:i/>
          <w:iCs/>
          <w:color w:val="4472C4" w:themeColor="accent1"/>
          <w:sz w:val="18"/>
        </w:rPr>
        <w:t>“…El presente Recurso se hizo valer de conformidad con el artículo 167, fracciones 1, Il y XIl relativas a la clasificación de la información, la declaración de inexistencia de información, la falta, deficiencia o insuficiencia de la fundamentación y/o motivación en la respuesta, de la Ley de Transparencia y Acceso a la Información Pública del Estado de San Luis Potosí.</w:t>
      </w:r>
    </w:p>
    <w:p w:rsidR="007F2742" w:rsidRPr="007F2742" w:rsidRDefault="007F2742" w:rsidP="007F2742">
      <w:pPr>
        <w:spacing w:after="120" w:line="240" w:lineRule="auto"/>
        <w:ind w:left="567" w:right="425"/>
        <w:jc w:val="both"/>
        <w:rPr>
          <w:rFonts w:ascii="Arial" w:eastAsia="Arial" w:hAnsi="Arial" w:cs="Arial"/>
          <w:bCs/>
          <w:i/>
          <w:iCs/>
          <w:color w:val="4472C4" w:themeColor="accent1"/>
          <w:sz w:val="18"/>
        </w:rPr>
      </w:pPr>
      <w:r w:rsidRPr="007F2742">
        <w:rPr>
          <w:rFonts w:ascii="Arial" w:eastAsia="Arial" w:hAnsi="Arial" w:cs="Arial"/>
          <w:bCs/>
          <w:i/>
          <w:iCs/>
          <w:color w:val="4472C4" w:themeColor="accent1"/>
          <w:sz w:val="18"/>
        </w:rPr>
        <w:t>Derivado del estudio de las manifestaciones que alude el recurrente como agravios, donde señala lo que a la letra dice:</w:t>
      </w:r>
    </w:p>
    <w:p w:rsidR="007F2742" w:rsidRPr="007F2742" w:rsidRDefault="007F2742" w:rsidP="007F2742">
      <w:pPr>
        <w:spacing w:after="120" w:line="240" w:lineRule="auto"/>
        <w:ind w:left="567" w:right="425"/>
        <w:jc w:val="both"/>
        <w:rPr>
          <w:rFonts w:ascii="Arial" w:eastAsia="Arial" w:hAnsi="Arial" w:cs="Arial"/>
          <w:bCs/>
          <w:i/>
          <w:iCs/>
          <w:color w:val="4472C4" w:themeColor="accent1"/>
          <w:sz w:val="18"/>
        </w:rPr>
      </w:pPr>
      <w:r w:rsidRPr="007F2742">
        <w:rPr>
          <w:rFonts w:ascii="Arial" w:eastAsia="Arial" w:hAnsi="Arial" w:cs="Arial"/>
          <w:bCs/>
          <w:i/>
          <w:iCs/>
          <w:color w:val="4472C4" w:themeColor="accent1"/>
          <w:sz w:val="18"/>
        </w:rPr>
        <w:t>[…]</w:t>
      </w:r>
    </w:p>
    <w:p w:rsidR="007F2742" w:rsidRPr="007F2742" w:rsidRDefault="007F2742" w:rsidP="007F2742">
      <w:pPr>
        <w:spacing w:after="120" w:line="240" w:lineRule="auto"/>
        <w:ind w:left="567" w:right="425"/>
        <w:jc w:val="both"/>
        <w:rPr>
          <w:rFonts w:ascii="Arial" w:eastAsia="Arial" w:hAnsi="Arial" w:cs="Arial"/>
          <w:bCs/>
          <w:i/>
          <w:iCs/>
          <w:color w:val="4472C4" w:themeColor="accent1"/>
          <w:sz w:val="18"/>
        </w:rPr>
      </w:pPr>
      <w:r w:rsidRPr="007F2742">
        <w:rPr>
          <w:rFonts w:ascii="Arial" w:eastAsia="Arial" w:hAnsi="Arial" w:cs="Arial"/>
          <w:bCs/>
          <w:i/>
          <w:iCs/>
          <w:color w:val="4472C4" w:themeColor="accent1"/>
          <w:sz w:val="18"/>
        </w:rPr>
        <w:t>En ese tenor, atendiendo lo manifestado en líneas que anteceden, es necesario citar la información requerida por el recurrente en la fecha señalada, lo que se transcribe para su mayor comprensión:</w:t>
      </w:r>
    </w:p>
    <w:p w:rsidR="007F2742" w:rsidRPr="007F2742" w:rsidRDefault="007F2742" w:rsidP="007F2742">
      <w:pPr>
        <w:spacing w:after="120" w:line="240" w:lineRule="auto"/>
        <w:ind w:left="567" w:right="425"/>
        <w:jc w:val="both"/>
        <w:rPr>
          <w:rFonts w:ascii="Arial" w:eastAsia="Arial" w:hAnsi="Arial" w:cs="Arial"/>
          <w:bCs/>
          <w:i/>
          <w:iCs/>
          <w:color w:val="4472C4" w:themeColor="accent1"/>
          <w:sz w:val="18"/>
        </w:rPr>
      </w:pPr>
      <w:r w:rsidRPr="007F2742">
        <w:rPr>
          <w:rFonts w:ascii="Arial" w:eastAsia="Arial" w:hAnsi="Arial" w:cs="Arial"/>
          <w:bCs/>
          <w:i/>
          <w:iCs/>
          <w:color w:val="4472C4" w:themeColor="accent1"/>
          <w:sz w:val="18"/>
        </w:rPr>
        <w:t>[…]</w:t>
      </w:r>
    </w:p>
    <w:p w:rsidR="007F2742" w:rsidRPr="007F2742" w:rsidRDefault="007F2742" w:rsidP="007F2742">
      <w:pPr>
        <w:spacing w:after="120" w:line="240" w:lineRule="auto"/>
        <w:ind w:left="567" w:right="425"/>
        <w:jc w:val="both"/>
        <w:rPr>
          <w:rFonts w:ascii="Arial" w:eastAsia="Arial" w:hAnsi="Arial" w:cs="Arial"/>
          <w:bCs/>
          <w:i/>
          <w:iCs/>
          <w:color w:val="4472C4" w:themeColor="accent1"/>
          <w:sz w:val="18"/>
        </w:rPr>
      </w:pPr>
      <w:r w:rsidRPr="007F2742">
        <w:rPr>
          <w:rFonts w:ascii="Arial" w:eastAsia="Arial" w:hAnsi="Arial" w:cs="Arial"/>
          <w:bCs/>
          <w:i/>
          <w:iCs/>
          <w:color w:val="4472C4" w:themeColor="accent1"/>
          <w:sz w:val="18"/>
        </w:rPr>
        <w:t>Ahora bien, partiendo de lo requerido consistente en el contrato de obra, reporte técnico de obra, avance detallado, convenio/ampliación, calculo de sanción/retención, notas de la bitácora, reporte fotográfico, económicos de obra, y un desglose de los reportes quincenales por gasto señalan que es lleve; al respecto mediante oficio DOP/CJ/1288/2019, recepcionado el 23 de agosto del año en curso, el Director de Obras Públicas del H. Ayuntamiento de San Luis Potosí, manifestó lo que a la letra dice:</w:t>
      </w:r>
    </w:p>
    <w:p w:rsidR="007F2742" w:rsidRPr="007F2742" w:rsidRDefault="007F2742" w:rsidP="007F2742">
      <w:pPr>
        <w:spacing w:after="120" w:line="240" w:lineRule="auto"/>
        <w:ind w:left="567" w:right="425"/>
        <w:jc w:val="both"/>
        <w:rPr>
          <w:rFonts w:ascii="Arial" w:eastAsia="Arial" w:hAnsi="Arial" w:cs="Arial"/>
          <w:bCs/>
          <w:i/>
          <w:iCs/>
          <w:color w:val="4472C4" w:themeColor="accent1"/>
          <w:sz w:val="18"/>
        </w:rPr>
      </w:pPr>
      <w:r w:rsidRPr="007F2742">
        <w:rPr>
          <w:rFonts w:ascii="Arial" w:eastAsia="Arial" w:hAnsi="Arial" w:cs="Arial"/>
          <w:bCs/>
          <w:i/>
          <w:iCs/>
          <w:color w:val="4472C4" w:themeColor="accent1"/>
          <w:sz w:val="18"/>
        </w:rPr>
        <w:t>[…]</w:t>
      </w:r>
    </w:p>
    <w:p w:rsidR="007F2742" w:rsidRPr="007F2742" w:rsidRDefault="007F2742" w:rsidP="007F2742">
      <w:pPr>
        <w:spacing w:after="120" w:line="240" w:lineRule="auto"/>
        <w:ind w:left="567" w:right="425"/>
        <w:jc w:val="both"/>
        <w:rPr>
          <w:rFonts w:ascii="Arial" w:eastAsia="Arial" w:hAnsi="Arial" w:cs="Arial"/>
          <w:bCs/>
          <w:i/>
          <w:iCs/>
          <w:color w:val="4472C4" w:themeColor="accent1"/>
          <w:sz w:val="18"/>
        </w:rPr>
      </w:pPr>
      <w:r w:rsidRPr="007F2742">
        <w:rPr>
          <w:rFonts w:ascii="Arial" w:eastAsia="Arial" w:hAnsi="Arial" w:cs="Arial"/>
          <w:bCs/>
          <w:i/>
          <w:iCs/>
          <w:color w:val="4472C4" w:themeColor="accent1"/>
          <w:sz w:val="18"/>
        </w:rPr>
        <w:lastRenderedPageBreak/>
        <w:t>De lo anterior se desprende que el Director de Obras Públicas señaló que la obra dio inicio en la fecha de su contestación, por lo que al momento de emitir la respuesta, no se contaba con reporte técnico de obra, reporte de avance detallado, convenios de ampliación, cálculo de sanción y retención, notas de bitácora, reporte fotográfico ni reporte económico de obra, por lo tanto no era posible informar dichos puntos de interés del recurrente, al no existir a esa fecha dicha información.</w:t>
      </w:r>
    </w:p>
    <w:p w:rsidR="007F2742" w:rsidRPr="007F2742" w:rsidRDefault="007F2742" w:rsidP="007F2742">
      <w:pPr>
        <w:spacing w:after="120" w:line="240" w:lineRule="auto"/>
        <w:ind w:left="567" w:right="425"/>
        <w:jc w:val="both"/>
        <w:rPr>
          <w:rFonts w:ascii="Arial" w:eastAsia="Arial" w:hAnsi="Arial" w:cs="Arial"/>
          <w:bCs/>
          <w:i/>
          <w:iCs/>
          <w:color w:val="4472C4" w:themeColor="accent1"/>
          <w:sz w:val="18"/>
        </w:rPr>
      </w:pPr>
      <w:r w:rsidRPr="007F2742">
        <w:rPr>
          <w:rFonts w:ascii="Arial" w:eastAsia="Arial" w:hAnsi="Arial" w:cs="Arial"/>
          <w:bCs/>
          <w:i/>
          <w:iCs/>
          <w:color w:val="4472C4" w:themeColor="accent1"/>
          <w:sz w:val="18"/>
        </w:rPr>
        <w:t>Por otro lado, se le señaló el nombre del servidor público residente de la obra, sin embargo, respecto al superintendente de la obra, al ser personal de la empresa, no fue factible brindar su nombre acorde a la protección de datos personales.</w:t>
      </w:r>
    </w:p>
    <w:p w:rsidR="007F2742" w:rsidRPr="007F2742" w:rsidRDefault="007F2742" w:rsidP="007F2742">
      <w:pPr>
        <w:spacing w:after="120" w:line="240" w:lineRule="auto"/>
        <w:ind w:left="567" w:right="425"/>
        <w:jc w:val="both"/>
        <w:rPr>
          <w:rFonts w:ascii="Arial" w:eastAsia="Arial" w:hAnsi="Arial" w:cs="Arial"/>
          <w:bCs/>
          <w:i/>
          <w:iCs/>
          <w:color w:val="4472C4" w:themeColor="accent1"/>
          <w:sz w:val="18"/>
        </w:rPr>
      </w:pPr>
      <w:r w:rsidRPr="007F2742">
        <w:rPr>
          <w:rFonts w:ascii="Arial" w:eastAsia="Arial" w:hAnsi="Arial" w:cs="Arial"/>
          <w:bCs/>
          <w:i/>
          <w:iCs/>
          <w:color w:val="4472C4" w:themeColor="accent1"/>
          <w:sz w:val="18"/>
        </w:rPr>
        <w:t>En ese tenor y contrario a lo aducido a la recurrente, este Ente Obligado tiene en pleno conocimiento las facultades y funciones que debe ejercer para garantizar el libre acceso a la información, así como la obligación de proteger los datos personales de los ciudadanos, por ende, no tiene sustento el argumento vertido por el recurrente al pretender el nombre de un ciudadano que no es servidor público y que por el cual, no se cuenta con la autorización para hacer público su dato personal, por lo que si se generara una versión pública acorde a la manifestación del ahora quejoso, contendría la misma información sin que fuese expuesto el multicitado nombre de quien funge como superintendente de la obra. Acorde a lo anterior, es inconcuso determinar que este Ente Obligado informó lo correspondiente dentro del término establecido, sin que existiera una omisión en la fundamentación y motivación al establecer el motivo por el cual no se le pudo otorgar el dato personal del ciudadano, señalando que la obra daba inicio en esas fechas, por lo que se le indicó que aun no se habían generado los datos que peticionaba. No obstante lo anterior y en aras de mantener el libre acceso a la información, contrario a lo creyente del recurrente, se giró el oficio U.T. 4223/19, dirigido nuevamente al Director de Obras Públicas, a efecto de que manifestara lo que a su interés conviniera, contemplando el hecho de que ha transcurrido un lapso de tiempo, por lo cual resulta factible deducir que a la fecha del presente recurso de revisión, se podrá contar con mayor información del interés del recurrente. (Anexo 2). |</w:t>
      </w:r>
    </w:p>
    <w:p w:rsidR="007F2742" w:rsidRPr="007F2742" w:rsidRDefault="007F2742" w:rsidP="007F2742">
      <w:pPr>
        <w:spacing w:after="120" w:line="240" w:lineRule="auto"/>
        <w:ind w:left="567" w:right="425"/>
        <w:jc w:val="both"/>
        <w:rPr>
          <w:rFonts w:ascii="Arial" w:eastAsia="Arial" w:hAnsi="Arial" w:cs="Arial"/>
          <w:bCs/>
          <w:i/>
          <w:iCs/>
          <w:color w:val="4472C4" w:themeColor="accent1"/>
          <w:sz w:val="18"/>
        </w:rPr>
      </w:pPr>
      <w:r w:rsidRPr="007F2742">
        <w:rPr>
          <w:rFonts w:ascii="Arial" w:eastAsia="Arial" w:hAnsi="Arial" w:cs="Arial"/>
          <w:bCs/>
          <w:i/>
          <w:iCs/>
          <w:color w:val="4472C4" w:themeColor="accent1"/>
          <w:sz w:val="18"/>
        </w:rPr>
        <w:t>Por lo que mediante oficio DOP/CJ/1517/2019, el Director de Obras Públicas del H. Ayuntamiento de San Luis Potosí, aporto los alegatos y pruebas de su intención. (Anexo 3)</w:t>
      </w:r>
    </w:p>
    <w:p w:rsidR="007F2742" w:rsidRPr="007F2742" w:rsidRDefault="007F2742" w:rsidP="007F2742">
      <w:pPr>
        <w:spacing w:after="120" w:line="240" w:lineRule="auto"/>
        <w:ind w:left="567" w:right="425"/>
        <w:jc w:val="both"/>
        <w:rPr>
          <w:rFonts w:ascii="Arial" w:eastAsia="Arial" w:hAnsi="Arial" w:cs="Arial"/>
          <w:bCs/>
          <w:i/>
          <w:iCs/>
          <w:color w:val="4472C4" w:themeColor="accent1"/>
          <w:sz w:val="18"/>
        </w:rPr>
      </w:pPr>
    </w:p>
    <w:p w:rsidR="007F2742" w:rsidRPr="007F2742" w:rsidRDefault="007F2742" w:rsidP="007F2742">
      <w:pPr>
        <w:spacing w:after="120" w:line="240" w:lineRule="auto"/>
        <w:ind w:left="567" w:right="425"/>
        <w:jc w:val="both"/>
        <w:rPr>
          <w:rFonts w:ascii="Arial" w:eastAsia="Arial" w:hAnsi="Arial" w:cs="Arial"/>
          <w:bCs/>
          <w:i/>
          <w:iCs/>
          <w:color w:val="4472C4" w:themeColor="accent1"/>
          <w:sz w:val="18"/>
        </w:rPr>
      </w:pPr>
      <w:r w:rsidRPr="007F2742">
        <w:rPr>
          <w:rFonts w:ascii="Arial" w:eastAsia="Arial" w:hAnsi="Arial" w:cs="Arial"/>
          <w:bCs/>
          <w:i/>
          <w:iCs/>
          <w:color w:val="4472C4" w:themeColor="accent1"/>
          <w:sz w:val="18"/>
        </w:rPr>
        <w:t>Por lo cual, con fundamento en lo dispuesto por el artículo 179, fracciones IV y VI de la Ley de Transparencia y Acceso a la Información Pública del Estado de San Luis Potosí, solicito que el recurso de revisión sea desechado por improcedente. …”</w:t>
      </w:r>
    </w:p>
    <w:p w:rsidR="007F2742" w:rsidRPr="007F2742" w:rsidRDefault="007F2742" w:rsidP="007F2742">
      <w:pPr>
        <w:spacing w:line="240" w:lineRule="auto"/>
        <w:ind w:right="426" w:firstLine="708"/>
        <w:jc w:val="both"/>
        <w:rPr>
          <w:rFonts w:ascii="Arial" w:eastAsia="Arial" w:hAnsi="Arial" w:cs="Arial"/>
          <w:bCs/>
          <w:color w:val="4472C4" w:themeColor="accent1"/>
          <w:sz w:val="18"/>
        </w:rPr>
      </w:pPr>
      <w:r w:rsidRPr="007F2742">
        <w:rPr>
          <w:rFonts w:ascii="Arial" w:eastAsia="Arial" w:hAnsi="Arial" w:cs="Arial"/>
          <w:bCs/>
          <w:color w:val="4472C4" w:themeColor="accent1"/>
          <w:sz w:val="18"/>
        </w:rPr>
        <w:t>Aunado a lo anterior, el sujeto obligado exhibió, junto a su oficio remitido en vía de informe, las documentales siguientes:</w:t>
      </w:r>
    </w:p>
    <w:p w:rsidR="007F2742" w:rsidRPr="007F2742" w:rsidRDefault="007F2742" w:rsidP="007F2742">
      <w:pPr>
        <w:pStyle w:val="Prrafodelista"/>
        <w:numPr>
          <w:ilvl w:val="0"/>
          <w:numId w:val="30"/>
        </w:numPr>
        <w:spacing w:line="240" w:lineRule="auto"/>
        <w:ind w:right="426"/>
        <w:jc w:val="both"/>
        <w:rPr>
          <w:rFonts w:ascii="Arial" w:eastAsia="Arial" w:hAnsi="Arial" w:cs="Arial"/>
          <w:bCs/>
          <w:color w:val="4472C4" w:themeColor="accent1"/>
          <w:sz w:val="18"/>
        </w:rPr>
      </w:pPr>
      <w:r w:rsidRPr="007F2742">
        <w:rPr>
          <w:rFonts w:ascii="Arial" w:eastAsia="Arial" w:hAnsi="Arial" w:cs="Arial"/>
          <w:bCs/>
          <w:color w:val="4472C4" w:themeColor="accent1"/>
          <w:sz w:val="18"/>
        </w:rPr>
        <w:t>Copia certificada del expediente de solicitud de acceso a la información registrado con el folio UT-SI-1257/2019-01190719-PNT, del índice del sujeto obligado, el cual contiene: 1. Acuse de recibo de la solicitud de información con número de folio 01190719; 2. Oficio número U.T. 3498/19, emitido el 16 dieciséis de agosto de 2019 dos mil diecinueve, por el Auxiliar Administrativo Técnico “C”, de la Unidad de Transparencia del Sujeto obligado, a través del cual realiza las gestiones que consideró necesarias para otorgar acceso a la información peticionada; 3. Oficio número DOP/CJ/1288/2019, emitido el 22 veintidós de agosto de 2019 dos mil diecinueve, por el Director de Obras Públicas del H. Ayuntamiento de San Luis Potosí, a través del cual realiza las siguientes manifestaciones: “</w:t>
      </w:r>
      <w:r w:rsidRPr="007F2742">
        <w:rPr>
          <w:rFonts w:ascii="Arial" w:eastAsia="Arial" w:hAnsi="Arial" w:cs="Arial"/>
          <w:bCs/>
          <w:i/>
          <w:iCs/>
          <w:color w:val="4472C4" w:themeColor="accent1"/>
          <w:sz w:val="18"/>
        </w:rPr>
        <w:t>me permito informarle que la obra de dio inicio el día de hoy por lo que no se cuenta aún con reporte técnico de obra, reporte de avance detallado, convenios de ampliación, cálculo de sanción y retención, notas de bitácora, reporte fotográfico y reporte económico de obra. hago de su conocimiento que el residente de esta obra es el Ing. José Vidal Roque, personal escrito a esta dirección, Asimismo, en cuanto al nombre del superintendente de la obra, le informó que no es un servidor público, ya que es parte del personal de la empresa constructora, por lo que no estamos autorizados a dar dicha información, ya que estamos obligados a garantizar la Protección de Datos personales”;</w:t>
      </w:r>
      <w:r w:rsidRPr="007F2742">
        <w:rPr>
          <w:rFonts w:ascii="Arial" w:eastAsia="Arial" w:hAnsi="Arial" w:cs="Arial"/>
          <w:bCs/>
          <w:color w:val="4472C4" w:themeColor="accent1"/>
          <w:sz w:val="18"/>
        </w:rPr>
        <w:t xml:space="preserve"> y, 4. Impresión de pantalla del Sistema de Solicitudes de Información del Estado de San Luis Potosí, en donde se aprecia la información disponible vía Infomex.</w:t>
      </w:r>
    </w:p>
    <w:p w:rsidR="007F2742" w:rsidRPr="007F2742" w:rsidRDefault="007F2742" w:rsidP="007F2742">
      <w:pPr>
        <w:pStyle w:val="Prrafodelista"/>
        <w:numPr>
          <w:ilvl w:val="0"/>
          <w:numId w:val="30"/>
        </w:numPr>
        <w:spacing w:line="240" w:lineRule="auto"/>
        <w:ind w:right="426"/>
        <w:jc w:val="both"/>
        <w:rPr>
          <w:rFonts w:ascii="Arial" w:eastAsia="Arial" w:hAnsi="Arial" w:cs="Arial"/>
          <w:bCs/>
          <w:color w:val="4472C4" w:themeColor="accent1"/>
          <w:sz w:val="18"/>
        </w:rPr>
      </w:pPr>
      <w:r w:rsidRPr="007F2742">
        <w:rPr>
          <w:rFonts w:ascii="Arial" w:eastAsia="Arial" w:hAnsi="Arial" w:cs="Arial"/>
          <w:bCs/>
          <w:color w:val="4472C4" w:themeColor="accent1"/>
          <w:sz w:val="18"/>
        </w:rPr>
        <w:t>Oficio número U.T. 4223/19, emitido el 07 siete de octubre de 2019 dos mil diecinueve, por la Titular de la Unidad de Transparencia del sujeto obligado, a través del cual solicita al Director de Obras Públicas, a fin de que rinda manifestaciones en relación con el recurso de revisión interpuesto en contra de la respuesta otorgada a la solicitud de acceso a la información número 01190719.</w:t>
      </w:r>
    </w:p>
    <w:p w:rsidR="007F2742" w:rsidRPr="007F2742" w:rsidRDefault="007F2742" w:rsidP="007F2742">
      <w:pPr>
        <w:pStyle w:val="Prrafodelista"/>
        <w:numPr>
          <w:ilvl w:val="0"/>
          <w:numId w:val="30"/>
        </w:numPr>
        <w:spacing w:line="240" w:lineRule="auto"/>
        <w:ind w:right="426"/>
        <w:jc w:val="both"/>
        <w:rPr>
          <w:rFonts w:ascii="Arial" w:eastAsia="Arial" w:hAnsi="Arial" w:cs="Arial"/>
          <w:bCs/>
          <w:color w:val="4472C4" w:themeColor="accent1"/>
          <w:sz w:val="18"/>
        </w:rPr>
      </w:pPr>
      <w:r w:rsidRPr="007F2742">
        <w:rPr>
          <w:rFonts w:ascii="Arial" w:eastAsia="Arial" w:hAnsi="Arial" w:cs="Arial"/>
          <w:bCs/>
          <w:color w:val="4472C4" w:themeColor="accent1"/>
          <w:sz w:val="18"/>
        </w:rPr>
        <w:t>Oficio número DOP/CJ/1517/2019, emitido el 10 diez de octubre de 2019 dos mil diecinueve, por el Director de Obras Públicas, a través del cual reitera su respuesta inicial, en cuanto al momento en que se solicitó la información, sin embargo, amplía la respuesta, actualizando la información, al momento de la emisión del oficio en comento.</w:t>
      </w:r>
    </w:p>
    <w:p w:rsidR="007F2742" w:rsidRPr="007F2742" w:rsidRDefault="007F2742" w:rsidP="007F2742">
      <w:pPr>
        <w:pStyle w:val="Prrafodelista"/>
        <w:numPr>
          <w:ilvl w:val="0"/>
          <w:numId w:val="30"/>
        </w:numPr>
        <w:spacing w:line="240" w:lineRule="auto"/>
        <w:ind w:right="426"/>
        <w:jc w:val="both"/>
        <w:rPr>
          <w:rFonts w:ascii="Arial" w:eastAsia="Arial" w:hAnsi="Arial" w:cs="Arial"/>
          <w:bCs/>
          <w:color w:val="4472C4" w:themeColor="accent1"/>
          <w:sz w:val="18"/>
        </w:rPr>
      </w:pPr>
      <w:r w:rsidRPr="007F2742">
        <w:rPr>
          <w:rFonts w:ascii="Arial" w:eastAsia="Arial" w:hAnsi="Arial" w:cs="Arial"/>
          <w:bCs/>
          <w:color w:val="4472C4" w:themeColor="accent1"/>
          <w:sz w:val="18"/>
        </w:rPr>
        <w:t>Impresión simple del contrato de obra pública número MSLP-DOP-LPE-08-2019.</w:t>
      </w:r>
    </w:p>
    <w:p w:rsidR="007F2742" w:rsidRPr="007F2742" w:rsidRDefault="007F2742" w:rsidP="007F2742">
      <w:pPr>
        <w:pStyle w:val="Prrafodelista"/>
        <w:numPr>
          <w:ilvl w:val="0"/>
          <w:numId w:val="30"/>
        </w:numPr>
        <w:spacing w:line="240" w:lineRule="auto"/>
        <w:ind w:right="426"/>
        <w:jc w:val="both"/>
        <w:rPr>
          <w:rFonts w:ascii="Arial" w:eastAsia="Arial" w:hAnsi="Arial" w:cs="Arial"/>
          <w:bCs/>
          <w:color w:val="4472C4" w:themeColor="accent1"/>
          <w:sz w:val="18"/>
        </w:rPr>
      </w:pPr>
      <w:r w:rsidRPr="007F2742">
        <w:rPr>
          <w:rFonts w:ascii="Arial" w:eastAsia="Arial" w:hAnsi="Arial" w:cs="Arial"/>
          <w:bCs/>
          <w:color w:val="4472C4" w:themeColor="accent1"/>
          <w:sz w:val="18"/>
        </w:rPr>
        <w:t xml:space="preserve">Copias fotostáticas de diversas fotografías. </w:t>
      </w:r>
    </w:p>
    <w:p w:rsidR="007F2742" w:rsidRPr="007F2742" w:rsidRDefault="007F2742" w:rsidP="007F2742">
      <w:pPr>
        <w:spacing w:line="240" w:lineRule="auto"/>
        <w:ind w:firstLine="708"/>
        <w:jc w:val="both"/>
        <w:rPr>
          <w:rFonts w:ascii="Arial" w:eastAsia="Arial" w:hAnsi="Arial" w:cs="Arial"/>
          <w:color w:val="4472C4" w:themeColor="accent1"/>
          <w:sz w:val="20"/>
          <w:szCs w:val="24"/>
        </w:rPr>
      </w:pPr>
      <w:r w:rsidRPr="007F2742">
        <w:rPr>
          <w:rFonts w:ascii="Arial" w:eastAsia="Arial" w:hAnsi="Arial" w:cs="Arial"/>
          <w:color w:val="4472C4" w:themeColor="accent1"/>
          <w:sz w:val="20"/>
          <w:szCs w:val="24"/>
        </w:rPr>
        <w:t xml:space="preserve">En el mismo auto se decretó el cierre de instrucción y se decretó la ampliación del plazo para resolver el presente recurso de revisión; y,  </w:t>
      </w:r>
    </w:p>
    <w:p w:rsidR="007F2742" w:rsidRPr="007F2742" w:rsidRDefault="007F2742" w:rsidP="007F2742">
      <w:pPr>
        <w:spacing w:line="240" w:lineRule="auto"/>
        <w:jc w:val="both"/>
        <w:rPr>
          <w:rFonts w:ascii="Arial" w:eastAsia="Arial" w:hAnsi="Arial" w:cs="Arial"/>
          <w:color w:val="4472C4" w:themeColor="accent1"/>
          <w:sz w:val="20"/>
          <w:szCs w:val="24"/>
        </w:rPr>
      </w:pPr>
    </w:p>
    <w:p w:rsidR="007F2742" w:rsidRPr="007F2742" w:rsidRDefault="007F2742" w:rsidP="007F2742">
      <w:pPr>
        <w:spacing w:line="240" w:lineRule="auto"/>
        <w:jc w:val="both"/>
        <w:rPr>
          <w:rFonts w:ascii="Arial" w:eastAsia="Arial" w:hAnsi="Arial" w:cs="Arial"/>
          <w:color w:val="4472C4" w:themeColor="accent1"/>
          <w:sz w:val="20"/>
          <w:szCs w:val="24"/>
        </w:rPr>
      </w:pPr>
    </w:p>
    <w:p w:rsidR="007F2742" w:rsidRPr="007F2742" w:rsidRDefault="007F2742" w:rsidP="007F2742">
      <w:pPr>
        <w:spacing w:line="240" w:lineRule="auto"/>
        <w:jc w:val="center"/>
        <w:rPr>
          <w:rFonts w:ascii="Arial" w:eastAsia="Arial" w:hAnsi="Arial" w:cs="Arial"/>
          <w:color w:val="4472C4" w:themeColor="accent1"/>
          <w:sz w:val="20"/>
          <w:szCs w:val="24"/>
        </w:rPr>
      </w:pPr>
      <w:r w:rsidRPr="007F2742">
        <w:rPr>
          <w:rFonts w:ascii="Arial" w:eastAsia="Arial" w:hAnsi="Arial" w:cs="Arial"/>
          <w:b/>
          <w:bCs/>
          <w:color w:val="4472C4" w:themeColor="accent1"/>
          <w:sz w:val="20"/>
          <w:szCs w:val="24"/>
        </w:rPr>
        <w:t>C O N S I D E R A N D O</w:t>
      </w:r>
    </w:p>
    <w:p w:rsidR="007F2742" w:rsidRPr="007F2742" w:rsidRDefault="007F2742" w:rsidP="007F2742">
      <w:pPr>
        <w:spacing w:line="240" w:lineRule="auto"/>
        <w:jc w:val="center"/>
        <w:rPr>
          <w:rFonts w:ascii="Arial" w:eastAsia="Arial" w:hAnsi="Arial" w:cs="Arial"/>
          <w:color w:val="4472C4" w:themeColor="accent1"/>
          <w:sz w:val="20"/>
          <w:szCs w:val="24"/>
        </w:rPr>
      </w:pPr>
    </w:p>
    <w:p w:rsidR="007F2742" w:rsidRPr="007F2742" w:rsidRDefault="007F2742" w:rsidP="007F2742">
      <w:pPr>
        <w:pStyle w:val="corte4fondo"/>
        <w:spacing w:line="240" w:lineRule="auto"/>
        <w:rPr>
          <w:rFonts w:eastAsia="Arial" w:cs="Arial"/>
          <w:color w:val="4472C4" w:themeColor="accent1"/>
          <w:sz w:val="20"/>
          <w:szCs w:val="24"/>
        </w:rPr>
      </w:pPr>
      <w:r w:rsidRPr="007F2742">
        <w:rPr>
          <w:rFonts w:eastAsia="Arial" w:cs="Arial"/>
          <w:b/>
          <w:bCs/>
          <w:color w:val="4472C4" w:themeColor="accent1"/>
          <w:sz w:val="20"/>
          <w:szCs w:val="24"/>
        </w:rPr>
        <w:t xml:space="preserve">PRIMERO. Competencia. </w:t>
      </w:r>
      <w:r w:rsidRPr="007F2742">
        <w:rPr>
          <w:rFonts w:eastAsia="Arial" w:cs="Arial"/>
          <w:color w:val="4472C4" w:themeColor="accent1"/>
          <w:sz w:val="20"/>
          <w:szCs w:val="24"/>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7F2742" w:rsidRPr="007F2742" w:rsidRDefault="007F2742" w:rsidP="007F2742">
      <w:pPr>
        <w:pStyle w:val="corte4fondo"/>
        <w:spacing w:line="240" w:lineRule="auto"/>
        <w:rPr>
          <w:rFonts w:eastAsia="Arial" w:cs="Arial"/>
          <w:color w:val="4472C4" w:themeColor="accent1"/>
          <w:sz w:val="20"/>
          <w:szCs w:val="24"/>
        </w:rPr>
      </w:pPr>
      <w:r w:rsidRPr="007F2742">
        <w:rPr>
          <w:rFonts w:eastAsia="Arial" w:cs="Arial"/>
          <w:color w:val="4472C4" w:themeColor="accent1"/>
          <w:sz w:val="20"/>
          <w:szCs w:val="24"/>
        </w:rPr>
        <w:t xml:space="preserve">      </w:t>
      </w:r>
    </w:p>
    <w:p w:rsidR="007F2742" w:rsidRPr="007F2742" w:rsidRDefault="007F2742" w:rsidP="007F2742">
      <w:pPr>
        <w:pStyle w:val="corte4fondo"/>
        <w:spacing w:line="240" w:lineRule="auto"/>
        <w:rPr>
          <w:rFonts w:eastAsia="Arial" w:cs="Arial"/>
          <w:color w:val="4472C4" w:themeColor="accent1"/>
          <w:sz w:val="20"/>
          <w:szCs w:val="24"/>
        </w:rPr>
      </w:pPr>
      <w:r w:rsidRPr="007F2742">
        <w:rPr>
          <w:rFonts w:eastAsia="Arial" w:cs="Arial"/>
          <w:b/>
          <w:bCs/>
          <w:color w:val="4472C4" w:themeColor="accent1"/>
          <w:sz w:val="20"/>
          <w:szCs w:val="24"/>
        </w:rPr>
        <w:t xml:space="preserve">SEGUNDO. Procedencia. </w:t>
      </w:r>
      <w:r w:rsidRPr="007F2742">
        <w:rPr>
          <w:rFonts w:eastAsia="Arial" w:cs="Arial"/>
          <w:color w:val="4472C4" w:themeColor="accent1"/>
          <w:sz w:val="20"/>
          <w:szCs w:val="24"/>
        </w:rPr>
        <w:t>El recurso de revisión es procedente en términos del artículo 166 de la Ley de Transparencia y Acceso a la Información Pública, en virtud de que fue interpuesto en tiempo y se encuentran satisfechos los requisitos que establece la misma; asimismo el recurrente se inconformó en contra de la respuesta a su solicitud de información por parte del sujeto obligado.</w:t>
      </w:r>
    </w:p>
    <w:p w:rsidR="007F2742" w:rsidRPr="007F2742" w:rsidRDefault="007F2742" w:rsidP="007F2742">
      <w:pPr>
        <w:pStyle w:val="corte4fondo"/>
        <w:spacing w:line="240" w:lineRule="auto"/>
        <w:rPr>
          <w:rFonts w:eastAsia="Arial" w:cs="Arial"/>
          <w:b/>
          <w:bCs/>
          <w:color w:val="4472C4" w:themeColor="accent1"/>
          <w:sz w:val="20"/>
          <w:szCs w:val="24"/>
        </w:rPr>
      </w:pPr>
    </w:p>
    <w:p w:rsidR="007F2742" w:rsidRPr="007F2742" w:rsidRDefault="007F2742" w:rsidP="007F2742">
      <w:pPr>
        <w:pStyle w:val="corte4fondo"/>
        <w:spacing w:line="240" w:lineRule="auto"/>
        <w:rPr>
          <w:rFonts w:eastAsia="Arial" w:cs="Arial"/>
          <w:bCs/>
          <w:color w:val="4472C4" w:themeColor="accent1"/>
          <w:sz w:val="20"/>
          <w:szCs w:val="24"/>
        </w:rPr>
      </w:pPr>
      <w:r w:rsidRPr="007F2742">
        <w:rPr>
          <w:rFonts w:eastAsia="Arial" w:cs="Arial"/>
          <w:b/>
          <w:bCs/>
          <w:color w:val="4472C4" w:themeColor="accent1"/>
          <w:sz w:val="20"/>
          <w:szCs w:val="24"/>
        </w:rPr>
        <w:t>TERCERO</w:t>
      </w:r>
      <w:r w:rsidRPr="007F2742">
        <w:rPr>
          <w:rFonts w:eastAsia="Arial" w:cs="Arial"/>
          <w:color w:val="4472C4" w:themeColor="accent1"/>
          <w:sz w:val="20"/>
          <w:szCs w:val="24"/>
        </w:rPr>
        <w:t xml:space="preserve">. </w:t>
      </w:r>
      <w:r w:rsidRPr="007F2742">
        <w:rPr>
          <w:rFonts w:cs="Arial"/>
          <w:b/>
          <w:bCs/>
          <w:color w:val="4472C4" w:themeColor="accent1"/>
          <w:sz w:val="20"/>
          <w:szCs w:val="24"/>
        </w:rPr>
        <w:t xml:space="preserve">Causal de Sobreseimiento hecha valer por el sujeto obligado. </w:t>
      </w:r>
      <w:r w:rsidRPr="007F2742">
        <w:rPr>
          <w:rFonts w:eastAsia="Arial" w:cs="Arial"/>
          <w:bCs/>
          <w:color w:val="4472C4" w:themeColor="accent1"/>
          <w:sz w:val="20"/>
          <w:szCs w:val="24"/>
        </w:rPr>
        <w:t>La figura del sobreseimiento, es la resolución por parte de esta Comisión Estatal de Garantía de Acceso a la Información Pública de carácter definitivo porque pone fin al procedimiento sin resolver las cuestiones de fondo, es decir, porque se haya actualizado alguno de los supuestos que establece el artículo 180 de la Ley de Transparencia y Acceso a la Información Pública del Estado.</w:t>
      </w:r>
    </w:p>
    <w:p w:rsidR="007F2742" w:rsidRPr="007F2742" w:rsidRDefault="007F2742" w:rsidP="007F2742">
      <w:pPr>
        <w:pStyle w:val="corte4fondo"/>
        <w:spacing w:line="240" w:lineRule="auto"/>
        <w:rPr>
          <w:rFonts w:eastAsia="Arial" w:cs="Arial"/>
          <w:bCs/>
          <w:color w:val="4472C4" w:themeColor="accent1"/>
          <w:sz w:val="20"/>
          <w:szCs w:val="24"/>
        </w:rPr>
      </w:pPr>
    </w:p>
    <w:p w:rsidR="007F2742" w:rsidRPr="007F2742" w:rsidRDefault="007F2742" w:rsidP="007F2742">
      <w:pPr>
        <w:pStyle w:val="corte4fondo"/>
        <w:spacing w:line="240" w:lineRule="auto"/>
        <w:rPr>
          <w:rFonts w:eastAsia="Arial" w:cs="Arial"/>
          <w:bCs/>
          <w:i/>
          <w:color w:val="4472C4" w:themeColor="accent1"/>
          <w:sz w:val="20"/>
          <w:szCs w:val="24"/>
        </w:rPr>
      </w:pPr>
      <w:r w:rsidRPr="007F2742">
        <w:rPr>
          <w:rFonts w:eastAsia="Arial" w:cs="Arial"/>
          <w:bCs/>
          <w:color w:val="4472C4" w:themeColor="accent1"/>
          <w:sz w:val="20"/>
          <w:szCs w:val="24"/>
        </w:rPr>
        <w:t>Pues bien, como ha quedado plasmado en párrafos que anteceden, el sujeto obligado solicitó el sobreseimiento del presente asunto; ello toda vez que, en su escrito de informe solicitó se desechara por improcedente el recurso de revisión, en tanto que, a su consideración, se actualizaron las causales previstas en las fracciones IV y VI, del artículo 179, de la Ley de la materia.</w:t>
      </w:r>
    </w:p>
    <w:p w:rsidR="007F2742" w:rsidRPr="007F2742" w:rsidRDefault="007F2742" w:rsidP="007F2742">
      <w:pPr>
        <w:pStyle w:val="corte4fondo"/>
        <w:spacing w:line="240" w:lineRule="auto"/>
        <w:rPr>
          <w:rFonts w:eastAsia="Arial" w:cs="Arial"/>
          <w:bCs/>
          <w:color w:val="4472C4" w:themeColor="accent1"/>
          <w:sz w:val="20"/>
          <w:szCs w:val="24"/>
        </w:rPr>
      </w:pPr>
    </w:p>
    <w:p w:rsidR="007F2742" w:rsidRPr="007F2742" w:rsidRDefault="007F2742" w:rsidP="007F2742">
      <w:pPr>
        <w:pStyle w:val="corte4fondo"/>
        <w:spacing w:line="240" w:lineRule="auto"/>
        <w:rPr>
          <w:rFonts w:eastAsia="Arial" w:cs="Arial"/>
          <w:bCs/>
          <w:color w:val="4472C4" w:themeColor="accent1"/>
          <w:sz w:val="20"/>
          <w:szCs w:val="24"/>
        </w:rPr>
      </w:pPr>
      <w:r w:rsidRPr="007F2742">
        <w:rPr>
          <w:rFonts w:eastAsia="Arial" w:cs="Arial"/>
          <w:bCs/>
          <w:color w:val="4472C4" w:themeColor="accent1"/>
          <w:sz w:val="20"/>
          <w:szCs w:val="24"/>
        </w:rPr>
        <w:t>Previo al análisis del presente asunto, en el presente considerando se hará un pronunciamiento respecto de lo solicitado por el Sujeto obligado en el cuerpo de su escrito de informe, en el sentido de sobreseer el presente recurso de revisión.</w:t>
      </w:r>
    </w:p>
    <w:p w:rsidR="007F2742" w:rsidRPr="007F2742" w:rsidRDefault="007F2742" w:rsidP="007F2742">
      <w:pPr>
        <w:pStyle w:val="corte4fondo"/>
        <w:spacing w:line="240" w:lineRule="auto"/>
        <w:rPr>
          <w:rFonts w:eastAsia="Arial" w:cs="Arial"/>
          <w:bCs/>
          <w:color w:val="4472C4" w:themeColor="accent1"/>
          <w:sz w:val="20"/>
          <w:szCs w:val="24"/>
        </w:rPr>
      </w:pPr>
    </w:p>
    <w:p w:rsidR="007F2742" w:rsidRPr="007F2742" w:rsidRDefault="007F2742" w:rsidP="007F2742">
      <w:pPr>
        <w:pStyle w:val="corte4fondo"/>
        <w:spacing w:line="240" w:lineRule="auto"/>
        <w:rPr>
          <w:rFonts w:eastAsia="Arial" w:cs="Arial"/>
          <w:bCs/>
          <w:color w:val="4472C4" w:themeColor="accent1"/>
          <w:sz w:val="20"/>
          <w:szCs w:val="24"/>
        </w:rPr>
      </w:pPr>
      <w:r w:rsidRPr="007F2742">
        <w:rPr>
          <w:rFonts w:eastAsia="Arial" w:cs="Arial"/>
          <w:bCs/>
          <w:color w:val="4472C4" w:themeColor="accent1"/>
          <w:sz w:val="20"/>
          <w:szCs w:val="24"/>
        </w:rPr>
        <w:t>Al respecto, es de señalarse que las causales de sobreseimiento previstas en la Ley de Transparencia y Acceso a la Información Pública del Estado, se encuentran establecidas en el artículo 180, el cual establece, a la letra, lo siguiente:</w:t>
      </w:r>
    </w:p>
    <w:p w:rsidR="007F2742" w:rsidRPr="007F2742" w:rsidRDefault="007F2742" w:rsidP="007F2742">
      <w:pPr>
        <w:pStyle w:val="corte4fondo"/>
        <w:spacing w:line="240" w:lineRule="auto"/>
        <w:rPr>
          <w:rFonts w:eastAsia="Arial" w:cs="Arial"/>
          <w:bCs/>
          <w:i/>
          <w:color w:val="4472C4" w:themeColor="accent1"/>
          <w:sz w:val="20"/>
          <w:szCs w:val="24"/>
        </w:rPr>
      </w:pPr>
    </w:p>
    <w:p w:rsidR="007F2742" w:rsidRPr="007F2742" w:rsidRDefault="007F2742" w:rsidP="007F2742">
      <w:pPr>
        <w:pStyle w:val="corte4fondo"/>
        <w:spacing w:line="240" w:lineRule="auto"/>
        <w:ind w:left="709" w:right="993" w:firstLine="0"/>
        <w:rPr>
          <w:rFonts w:eastAsia="Arial" w:cs="Arial"/>
          <w:bCs/>
          <w:i/>
          <w:color w:val="4472C4" w:themeColor="accent1"/>
          <w:sz w:val="20"/>
          <w:szCs w:val="24"/>
        </w:rPr>
      </w:pPr>
      <w:r w:rsidRPr="007F2742">
        <w:rPr>
          <w:rFonts w:eastAsia="Arial" w:cs="Arial"/>
          <w:bCs/>
          <w:i/>
          <w:color w:val="4472C4" w:themeColor="accent1"/>
          <w:sz w:val="20"/>
          <w:szCs w:val="24"/>
        </w:rPr>
        <w:t xml:space="preserve">“ARTÍCULO 180. El recurso será sobreseído, en todo o en parte, cuando, una vez admitido, se actualicen alguno de los siguientes supuestos: </w:t>
      </w:r>
    </w:p>
    <w:p w:rsidR="007F2742" w:rsidRPr="007F2742" w:rsidRDefault="007F2742" w:rsidP="007F2742">
      <w:pPr>
        <w:pStyle w:val="corte4fondo"/>
        <w:spacing w:line="240" w:lineRule="auto"/>
        <w:ind w:left="709" w:right="993" w:firstLine="0"/>
        <w:rPr>
          <w:rFonts w:eastAsia="Arial" w:cs="Arial"/>
          <w:bCs/>
          <w:i/>
          <w:color w:val="4472C4" w:themeColor="accent1"/>
          <w:sz w:val="20"/>
          <w:szCs w:val="24"/>
        </w:rPr>
      </w:pPr>
      <w:r w:rsidRPr="007F2742">
        <w:rPr>
          <w:rFonts w:eastAsia="Arial" w:cs="Arial"/>
          <w:bCs/>
          <w:i/>
          <w:color w:val="4472C4" w:themeColor="accent1"/>
          <w:sz w:val="20"/>
          <w:szCs w:val="24"/>
        </w:rPr>
        <w:t xml:space="preserve">I. El recurrente se desista; </w:t>
      </w:r>
    </w:p>
    <w:p w:rsidR="007F2742" w:rsidRPr="007F2742" w:rsidRDefault="007F2742" w:rsidP="007F2742">
      <w:pPr>
        <w:pStyle w:val="corte4fondo"/>
        <w:spacing w:line="240" w:lineRule="auto"/>
        <w:ind w:left="709" w:right="993" w:firstLine="0"/>
        <w:rPr>
          <w:rFonts w:eastAsia="Arial" w:cs="Arial"/>
          <w:bCs/>
          <w:i/>
          <w:color w:val="4472C4" w:themeColor="accent1"/>
          <w:sz w:val="20"/>
          <w:szCs w:val="24"/>
        </w:rPr>
      </w:pPr>
      <w:r w:rsidRPr="007F2742">
        <w:rPr>
          <w:rFonts w:eastAsia="Arial" w:cs="Arial"/>
          <w:bCs/>
          <w:i/>
          <w:color w:val="4472C4" w:themeColor="accent1"/>
          <w:sz w:val="20"/>
          <w:szCs w:val="24"/>
        </w:rPr>
        <w:t xml:space="preserve">II. El recurrente fallezca; </w:t>
      </w:r>
    </w:p>
    <w:p w:rsidR="007F2742" w:rsidRPr="007F2742" w:rsidRDefault="007F2742" w:rsidP="007F2742">
      <w:pPr>
        <w:pStyle w:val="corte4fondo"/>
        <w:spacing w:line="240" w:lineRule="auto"/>
        <w:ind w:left="709" w:right="993" w:firstLine="0"/>
        <w:rPr>
          <w:rFonts w:eastAsia="Arial" w:cs="Arial"/>
          <w:bCs/>
          <w:i/>
          <w:color w:val="4472C4" w:themeColor="accent1"/>
          <w:sz w:val="20"/>
          <w:szCs w:val="24"/>
        </w:rPr>
      </w:pPr>
      <w:r w:rsidRPr="007F2742">
        <w:rPr>
          <w:rFonts w:eastAsia="Arial" w:cs="Arial"/>
          <w:bCs/>
          <w:i/>
          <w:color w:val="4472C4" w:themeColor="accent1"/>
          <w:sz w:val="20"/>
          <w:szCs w:val="24"/>
        </w:rPr>
        <w:t>III. El sujeto obligado responsable del acto lo modifique o revoque de tal manera que el recurso de revisión quede sin materia, o</w:t>
      </w:r>
    </w:p>
    <w:p w:rsidR="007F2742" w:rsidRPr="007F2742" w:rsidRDefault="007F2742" w:rsidP="007F2742">
      <w:pPr>
        <w:pStyle w:val="corte4fondo"/>
        <w:spacing w:line="240" w:lineRule="auto"/>
        <w:ind w:left="709" w:right="993" w:firstLine="0"/>
        <w:rPr>
          <w:rFonts w:eastAsia="Arial" w:cs="Arial"/>
          <w:bCs/>
          <w:i/>
          <w:color w:val="4472C4" w:themeColor="accent1"/>
          <w:sz w:val="20"/>
          <w:szCs w:val="24"/>
        </w:rPr>
      </w:pPr>
      <w:r w:rsidRPr="007F2742">
        <w:rPr>
          <w:rFonts w:eastAsia="Arial" w:cs="Arial"/>
          <w:b/>
          <w:i/>
          <w:color w:val="4472C4" w:themeColor="accent1"/>
          <w:sz w:val="20"/>
          <w:szCs w:val="24"/>
        </w:rPr>
        <w:t>IV Admitido el recurso de revisión, aparezca alguna causal de improcedencia en los términos del presente Capítulo.</w:t>
      </w:r>
      <w:r w:rsidRPr="007F2742">
        <w:rPr>
          <w:rFonts w:eastAsia="Arial" w:cs="Arial"/>
          <w:bCs/>
          <w:i/>
          <w:color w:val="4472C4" w:themeColor="accent1"/>
          <w:sz w:val="20"/>
          <w:szCs w:val="24"/>
        </w:rPr>
        <w:t>”</w:t>
      </w:r>
    </w:p>
    <w:p w:rsidR="007F2742" w:rsidRPr="007F2742" w:rsidRDefault="007F2742" w:rsidP="007F2742">
      <w:pPr>
        <w:pStyle w:val="corte4fondo"/>
        <w:spacing w:line="240" w:lineRule="auto"/>
        <w:rPr>
          <w:rFonts w:eastAsia="Arial" w:cs="Arial"/>
          <w:bCs/>
          <w:color w:val="4472C4" w:themeColor="accent1"/>
          <w:sz w:val="20"/>
          <w:szCs w:val="24"/>
        </w:rPr>
      </w:pPr>
    </w:p>
    <w:p w:rsidR="007F2742" w:rsidRPr="007F2742" w:rsidRDefault="007F2742" w:rsidP="007F2742">
      <w:pPr>
        <w:pStyle w:val="corte4fondo"/>
        <w:spacing w:line="240" w:lineRule="auto"/>
        <w:rPr>
          <w:rFonts w:eastAsia="Arial" w:cs="Arial"/>
          <w:bCs/>
          <w:color w:val="4472C4" w:themeColor="accent1"/>
          <w:sz w:val="20"/>
          <w:szCs w:val="24"/>
        </w:rPr>
      </w:pPr>
      <w:r w:rsidRPr="007F2742">
        <w:rPr>
          <w:rFonts w:eastAsia="Arial" w:cs="Arial"/>
          <w:bCs/>
          <w:color w:val="4472C4" w:themeColor="accent1"/>
          <w:sz w:val="20"/>
          <w:szCs w:val="24"/>
        </w:rPr>
        <w:t>Conforme a lo anterior, el Recurso de Revisión, presentado ante la Comisión Estatal de Garantía de Acceso a la Información Pública será sobreseído, cuando se actualice alguno de los supuestos establecidos en el propio artículo 180 de la Ley de la materia, los cuales son: 1. Que el recurrente se desista; 2. Que la parte que promueve fallezca; 3. Que el Sujeto obligado modifique el acto reclamado, hasta que deja sin materia el recurso de revisión (que satisface las pretensiones de la parte actora y cumple con los elementos necesarios para considerarse que la entrega de la información se encuentra apegada a los principios establecidos en la Ley de la materia y sus lineamientos); y, 4. Cuando, una vez admitido el recurso, aparezca una causal de sobreseimiento establecida en el artículo 179 de la Ley de Transparencia y Acceso a la Información Pública del Estado de San Luis Potosí.</w:t>
      </w:r>
    </w:p>
    <w:p w:rsidR="007F2742" w:rsidRPr="007F2742" w:rsidRDefault="007F2742" w:rsidP="007F2742">
      <w:pPr>
        <w:pStyle w:val="corte4fondo"/>
        <w:spacing w:line="240" w:lineRule="auto"/>
        <w:rPr>
          <w:rFonts w:eastAsia="Arial" w:cs="Arial"/>
          <w:bCs/>
          <w:color w:val="4472C4" w:themeColor="accent1"/>
          <w:sz w:val="20"/>
          <w:szCs w:val="24"/>
        </w:rPr>
      </w:pPr>
    </w:p>
    <w:p w:rsidR="007F2742" w:rsidRPr="007F2742" w:rsidRDefault="007F2742" w:rsidP="007F2742">
      <w:pPr>
        <w:pStyle w:val="corte4fondo"/>
        <w:spacing w:line="240" w:lineRule="auto"/>
        <w:rPr>
          <w:rFonts w:eastAsia="Arial" w:cs="Arial"/>
          <w:bCs/>
          <w:color w:val="4472C4" w:themeColor="accent1"/>
          <w:sz w:val="20"/>
          <w:szCs w:val="24"/>
        </w:rPr>
      </w:pPr>
      <w:r w:rsidRPr="007F2742">
        <w:rPr>
          <w:rFonts w:eastAsia="Arial" w:cs="Arial"/>
          <w:bCs/>
          <w:color w:val="4472C4" w:themeColor="accent1"/>
          <w:sz w:val="20"/>
          <w:szCs w:val="24"/>
        </w:rPr>
        <w:t>Ahora bien, el sujeto obligado manifestó que las hipótesis que al efecto se actualizaban en el presente asunto, lo eran las establecidas en las fracciones IV y VI de la norma en cita, por lo que resulta preciso señalar lo que a la letra establece el artículo 179 de la referida Ley, específicamente en sus fracciones antes precisadas.</w:t>
      </w:r>
    </w:p>
    <w:p w:rsidR="007F2742" w:rsidRPr="007F2742" w:rsidRDefault="007F2742" w:rsidP="007F2742">
      <w:pPr>
        <w:pStyle w:val="corte4fondo"/>
        <w:spacing w:line="240" w:lineRule="auto"/>
        <w:rPr>
          <w:rFonts w:eastAsia="Arial" w:cs="Arial"/>
          <w:bCs/>
          <w:color w:val="4472C4" w:themeColor="accent1"/>
          <w:sz w:val="20"/>
          <w:szCs w:val="24"/>
        </w:rPr>
      </w:pPr>
    </w:p>
    <w:p w:rsidR="007F2742" w:rsidRPr="007F2742" w:rsidRDefault="007F2742" w:rsidP="007F2742">
      <w:pPr>
        <w:pStyle w:val="corte4fondo"/>
        <w:spacing w:line="240" w:lineRule="auto"/>
        <w:ind w:left="709" w:right="616" w:firstLine="0"/>
        <w:rPr>
          <w:rFonts w:eastAsia="Arial" w:cs="Arial"/>
          <w:bCs/>
          <w:i/>
          <w:iCs/>
          <w:color w:val="4472C4" w:themeColor="accent1"/>
          <w:sz w:val="20"/>
          <w:szCs w:val="24"/>
        </w:rPr>
      </w:pPr>
      <w:r w:rsidRPr="007F2742">
        <w:rPr>
          <w:rFonts w:eastAsia="Arial" w:cs="Arial"/>
          <w:bCs/>
          <w:color w:val="4472C4" w:themeColor="accent1"/>
          <w:sz w:val="20"/>
          <w:szCs w:val="24"/>
        </w:rPr>
        <w:lastRenderedPageBreak/>
        <w:t>“</w:t>
      </w:r>
      <w:r w:rsidRPr="007F2742">
        <w:rPr>
          <w:rFonts w:eastAsia="Arial" w:cs="Arial"/>
          <w:bCs/>
          <w:i/>
          <w:iCs/>
          <w:color w:val="4472C4" w:themeColor="accent1"/>
          <w:sz w:val="20"/>
          <w:szCs w:val="24"/>
        </w:rPr>
        <w:t>ARTÍCULO 179. El recurso será desechado por improcedente cuando:</w:t>
      </w:r>
    </w:p>
    <w:p w:rsidR="007F2742" w:rsidRPr="007F2742" w:rsidRDefault="007F2742" w:rsidP="007F2742">
      <w:pPr>
        <w:pStyle w:val="corte4fondo"/>
        <w:spacing w:line="240" w:lineRule="auto"/>
        <w:ind w:left="709" w:right="616" w:firstLine="0"/>
        <w:rPr>
          <w:rFonts w:eastAsia="Arial" w:cs="Arial"/>
          <w:bCs/>
          <w:i/>
          <w:iCs/>
          <w:color w:val="4472C4" w:themeColor="accent1"/>
          <w:sz w:val="20"/>
          <w:szCs w:val="24"/>
        </w:rPr>
      </w:pPr>
      <w:r w:rsidRPr="007F2742">
        <w:rPr>
          <w:rFonts w:eastAsia="Arial" w:cs="Arial"/>
          <w:bCs/>
          <w:i/>
          <w:iCs/>
          <w:color w:val="4472C4" w:themeColor="accent1"/>
          <w:sz w:val="20"/>
          <w:szCs w:val="24"/>
        </w:rPr>
        <w:t>[…]</w:t>
      </w:r>
    </w:p>
    <w:p w:rsidR="007F2742" w:rsidRPr="007F2742" w:rsidRDefault="007F2742" w:rsidP="007F2742">
      <w:pPr>
        <w:pStyle w:val="corte4fondo"/>
        <w:spacing w:line="240" w:lineRule="auto"/>
        <w:ind w:left="709" w:right="616" w:firstLine="0"/>
        <w:rPr>
          <w:rFonts w:eastAsia="Arial" w:cs="Arial"/>
          <w:bCs/>
          <w:i/>
          <w:iCs/>
          <w:color w:val="4472C4" w:themeColor="accent1"/>
          <w:sz w:val="20"/>
          <w:szCs w:val="24"/>
        </w:rPr>
      </w:pPr>
      <w:r w:rsidRPr="007F2742">
        <w:rPr>
          <w:rFonts w:eastAsia="Arial" w:cs="Arial"/>
          <w:bCs/>
          <w:i/>
          <w:iCs/>
          <w:color w:val="4472C4" w:themeColor="accent1"/>
          <w:sz w:val="20"/>
          <w:szCs w:val="24"/>
        </w:rPr>
        <w:t>IV. No actualice alguno de los supuestos previstos en el artículo 167 de la presente Ley;</w:t>
      </w:r>
    </w:p>
    <w:p w:rsidR="007F2742" w:rsidRPr="007F2742" w:rsidRDefault="007F2742" w:rsidP="007F2742">
      <w:pPr>
        <w:pStyle w:val="corte4fondo"/>
        <w:spacing w:line="240" w:lineRule="auto"/>
        <w:ind w:left="709" w:right="616" w:firstLine="0"/>
        <w:rPr>
          <w:rFonts w:eastAsia="Arial" w:cs="Arial"/>
          <w:bCs/>
          <w:i/>
          <w:iCs/>
          <w:color w:val="4472C4" w:themeColor="accent1"/>
          <w:sz w:val="20"/>
          <w:szCs w:val="24"/>
        </w:rPr>
      </w:pPr>
      <w:r w:rsidRPr="007F2742">
        <w:rPr>
          <w:rFonts w:eastAsia="Arial" w:cs="Arial"/>
          <w:bCs/>
          <w:i/>
          <w:iCs/>
          <w:color w:val="4472C4" w:themeColor="accent1"/>
          <w:sz w:val="20"/>
          <w:szCs w:val="24"/>
        </w:rPr>
        <w:t>[…]</w:t>
      </w:r>
    </w:p>
    <w:p w:rsidR="007F2742" w:rsidRPr="007F2742" w:rsidRDefault="007F2742" w:rsidP="007F2742">
      <w:pPr>
        <w:pStyle w:val="corte4fondo"/>
        <w:spacing w:line="240" w:lineRule="auto"/>
        <w:ind w:left="709" w:right="616" w:firstLine="0"/>
        <w:rPr>
          <w:rFonts w:eastAsia="Arial" w:cs="Arial"/>
          <w:bCs/>
          <w:color w:val="4472C4" w:themeColor="accent1"/>
          <w:sz w:val="20"/>
          <w:szCs w:val="24"/>
        </w:rPr>
      </w:pPr>
      <w:r w:rsidRPr="007F2742">
        <w:rPr>
          <w:rFonts w:eastAsia="Arial" w:cs="Arial"/>
          <w:bCs/>
          <w:color w:val="4472C4" w:themeColor="accent1"/>
          <w:sz w:val="20"/>
          <w:szCs w:val="24"/>
        </w:rPr>
        <w:t>VI. Se impugne la veracidad de la información proporcionada;”</w:t>
      </w:r>
    </w:p>
    <w:p w:rsidR="007F2742" w:rsidRPr="007F2742" w:rsidRDefault="007F2742" w:rsidP="007F2742">
      <w:pPr>
        <w:pStyle w:val="corte4fondo"/>
        <w:spacing w:line="240" w:lineRule="auto"/>
        <w:rPr>
          <w:rFonts w:eastAsia="Arial" w:cs="Arial"/>
          <w:bCs/>
          <w:color w:val="4472C4" w:themeColor="accent1"/>
          <w:sz w:val="20"/>
          <w:szCs w:val="24"/>
        </w:rPr>
      </w:pPr>
    </w:p>
    <w:p w:rsidR="007F2742" w:rsidRPr="007F2742" w:rsidRDefault="007F2742" w:rsidP="007F2742">
      <w:pPr>
        <w:pStyle w:val="corte4fondo"/>
        <w:spacing w:line="240" w:lineRule="auto"/>
        <w:rPr>
          <w:rFonts w:eastAsia="Arial" w:cs="Arial"/>
          <w:bCs/>
          <w:color w:val="4472C4" w:themeColor="accent1"/>
          <w:sz w:val="20"/>
          <w:szCs w:val="24"/>
        </w:rPr>
      </w:pPr>
      <w:r w:rsidRPr="007F2742">
        <w:rPr>
          <w:rFonts w:eastAsia="Arial" w:cs="Arial"/>
          <w:bCs/>
          <w:color w:val="4472C4" w:themeColor="accent1"/>
          <w:sz w:val="20"/>
          <w:szCs w:val="24"/>
        </w:rPr>
        <w:t>De lo transcrito, es de observar que el recurso de revisión podrá ser desechado, cuando el recurso de revisión presentado por el promovente no actualice alguno de los supuestos previstos en el artículo 167 de la Ley; asimismo, cuando la impugnación presentada por la parte recurrente sea realizada con el fin de controvertir la veracidad de la información otorgada como respuesta a la solicitud de acceso a la información pública.</w:t>
      </w:r>
    </w:p>
    <w:p w:rsidR="007F2742" w:rsidRPr="007F2742" w:rsidRDefault="007F2742" w:rsidP="007F2742">
      <w:pPr>
        <w:pStyle w:val="corte4fondo"/>
        <w:spacing w:line="240" w:lineRule="auto"/>
        <w:rPr>
          <w:rFonts w:eastAsia="Arial" w:cs="Arial"/>
          <w:bCs/>
          <w:color w:val="4472C4" w:themeColor="accent1"/>
          <w:sz w:val="20"/>
          <w:szCs w:val="24"/>
        </w:rPr>
      </w:pPr>
    </w:p>
    <w:p w:rsidR="007F2742" w:rsidRPr="007F2742" w:rsidRDefault="007F2742" w:rsidP="007F2742">
      <w:pPr>
        <w:pStyle w:val="corte4fondo"/>
        <w:spacing w:line="240" w:lineRule="auto"/>
        <w:rPr>
          <w:rFonts w:eastAsia="Arial" w:cs="Arial"/>
          <w:b/>
          <w:color w:val="4472C4" w:themeColor="accent1"/>
          <w:sz w:val="20"/>
          <w:szCs w:val="24"/>
        </w:rPr>
      </w:pPr>
      <w:r w:rsidRPr="007F2742">
        <w:rPr>
          <w:rFonts w:eastAsia="Arial" w:cs="Arial"/>
          <w:bCs/>
          <w:color w:val="4472C4" w:themeColor="accent1"/>
          <w:sz w:val="20"/>
          <w:szCs w:val="24"/>
        </w:rPr>
        <w:t>Ahora bien, en el presente caso, no se actualizan las causales hechas valer por el sujeto obligado, pues como es de advertirse de la inconformidad presentada por el ahora recurrente, fue admitida por actualizar las hipótesis contenidas en las fracciones I, II y XII, de la Ley de la materia, en tanto que no impugnó la veracidad de la información, sino la entrega exhaustiva y congruente de la información peticionada, por lo cual este Órgano Colegiado considera necesario proceder al estudio de fondo de la inconformidad planteada por el ahora recurrente.</w:t>
      </w:r>
    </w:p>
    <w:p w:rsidR="007F2742" w:rsidRPr="007F2742" w:rsidRDefault="007F2742" w:rsidP="007F2742">
      <w:pPr>
        <w:pStyle w:val="corte4fondo"/>
        <w:spacing w:line="240" w:lineRule="auto"/>
        <w:rPr>
          <w:rFonts w:eastAsia="Arial" w:cs="Arial"/>
          <w:color w:val="4472C4" w:themeColor="accent1"/>
          <w:sz w:val="20"/>
          <w:szCs w:val="24"/>
        </w:rPr>
      </w:pPr>
    </w:p>
    <w:p w:rsidR="007F2742" w:rsidRPr="007F2742" w:rsidRDefault="007F2742" w:rsidP="007F2742">
      <w:pPr>
        <w:pStyle w:val="corte4fondo"/>
        <w:spacing w:line="240" w:lineRule="auto"/>
        <w:rPr>
          <w:rFonts w:eastAsia="Arial" w:cs="Arial"/>
          <w:b/>
          <w:bCs/>
          <w:color w:val="4472C4" w:themeColor="accent1"/>
          <w:sz w:val="20"/>
          <w:szCs w:val="24"/>
        </w:rPr>
      </w:pPr>
    </w:p>
    <w:p w:rsidR="007F2742" w:rsidRPr="007F2742" w:rsidRDefault="007F2742" w:rsidP="007F2742">
      <w:pPr>
        <w:pStyle w:val="corte4fondo"/>
        <w:spacing w:line="240" w:lineRule="auto"/>
        <w:rPr>
          <w:rFonts w:eastAsia="Arial" w:cs="Arial"/>
          <w:color w:val="4472C4" w:themeColor="accent1"/>
          <w:sz w:val="20"/>
          <w:szCs w:val="24"/>
        </w:rPr>
      </w:pPr>
      <w:r w:rsidRPr="007F2742">
        <w:rPr>
          <w:rFonts w:eastAsia="Arial" w:cs="Arial"/>
          <w:b/>
          <w:bCs/>
          <w:color w:val="4472C4" w:themeColor="accent1"/>
          <w:sz w:val="20"/>
          <w:szCs w:val="24"/>
        </w:rPr>
        <w:t xml:space="preserve">CUARTO. Caso Concreto. </w:t>
      </w:r>
      <w:r w:rsidRPr="007F2742">
        <w:rPr>
          <w:rFonts w:eastAsia="Arial" w:cs="Arial"/>
          <w:color w:val="4472C4" w:themeColor="accent1"/>
          <w:sz w:val="20"/>
          <w:szCs w:val="24"/>
        </w:rPr>
        <w:t xml:space="preserve">En la solicitud de acceso a la información, el hoy recurrente solicitó a la H. AYUNTAMIENTO DE SAN LUIS POTOSÍ, S.L.P. a saber: </w:t>
      </w:r>
    </w:p>
    <w:p w:rsidR="007F2742" w:rsidRPr="007F2742" w:rsidRDefault="007F2742" w:rsidP="007F2742">
      <w:pPr>
        <w:spacing w:after="0" w:line="240" w:lineRule="auto"/>
        <w:ind w:firstLine="709"/>
        <w:jc w:val="both"/>
        <w:rPr>
          <w:rFonts w:ascii="Arial" w:eastAsia="Arial" w:hAnsi="Arial" w:cs="Arial"/>
          <w:color w:val="4472C4" w:themeColor="accent1"/>
          <w:sz w:val="20"/>
          <w:szCs w:val="24"/>
        </w:rPr>
      </w:pPr>
    </w:p>
    <w:p w:rsidR="007F2742" w:rsidRPr="007F2742" w:rsidRDefault="007F2742" w:rsidP="007F2742">
      <w:pPr>
        <w:pStyle w:val="corte4fondo"/>
        <w:spacing w:line="240" w:lineRule="auto"/>
        <w:ind w:left="709" w:right="900"/>
        <w:rPr>
          <w:rFonts w:eastAsia="Arial" w:cs="Arial"/>
          <w:color w:val="4472C4" w:themeColor="accent1"/>
          <w:sz w:val="20"/>
          <w:szCs w:val="24"/>
        </w:rPr>
      </w:pPr>
      <w:r w:rsidRPr="007F2742">
        <w:rPr>
          <w:rFonts w:eastAsia="Arial" w:cs="Arial"/>
          <w:i/>
          <w:iCs/>
          <w:color w:val="4472C4" w:themeColor="accent1"/>
          <w:sz w:val="20"/>
          <w:szCs w:val="24"/>
        </w:rPr>
        <w:t>“</w:t>
      </w:r>
      <w:r w:rsidRPr="007F2742">
        <w:rPr>
          <w:rFonts w:eastAsia="Arial" w:cs="Arial"/>
          <w:i/>
          <w:iCs/>
          <w:color w:val="4472C4" w:themeColor="accent1"/>
          <w:sz w:val="18"/>
          <w:szCs w:val="22"/>
        </w:rPr>
        <w:t>“POR ESTE MEDIO SOLICITO SE ME DE LA SIGUIENTE INFORMACIÓN EN RELACIÓN A LA CICLOVIA DE HIMNO NACIONAL. CONTRATO DE OBRA, REPORTE TÉCNICO DE OBRA, REPORTE DE AVANCE DETALLADO, CONVENIO/AMPLIACIÓN, CALCULO DE SANCIÓN/RETENCIÓN, NOTAS DE BITÁCORA Y OTROS, LOS QUE SE TENGAN POR SEMANA, QUINCENA O MENSUALES O CON LA PERIODICIDAD EN LA QUE SEAN ENTREGADOS, SOLICITO SE ME INDIQUE QUIEN ES EL SUPERINTENDENTE DE LA OBRA Y QUIEN EL RESIDENTE, SOLICITO EL REPORTE FOTOGRÁFICO, LOS REPORTES ECONÓMICOS DE OBRA, LOS REPORTES QUINCENALES EN EL QUE SE DESGLOSE EL GASTO POR SEMANA QUE SE LLEVA”(SIC)</w:t>
      </w:r>
      <w:r w:rsidRPr="007F2742">
        <w:rPr>
          <w:rFonts w:eastAsia="Arial" w:cs="Arial"/>
          <w:i/>
          <w:iCs/>
          <w:color w:val="4472C4" w:themeColor="accent1"/>
          <w:sz w:val="20"/>
          <w:szCs w:val="24"/>
        </w:rPr>
        <w:t>]”</w:t>
      </w:r>
    </w:p>
    <w:p w:rsidR="007F2742" w:rsidRPr="007F2742" w:rsidRDefault="007F2742" w:rsidP="007F2742">
      <w:pPr>
        <w:spacing w:after="0" w:line="240" w:lineRule="auto"/>
        <w:ind w:firstLine="709"/>
        <w:jc w:val="both"/>
        <w:rPr>
          <w:rFonts w:ascii="Arial" w:eastAsia="Arial" w:hAnsi="Arial" w:cs="Arial"/>
          <w:color w:val="4472C4" w:themeColor="accent1"/>
          <w:sz w:val="20"/>
          <w:szCs w:val="24"/>
        </w:rPr>
      </w:pPr>
    </w:p>
    <w:p w:rsidR="007F2742" w:rsidRPr="007F2742" w:rsidRDefault="007F2742" w:rsidP="007F2742">
      <w:pPr>
        <w:pStyle w:val="corte4fondo"/>
        <w:spacing w:line="240" w:lineRule="auto"/>
        <w:rPr>
          <w:rFonts w:eastAsia="Arial" w:cs="Arial"/>
          <w:color w:val="4472C4" w:themeColor="accent1"/>
          <w:sz w:val="20"/>
          <w:szCs w:val="24"/>
          <w:lang w:val="es-ES"/>
        </w:rPr>
      </w:pPr>
      <w:r w:rsidRPr="007F2742">
        <w:rPr>
          <w:rFonts w:eastAsia="Arial" w:cs="Arial"/>
          <w:color w:val="4472C4" w:themeColor="accent1"/>
          <w:sz w:val="20"/>
          <w:szCs w:val="24"/>
        </w:rPr>
        <w:t xml:space="preserve">Como respuesta a la solicitud, la dependencia </w:t>
      </w:r>
      <w:r w:rsidRPr="007F2742">
        <w:rPr>
          <w:rFonts w:eastAsia="Arial" w:cs="Arial"/>
          <w:color w:val="4472C4" w:themeColor="accent1"/>
          <w:sz w:val="20"/>
          <w:szCs w:val="24"/>
          <w:lang w:val="es-ES"/>
        </w:rPr>
        <w:t>comunicó lo siguiente:</w:t>
      </w:r>
    </w:p>
    <w:p w:rsidR="007F2742" w:rsidRPr="007F2742" w:rsidRDefault="007F2742" w:rsidP="007F2742">
      <w:pPr>
        <w:pStyle w:val="corte4fondo"/>
        <w:spacing w:line="240" w:lineRule="auto"/>
        <w:rPr>
          <w:rFonts w:eastAsia="Arial" w:cs="Arial"/>
          <w:color w:val="4472C4" w:themeColor="accent1"/>
          <w:sz w:val="20"/>
          <w:szCs w:val="24"/>
          <w:lang w:val="es-ES"/>
        </w:rPr>
      </w:pPr>
    </w:p>
    <w:p w:rsidR="007F2742" w:rsidRPr="007F2742" w:rsidRDefault="007F2742" w:rsidP="007F2742">
      <w:pPr>
        <w:tabs>
          <w:tab w:val="left" w:pos="8222"/>
        </w:tabs>
        <w:spacing w:after="0" w:line="240" w:lineRule="auto"/>
        <w:ind w:left="709" w:right="709"/>
        <w:jc w:val="both"/>
        <w:rPr>
          <w:rFonts w:ascii="Arial" w:eastAsia="Arial" w:hAnsi="Arial" w:cs="Arial"/>
          <w:i/>
          <w:iCs/>
          <w:color w:val="4472C4" w:themeColor="accent1"/>
          <w:sz w:val="20"/>
          <w:szCs w:val="24"/>
        </w:rPr>
      </w:pPr>
      <w:r w:rsidRPr="007F2742">
        <w:rPr>
          <w:rFonts w:eastAsia="Arial" w:cs="Arial"/>
          <w:color w:val="4472C4" w:themeColor="accent1"/>
          <w:sz w:val="20"/>
          <w:szCs w:val="24"/>
          <w:lang w:val="es-ES"/>
        </w:rPr>
        <w:t>“</w:t>
      </w:r>
      <w:r w:rsidRPr="007F2742">
        <w:rPr>
          <w:rFonts w:ascii="Arial" w:eastAsia="Arial" w:hAnsi="Arial" w:cs="Arial"/>
          <w:i/>
          <w:iCs/>
          <w:color w:val="4472C4" w:themeColor="accent1"/>
          <w:sz w:val="18"/>
        </w:rPr>
        <w:t>En respuesta a su solicitud de información con número de folio UT-SI-1257/2019-01190719-PNT.; al respecto me permito hacer de su conocimiento se solicita se descargue el archivo adjunto, en el que encontrará la respuesta a su solicitud”</w:t>
      </w:r>
      <w:r w:rsidRPr="007F2742">
        <w:rPr>
          <w:rFonts w:ascii="Arial" w:eastAsia="Arial" w:hAnsi="Arial" w:cs="Arial"/>
          <w:i/>
          <w:iCs/>
          <w:color w:val="4472C4" w:themeColor="accent1"/>
          <w:sz w:val="20"/>
          <w:szCs w:val="24"/>
        </w:rPr>
        <w:t>”</w:t>
      </w:r>
    </w:p>
    <w:p w:rsidR="007F2742" w:rsidRPr="007F2742" w:rsidRDefault="007F2742" w:rsidP="007F2742">
      <w:pPr>
        <w:spacing w:after="0" w:line="240" w:lineRule="auto"/>
        <w:ind w:firstLine="709"/>
        <w:jc w:val="both"/>
        <w:rPr>
          <w:rFonts w:ascii="Arial" w:eastAsia="Arial" w:hAnsi="Arial" w:cs="Arial"/>
          <w:color w:val="4472C4" w:themeColor="accent1"/>
          <w:sz w:val="20"/>
          <w:szCs w:val="24"/>
        </w:rPr>
      </w:pPr>
    </w:p>
    <w:p w:rsidR="007F2742" w:rsidRPr="007F2742" w:rsidRDefault="007F2742" w:rsidP="007F2742">
      <w:pPr>
        <w:spacing w:after="0" w:line="240" w:lineRule="auto"/>
        <w:ind w:firstLine="709"/>
        <w:jc w:val="both"/>
        <w:rPr>
          <w:rFonts w:ascii="Arial" w:eastAsia="Arial" w:hAnsi="Arial" w:cs="Arial"/>
          <w:color w:val="4472C4" w:themeColor="accent1"/>
          <w:sz w:val="20"/>
          <w:szCs w:val="24"/>
        </w:rPr>
      </w:pPr>
      <w:r w:rsidRPr="007F2742">
        <w:rPr>
          <w:rFonts w:ascii="Arial" w:eastAsia="Arial" w:hAnsi="Arial" w:cs="Arial"/>
          <w:color w:val="4472C4" w:themeColor="accent1"/>
          <w:sz w:val="20"/>
          <w:szCs w:val="24"/>
        </w:rPr>
        <w:t>Se inserta captura de pantalla de los documentos anexos a la respuesta del sujeto obligado:</w:t>
      </w:r>
    </w:p>
    <w:p w:rsidR="007F2742" w:rsidRPr="007F2742" w:rsidRDefault="007F2742" w:rsidP="007F2742">
      <w:pPr>
        <w:spacing w:after="0" w:line="240" w:lineRule="auto"/>
        <w:ind w:firstLine="709"/>
        <w:jc w:val="both"/>
        <w:rPr>
          <w:rFonts w:ascii="Arial" w:eastAsia="Arial" w:hAnsi="Arial" w:cs="Arial"/>
          <w:color w:val="4472C4" w:themeColor="accent1"/>
          <w:szCs w:val="28"/>
        </w:rPr>
      </w:pPr>
    </w:p>
    <w:p w:rsidR="007F2742" w:rsidRPr="007F2742" w:rsidRDefault="007F2742" w:rsidP="007F2742">
      <w:pPr>
        <w:spacing w:after="0" w:line="240" w:lineRule="auto"/>
        <w:ind w:firstLine="709"/>
        <w:jc w:val="both"/>
        <w:rPr>
          <w:rFonts w:ascii="Arial" w:eastAsia="Arial" w:hAnsi="Arial" w:cs="Arial"/>
          <w:color w:val="4472C4" w:themeColor="accent1"/>
          <w:sz w:val="8"/>
          <w:szCs w:val="12"/>
        </w:rPr>
      </w:pPr>
      <w:r w:rsidRPr="007F2742">
        <w:rPr>
          <w:rFonts w:ascii="Arial" w:eastAsia="Arial" w:hAnsi="Arial" w:cs="Arial"/>
          <w:color w:val="4472C4" w:themeColor="accent1"/>
          <w:sz w:val="10"/>
          <w:szCs w:val="14"/>
        </w:rPr>
        <w:t>(RESPUESTA UT-SI-1257-2019-01190719-PNT.pdf)   (OBRAS PÚBLICAS.pdf</w:t>
      </w:r>
      <w:r w:rsidRPr="007F2742">
        <w:rPr>
          <w:rFonts w:ascii="Arial" w:eastAsia="Arial" w:hAnsi="Arial" w:cs="Arial"/>
          <w:color w:val="4472C4" w:themeColor="accent1"/>
          <w:sz w:val="8"/>
          <w:szCs w:val="12"/>
        </w:rPr>
        <w:t>)</w:t>
      </w:r>
    </w:p>
    <w:p w:rsidR="007F2742" w:rsidRPr="007F2742" w:rsidRDefault="007F2742" w:rsidP="007F2742">
      <w:pPr>
        <w:spacing w:after="0" w:line="240" w:lineRule="auto"/>
        <w:ind w:firstLine="709"/>
        <w:jc w:val="both"/>
        <w:rPr>
          <w:rFonts w:ascii="Arial" w:eastAsia="Arial" w:hAnsi="Arial" w:cs="Arial"/>
          <w:color w:val="4472C4" w:themeColor="accent1"/>
          <w:sz w:val="20"/>
          <w:szCs w:val="24"/>
        </w:rPr>
      </w:pPr>
      <w:r w:rsidRPr="007F2742">
        <w:rPr>
          <w:noProof/>
          <w:sz w:val="18"/>
          <w:lang w:eastAsia="es-MX"/>
        </w:rPr>
        <w:drawing>
          <wp:inline distT="0" distB="0" distL="0" distR="0" wp14:anchorId="5A90E128" wp14:editId="031A930D">
            <wp:extent cx="1895475" cy="2495550"/>
            <wp:effectExtent l="0" t="0" r="9525" b="0"/>
            <wp:docPr id="3" name="Imagen 3" descr="Captura de pantalla de computador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descr="Captura de pantalla de computadora&#10;&#10;Descripción generada automáticamente"/>
                    <pic:cNvPicPr>
                      <a:picLocks noChangeAspect="1" noChangeArrowheads="1"/>
                    </pic:cNvPicPr>
                  </pic:nvPicPr>
                  <pic:blipFill>
                    <a:blip r:embed="rId9" cstate="print">
                      <a:extLst>
                        <a:ext uri="{28A0092B-C50C-407E-A947-70E740481C1C}">
                          <a14:useLocalDpi xmlns:a14="http://schemas.microsoft.com/office/drawing/2010/main" val="0"/>
                        </a:ext>
                      </a:extLst>
                    </a:blip>
                    <a:srcRect l="30682" t="16052" r="35744" b="5605"/>
                    <a:stretch>
                      <a:fillRect/>
                    </a:stretch>
                  </pic:blipFill>
                  <pic:spPr bwMode="auto">
                    <a:xfrm>
                      <a:off x="0" y="0"/>
                      <a:ext cx="1895475" cy="2495550"/>
                    </a:xfrm>
                    <a:prstGeom prst="rect">
                      <a:avLst/>
                    </a:prstGeom>
                    <a:noFill/>
                    <a:ln>
                      <a:noFill/>
                    </a:ln>
                  </pic:spPr>
                </pic:pic>
              </a:graphicData>
            </a:graphic>
          </wp:inline>
        </w:drawing>
      </w:r>
      <w:r w:rsidRPr="007F2742">
        <w:rPr>
          <w:rFonts w:ascii="Arial" w:eastAsia="Arial" w:hAnsi="Arial" w:cs="Arial"/>
          <w:color w:val="4472C4" w:themeColor="accent1"/>
          <w:sz w:val="20"/>
          <w:szCs w:val="24"/>
        </w:rPr>
        <w:t xml:space="preserve">      </w:t>
      </w:r>
      <w:r w:rsidRPr="007F2742">
        <w:rPr>
          <w:noProof/>
          <w:sz w:val="18"/>
          <w:lang w:eastAsia="es-MX"/>
        </w:rPr>
        <w:drawing>
          <wp:inline distT="0" distB="0" distL="0" distR="0" wp14:anchorId="2D881332" wp14:editId="585524DB">
            <wp:extent cx="1914525" cy="2457450"/>
            <wp:effectExtent l="0" t="0" r="9525" b="0"/>
            <wp:docPr id="2" name="Imagen 2" descr="Captura de pantalla de computador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descr="Captura de pantalla de computadora&#10;&#10;Descripción generada automáticamente"/>
                    <pic:cNvPicPr>
                      <a:picLocks noChangeAspect="1" noChangeArrowheads="1"/>
                    </pic:cNvPicPr>
                  </pic:nvPicPr>
                  <pic:blipFill>
                    <a:blip r:embed="rId10">
                      <a:extLst>
                        <a:ext uri="{28A0092B-C50C-407E-A947-70E740481C1C}">
                          <a14:useLocalDpi xmlns:a14="http://schemas.microsoft.com/office/drawing/2010/main" val="0"/>
                        </a:ext>
                      </a:extLst>
                    </a:blip>
                    <a:srcRect l="30562" t="16698" r="35741" b="6256"/>
                    <a:stretch>
                      <a:fillRect/>
                    </a:stretch>
                  </pic:blipFill>
                  <pic:spPr bwMode="auto">
                    <a:xfrm>
                      <a:off x="0" y="0"/>
                      <a:ext cx="1914525" cy="2457450"/>
                    </a:xfrm>
                    <a:prstGeom prst="rect">
                      <a:avLst/>
                    </a:prstGeom>
                    <a:noFill/>
                    <a:ln>
                      <a:noFill/>
                    </a:ln>
                  </pic:spPr>
                </pic:pic>
              </a:graphicData>
            </a:graphic>
          </wp:inline>
        </w:drawing>
      </w:r>
    </w:p>
    <w:p w:rsidR="007F2742" w:rsidRPr="007F2742" w:rsidRDefault="007F2742" w:rsidP="007F2742">
      <w:pPr>
        <w:spacing w:after="0" w:line="240" w:lineRule="auto"/>
        <w:ind w:firstLine="709"/>
        <w:jc w:val="both"/>
        <w:rPr>
          <w:rFonts w:ascii="Arial" w:eastAsia="Arial" w:hAnsi="Arial" w:cs="Arial"/>
          <w:color w:val="4472C4" w:themeColor="accent1"/>
          <w:sz w:val="12"/>
          <w:szCs w:val="16"/>
        </w:rPr>
      </w:pPr>
      <w:r w:rsidRPr="007F2742">
        <w:rPr>
          <w:rFonts w:ascii="Arial" w:eastAsia="Arial" w:hAnsi="Arial" w:cs="Arial"/>
          <w:color w:val="4472C4" w:themeColor="accent1"/>
          <w:sz w:val="12"/>
          <w:szCs w:val="16"/>
        </w:rPr>
        <w:t>(04894.jpg)</w:t>
      </w:r>
    </w:p>
    <w:p w:rsidR="007F2742" w:rsidRPr="007F2742" w:rsidRDefault="007F2742" w:rsidP="007F2742">
      <w:pPr>
        <w:spacing w:after="0" w:line="240" w:lineRule="auto"/>
        <w:ind w:firstLine="709"/>
        <w:jc w:val="both"/>
        <w:rPr>
          <w:rFonts w:ascii="Arial" w:eastAsia="Arial" w:hAnsi="Arial" w:cs="Arial"/>
          <w:color w:val="4472C4" w:themeColor="accent1"/>
          <w:sz w:val="20"/>
          <w:szCs w:val="24"/>
        </w:rPr>
      </w:pPr>
      <w:r w:rsidRPr="007F2742">
        <w:rPr>
          <w:noProof/>
          <w:sz w:val="18"/>
          <w:lang w:eastAsia="es-MX"/>
        </w:rPr>
        <w:lastRenderedPageBreak/>
        <w:drawing>
          <wp:inline distT="0" distB="0" distL="0" distR="0" wp14:anchorId="5573BF2C" wp14:editId="5479DE1D">
            <wp:extent cx="2228850" cy="2876550"/>
            <wp:effectExtent l="0" t="0" r="0" b="0"/>
            <wp:docPr id="1" name="Imagen 1"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Texto, Carta&#10;&#10;Descripción generada automáticament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28850" cy="2876550"/>
                    </a:xfrm>
                    <a:prstGeom prst="rect">
                      <a:avLst/>
                    </a:prstGeom>
                    <a:noFill/>
                    <a:ln>
                      <a:noFill/>
                    </a:ln>
                  </pic:spPr>
                </pic:pic>
              </a:graphicData>
            </a:graphic>
          </wp:inline>
        </w:drawing>
      </w:r>
    </w:p>
    <w:p w:rsidR="007F2742" w:rsidRPr="007F2742" w:rsidRDefault="007F2742" w:rsidP="007F2742">
      <w:pPr>
        <w:pStyle w:val="corte4fondo"/>
        <w:tabs>
          <w:tab w:val="left" w:pos="5825"/>
        </w:tabs>
        <w:spacing w:line="240" w:lineRule="auto"/>
        <w:rPr>
          <w:rFonts w:eastAsia="Arial" w:cs="Arial"/>
          <w:color w:val="4472C4" w:themeColor="accent1"/>
          <w:sz w:val="20"/>
          <w:szCs w:val="24"/>
        </w:rPr>
      </w:pPr>
      <w:r w:rsidRPr="007F2742">
        <w:rPr>
          <w:rFonts w:eastAsia="Arial" w:cs="Arial"/>
          <w:color w:val="4472C4" w:themeColor="accent1"/>
          <w:sz w:val="20"/>
          <w:szCs w:val="24"/>
        </w:rPr>
        <w:t>Inconforme con lo anterior, el hoy recurrente señaló; a saber:</w:t>
      </w:r>
    </w:p>
    <w:p w:rsidR="007F2742" w:rsidRPr="007F2742" w:rsidRDefault="007F2742" w:rsidP="007F2742">
      <w:pPr>
        <w:tabs>
          <w:tab w:val="left" w:pos="5825"/>
        </w:tabs>
        <w:spacing w:after="0" w:line="240" w:lineRule="auto"/>
        <w:ind w:firstLine="709"/>
        <w:jc w:val="both"/>
        <w:rPr>
          <w:rFonts w:ascii="Arial" w:eastAsia="Arial" w:hAnsi="Arial" w:cs="Arial"/>
          <w:color w:val="4472C4" w:themeColor="accent1"/>
          <w:sz w:val="20"/>
          <w:szCs w:val="24"/>
        </w:rPr>
      </w:pPr>
    </w:p>
    <w:p w:rsidR="007F2742" w:rsidRPr="007F2742" w:rsidRDefault="007F2742" w:rsidP="007F2742">
      <w:pPr>
        <w:pStyle w:val="corte4fondo"/>
        <w:spacing w:line="240" w:lineRule="auto"/>
        <w:ind w:left="709" w:right="900" w:firstLine="0"/>
        <w:rPr>
          <w:rFonts w:eastAsia="Arial" w:cs="Arial"/>
          <w:color w:val="4472C4" w:themeColor="accent1"/>
          <w:sz w:val="20"/>
          <w:szCs w:val="24"/>
        </w:rPr>
      </w:pPr>
      <w:r w:rsidRPr="007F2742">
        <w:rPr>
          <w:rFonts w:eastAsia="Arial" w:cs="Arial"/>
          <w:i/>
          <w:iCs/>
          <w:color w:val="4472C4" w:themeColor="accent1"/>
          <w:sz w:val="20"/>
          <w:szCs w:val="24"/>
        </w:rPr>
        <w:t>“…LA RESPUESTA QUE SE ME DA ES UNA BURLA AL INTELECTO DE CUALQUIER PERSONA Y DE EL ÓRGANO GARANTE DE BRINDAR EL ACCESO A LA INFORMACIÓN, POR LO QUE MI QUEJA ES PORQUE SE ME NIEGA TODA LA INFORMACIÓN QUE SOLICITE, RESUMIENDO QUE DEBEN DE PROTEGER LOS DATOS PERSONALES, COMO SI DESCONOCIERAN QUE DEBEN DE HACER VERSIÓN PUBLICA DE LA INFORMACIÓN QUE SOLICITE, ADEMAS CONSIDERO QUE NO SE REALIZARON TODAS LAS GESTIONES INTERNAS PARA DAR CON LA INFORMACIÓN QUE SOLICITO.” (sic)</w:t>
      </w:r>
    </w:p>
    <w:p w:rsidR="007F2742" w:rsidRPr="007F2742" w:rsidRDefault="007F2742" w:rsidP="007F2742">
      <w:pPr>
        <w:spacing w:after="0" w:line="240" w:lineRule="auto"/>
        <w:ind w:firstLine="709"/>
        <w:jc w:val="both"/>
        <w:rPr>
          <w:rFonts w:ascii="Arial" w:eastAsia="Arial" w:hAnsi="Arial" w:cs="Arial"/>
          <w:color w:val="4472C4" w:themeColor="accent1"/>
          <w:sz w:val="20"/>
          <w:szCs w:val="24"/>
        </w:rPr>
      </w:pPr>
    </w:p>
    <w:p w:rsidR="007F2742" w:rsidRPr="007F2742" w:rsidRDefault="007F2742" w:rsidP="007F2742">
      <w:pPr>
        <w:spacing w:after="0" w:line="240" w:lineRule="auto"/>
        <w:ind w:firstLine="709"/>
        <w:jc w:val="both"/>
        <w:rPr>
          <w:rFonts w:ascii="Arial" w:eastAsia="Arial" w:hAnsi="Arial" w:cs="Arial"/>
          <w:color w:val="4472C4" w:themeColor="accent1"/>
          <w:sz w:val="20"/>
          <w:szCs w:val="24"/>
        </w:rPr>
      </w:pPr>
      <w:r w:rsidRPr="007F2742">
        <w:rPr>
          <w:rFonts w:ascii="Arial" w:eastAsia="Arial" w:hAnsi="Arial" w:cs="Arial"/>
          <w:color w:val="4472C4" w:themeColor="accent1"/>
          <w:sz w:val="20"/>
          <w:szCs w:val="24"/>
        </w:rPr>
        <w:t>Por su parte el sujeto obligado, al momento de rendir su informe manifestó lo siguiente:</w:t>
      </w:r>
    </w:p>
    <w:p w:rsidR="007F2742" w:rsidRPr="007F2742" w:rsidRDefault="007F2742" w:rsidP="007F2742">
      <w:pPr>
        <w:spacing w:after="0" w:line="240" w:lineRule="auto"/>
        <w:ind w:firstLine="709"/>
        <w:jc w:val="both"/>
        <w:rPr>
          <w:rFonts w:ascii="Arial" w:eastAsia="Arial" w:hAnsi="Arial" w:cs="Arial"/>
          <w:color w:val="4472C4" w:themeColor="accent1"/>
          <w:sz w:val="20"/>
          <w:szCs w:val="24"/>
        </w:rPr>
      </w:pPr>
    </w:p>
    <w:p w:rsidR="007F2742" w:rsidRPr="007F2742" w:rsidRDefault="007F2742" w:rsidP="007F2742">
      <w:pPr>
        <w:spacing w:after="120" w:line="240" w:lineRule="auto"/>
        <w:ind w:left="567" w:right="425"/>
        <w:jc w:val="both"/>
        <w:rPr>
          <w:rFonts w:ascii="Arial" w:eastAsia="Arial" w:hAnsi="Arial" w:cs="Arial"/>
          <w:bCs/>
          <w:i/>
          <w:iCs/>
          <w:color w:val="4472C4" w:themeColor="accent1"/>
          <w:sz w:val="18"/>
        </w:rPr>
      </w:pPr>
      <w:r w:rsidRPr="007F2742">
        <w:rPr>
          <w:rFonts w:ascii="Arial" w:eastAsia="Arial" w:hAnsi="Arial" w:cs="Arial"/>
          <w:bCs/>
          <w:i/>
          <w:iCs/>
          <w:color w:val="4472C4" w:themeColor="accent1"/>
          <w:sz w:val="18"/>
        </w:rPr>
        <w:t>fracciones 1, Il y XIl relativas a la clasificación de la información, la declaración de inexistencia de información, la falta, deficiencia o insuficiencia de la fundamentación y/o motivación en la respuesta, de la Ley de Transparencia y Acceso a la Información Pública del Estado de San Luis Potosí.</w:t>
      </w:r>
    </w:p>
    <w:p w:rsidR="007F2742" w:rsidRPr="007F2742" w:rsidRDefault="007F2742" w:rsidP="007F2742">
      <w:pPr>
        <w:spacing w:after="120" w:line="240" w:lineRule="auto"/>
        <w:ind w:left="567" w:right="425"/>
        <w:jc w:val="both"/>
        <w:rPr>
          <w:rFonts w:ascii="Arial" w:eastAsia="Arial" w:hAnsi="Arial" w:cs="Arial"/>
          <w:bCs/>
          <w:i/>
          <w:iCs/>
          <w:color w:val="4472C4" w:themeColor="accent1"/>
          <w:sz w:val="18"/>
        </w:rPr>
      </w:pPr>
      <w:r w:rsidRPr="007F2742">
        <w:rPr>
          <w:rFonts w:ascii="Arial" w:eastAsia="Arial" w:hAnsi="Arial" w:cs="Arial"/>
          <w:bCs/>
          <w:i/>
          <w:iCs/>
          <w:color w:val="4472C4" w:themeColor="accent1"/>
          <w:sz w:val="18"/>
        </w:rPr>
        <w:t>Derivado del estudio de las manifestaciones que alude el recurrente como agravios, donde señala lo que a la letra dice:</w:t>
      </w:r>
    </w:p>
    <w:p w:rsidR="007F2742" w:rsidRPr="007F2742" w:rsidRDefault="007F2742" w:rsidP="007F2742">
      <w:pPr>
        <w:spacing w:after="120" w:line="240" w:lineRule="auto"/>
        <w:ind w:left="567" w:right="425"/>
        <w:jc w:val="both"/>
        <w:rPr>
          <w:rFonts w:ascii="Arial" w:eastAsia="Arial" w:hAnsi="Arial" w:cs="Arial"/>
          <w:bCs/>
          <w:i/>
          <w:iCs/>
          <w:color w:val="4472C4" w:themeColor="accent1"/>
          <w:sz w:val="18"/>
        </w:rPr>
      </w:pPr>
      <w:r w:rsidRPr="007F2742">
        <w:rPr>
          <w:rFonts w:ascii="Arial" w:eastAsia="Arial" w:hAnsi="Arial" w:cs="Arial"/>
          <w:bCs/>
          <w:i/>
          <w:iCs/>
          <w:color w:val="4472C4" w:themeColor="accent1"/>
          <w:sz w:val="18"/>
        </w:rPr>
        <w:t>[…]</w:t>
      </w:r>
    </w:p>
    <w:p w:rsidR="007F2742" w:rsidRPr="007F2742" w:rsidRDefault="007F2742" w:rsidP="007F2742">
      <w:pPr>
        <w:spacing w:after="120" w:line="240" w:lineRule="auto"/>
        <w:ind w:left="567" w:right="425"/>
        <w:jc w:val="both"/>
        <w:rPr>
          <w:rFonts w:ascii="Arial" w:eastAsia="Arial" w:hAnsi="Arial" w:cs="Arial"/>
          <w:bCs/>
          <w:i/>
          <w:iCs/>
          <w:color w:val="4472C4" w:themeColor="accent1"/>
          <w:sz w:val="18"/>
        </w:rPr>
      </w:pPr>
      <w:r w:rsidRPr="007F2742">
        <w:rPr>
          <w:rFonts w:ascii="Arial" w:eastAsia="Arial" w:hAnsi="Arial" w:cs="Arial"/>
          <w:bCs/>
          <w:i/>
          <w:iCs/>
          <w:color w:val="4472C4" w:themeColor="accent1"/>
          <w:sz w:val="18"/>
        </w:rPr>
        <w:t>En ese tenor, atendiendo lo manifestado en líneas que anteceden, es necesario citar la información requerida por el recurrente en la fecha señalada, lo que se transcribe para su mayor comprensión:</w:t>
      </w:r>
    </w:p>
    <w:p w:rsidR="007F2742" w:rsidRPr="007F2742" w:rsidRDefault="007F2742" w:rsidP="007F2742">
      <w:pPr>
        <w:spacing w:after="120" w:line="240" w:lineRule="auto"/>
        <w:ind w:left="567" w:right="425"/>
        <w:jc w:val="both"/>
        <w:rPr>
          <w:rFonts w:ascii="Arial" w:eastAsia="Arial" w:hAnsi="Arial" w:cs="Arial"/>
          <w:bCs/>
          <w:i/>
          <w:iCs/>
          <w:color w:val="4472C4" w:themeColor="accent1"/>
          <w:sz w:val="18"/>
        </w:rPr>
      </w:pPr>
      <w:r w:rsidRPr="007F2742">
        <w:rPr>
          <w:rFonts w:ascii="Arial" w:eastAsia="Arial" w:hAnsi="Arial" w:cs="Arial"/>
          <w:bCs/>
          <w:i/>
          <w:iCs/>
          <w:color w:val="4472C4" w:themeColor="accent1"/>
          <w:sz w:val="18"/>
        </w:rPr>
        <w:t>[…]</w:t>
      </w:r>
    </w:p>
    <w:p w:rsidR="007F2742" w:rsidRPr="007F2742" w:rsidRDefault="007F2742" w:rsidP="007F2742">
      <w:pPr>
        <w:spacing w:after="120" w:line="240" w:lineRule="auto"/>
        <w:ind w:left="567" w:right="425"/>
        <w:jc w:val="both"/>
        <w:rPr>
          <w:rFonts w:ascii="Arial" w:eastAsia="Arial" w:hAnsi="Arial" w:cs="Arial"/>
          <w:bCs/>
          <w:i/>
          <w:iCs/>
          <w:color w:val="4472C4" w:themeColor="accent1"/>
          <w:sz w:val="18"/>
        </w:rPr>
      </w:pPr>
      <w:r w:rsidRPr="007F2742">
        <w:rPr>
          <w:rFonts w:ascii="Arial" w:eastAsia="Arial" w:hAnsi="Arial" w:cs="Arial"/>
          <w:bCs/>
          <w:i/>
          <w:iCs/>
          <w:color w:val="4472C4" w:themeColor="accent1"/>
          <w:sz w:val="18"/>
        </w:rPr>
        <w:t>Ahora bien, partiendo de lo requerido consistente en el contrato de obra, reporte técnico de obra, avance detallado, convenio/ampliación, calculo de sanción/retención, notas de la bitácora, reporte fotográfico, económicos de obra, y un desglose de los reportes quincenales por gasto señalan que es lleve; al respecto mediante oficio DOP/CJ/1288/2019, recepcionado el 23 de agosto del año en curso, el Director de Obras Públicas del H. Ayuntamiento de San Luis Potosí, manifestó lo que a la letra dice:</w:t>
      </w:r>
    </w:p>
    <w:p w:rsidR="007F2742" w:rsidRPr="007F2742" w:rsidRDefault="007F2742" w:rsidP="007F2742">
      <w:pPr>
        <w:spacing w:after="120" w:line="240" w:lineRule="auto"/>
        <w:ind w:left="567" w:right="425"/>
        <w:jc w:val="both"/>
        <w:rPr>
          <w:rFonts w:ascii="Arial" w:eastAsia="Arial" w:hAnsi="Arial" w:cs="Arial"/>
          <w:bCs/>
          <w:i/>
          <w:iCs/>
          <w:color w:val="4472C4" w:themeColor="accent1"/>
          <w:sz w:val="18"/>
        </w:rPr>
      </w:pPr>
      <w:r w:rsidRPr="007F2742">
        <w:rPr>
          <w:rFonts w:ascii="Arial" w:eastAsia="Arial" w:hAnsi="Arial" w:cs="Arial"/>
          <w:bCs/>
          <w:i/>
          <w:iCs/>
          <w:color w:val="4472C4" w:themeColor="accent1"/>
          <w:sz w:val="18"/>
        </w:rPr>
        <w:t>[…]</w:t>
      </w:r>
    </w:p>
    <w:p w:rsidR="007F2742" w:rsidRPr="007F2742" w:rsidRDefault="007F2742" w:rsidP="007F2742">
      <w:pPr>
        <w:spacing w:after="120" w:line="240" w:lineRule="auto"/>
        <w:ind w:left="567" w:right="425"/>
        <w:jc w:val="both"/>
        <w:rPr>
          <w:rFonts w:ascii="Arial" w:eastAsia="Arial" w:hAnsi="Arial" w:cs="Arial"/>
          <w:bCs/>
          <w:i/>
          <w:iCs/>
          <w:color w:val="4472C4" w:themeColor="accent1"/>
          <w:sz w:val="18"/>
        </w:rPr>
      </w:pPr>
      <w:r w:rsidRPr="007F2742">
        <w:rPr>
          <w:rFonts w:ascii="Arial" w:eastAsia="Arial" w:hAnsi="Arial" w:cs="Arial"/>
          <w:bCs/>
          <w:i/>
          <w:iCs/>
          <w:color w:val="4472C4" w:themeColor="accent1"/>
          <w:sz w:val="18"/>
        </w:rPr>
        <w:t>De lo anterior se desprende que el Director de Obras Públicas señaló que la obra dio inicio en la fecha de su contestación, por lo que al momento de emitir la respuesta, no se contaba con reporte técnico de obra, reporte de avance detallado, convenios de ampliación, cálculo de sanción y retención, notas de bitácora, reporte fotográfico ni reporte económico de obra, por lo tanto no era posible informar dichos puntos de interés del recurrente, al no existir a esa fecha dicha información.</w:t>
      </w:r>
    </w:p>
    <w:p w:rsidR="007F2742" w:rsidRPr="007F2742" w:rsidRDefault="007F2742" w:rsidP="007F2742">
      <w:pPr>
        <w:spacing w:after="120" w:line="240" w:lineRule="auto"/>
        <w:ind w:left="567" w:right="425"/>
        <w:jc w:val="both"/>
        <w:rPr>
          <w:rFonts w:ascii="Arial" w:eastAsia="Arial" w:hAnsi="Arial" w:cs="Arial"/>
          <w:bCs/>
          <w:i/>
          <w:iCs/>
          <w:color w:val="4472C4" w:themeColor="accent1"/>
          <w:sz w:val="18"/>
        </w:rPr>
      </w:pPr>
      <w:r w:rsidRPr="007F2742">
        <w:rPr>
          <w:rFonts w:ascii="Arial" w:eastAsia="Arial" w:hAnsi="Arial" w:cs="Arial"/>
          <w:bCs/>
          <w:i/>
          <w:iCs/>
          <w:color w:val="4472C4" w:themeColor="accent1"/>
          <w:sz w:val="18"/>
        </w:rPr>
        <w:t>Por otro lado, se le señaló el nombre del servidor público residente de la obra, sin embargo, respecto al superintendente de la obra, al ser personal de la empresa, no fue factible brindar su nombre acorde a la protección de datos personales.</w:t>
      </w:r>
    </w:p>
    <w:p w:rsidR="007F2742" w:rsidRPr="007F2742" w:rsidRDefault="007F2742" w:rsidP="007F2742">
      <w:pPr>
        <w:spacing w:after="120" w:line="240" w:lineRule="auto"/>
        <w:ind w:left="567" w:right="425"/>
        <w:jc w:val="both"/>
        <w:rPr>
          <w:rFonts w:ascii="Arial" w:eastAsia="Arial" w:hAnsi="Arial" w:cs="Arial"/>
          <w:bCs/>
          <w:i/>
          <w:iCs/>
          <w:color w:val="4472C4" w:themeColor="accent1"/>
          <w:sz w:val="18"/>
        </w:rPr>
      </w:pPr>
      <w:r w:rsidRPr="007F2742">
        <w:rPr>
          <w:rFonts w:ascii="Arial" w:eastAsia="Arial" w:hAnsi="Arial" w:cs="Arial"/>
          <w:bCs/>
          <w:i/>
          <w:iCs/>
          <w:color w:val="4472C4" w:themeColor="accent1"/>
          <w:sz w:val="18"/>
        </w:rPr>
        <w:t xml:space="preserve">En ese tenor y contrario a lo aducido a la recurrente, este Ente Obligado tiene en pleno conocimiento las facultades y funciones que debe ejercer para garantizar el libre acceso a la información, así como la obligación de proteger los datos personales de los ciudadanos, por ende, no tiene sustento el argumento vertido por el recurrente al pretender el nombre de un ciudadano </w:t>
      </w:r>
      <w:r w:rsidRPr="007F2742">
        <w:rPr>
          <w:rFonts w:ascii="Arial" w:eastAsia="Arial" w:hAnsi="Arial" w:cs="Arial"/>
          <w:bCs/>
          <w:i/>
          <w:iCs/>
          <w:color w:val="4472C4" w:themeColor="accent1"/>
          <w:sz w:val="18"/>
        </w:rPr>
        <w:lastRenderedPageBreak/>
        <w:t>que no es servidor público y que por el cual, no se cuenta con la autorización para hacer público su dato personal, por lo que si se generara una versión pública acorde a la manifestación del ahora quejoso, contendría la misma información sin que fuese expuesto el multicitado nombre de quien funge como superintendente de la obra. Acorde a lo anterior, es inconcuso determinar que este Ente Obligado informó lo correspondiente dentro del término establecido, sin que existiera una omisión en la fundamentación y motivación al establecer el motivo por el cual no se le pudo otorgar el dato personal del ciudadano, señalando que la obra daba inicio en esas fechas, por lo que se le indicó que aun no se habían generado los datos que peticionaba. No obstante lo anterior y en aras de mantener el libre acceso a la información, contrario a lo creyente del recurrente, se giró el oficio U.T. 4223/19, dirigido nuevamente al Director de Obras Públicas, a efecto de que manifestara lo que a su interés conviniera, contemplando el hecho de que ha transcurrido un lapso de tiempo, por lo cual resulta factible deducir que a la fecha del presente recurso de revisión, se podrá contar con mayor información del interés del recurrente. (Anexo 2). |</w:t>
      </w:r>
    </w:p>
    <w:p w:rsidR="007F2742" w:rsidRPr="007F2742" w:rsidRDefault="007F2742" w:rsidP="007F2742">
      <w:pPr>
        <w:spacing w:after="120" w:line="240" w:lineRule="auto"/>
        <w:ind w:left="567" w:right="425"/>
        <w:jc w:val="both"/>
        <w:rPr>
          <w:rFonts w:ascii="Arial" w:eastAsia="Arial" w:hAnsi="Arial" w:cs="Arial"/>
          <w:bCs/>
          <w:i/>
          <w:iCs/>
          <w:color w:val="4472C4" w:themeColor="accent1"/>
          <w:sz w:val="18"/>
        </w:rPr>
      </w:pPr>
      <w:r w:rsidRPr="007F2742">
        <w:rPr>
          <w:rFonts w:ascii="Arial" w:eastAsia="Arial" w:hAnsi="Arial" w:cs="Arial"/>
          <w:bCs/>
          <w:i/>
          <w:iCs/>
          <w:color w:val="4472C4" w:themeColor="accent1"/>
          <w:sz w:val="18"/>
        </w:rPr>
        <w:t>Por lo que mediante oficio DOP/CJ/1517/2019, el Director de Obras Públicas del H. Ayuntamiento de San Luis Potosí, aporto los alegatos y pruebas de su intención. (Anexo 3)</w:t>
      </w:r>
    </w:p>
    <w:p w:rsidR="007F2742" w:rsidRPr="007F2742" w:rsidRDefault="007F2742" w:rsidP="007F2742">
      <w:pPr>
        <w:spacing w:after="120" w:line="240" w:lineRule="auto"/>
        <w:ind w:left="567" w:right="425"/>
        <w:jc w:val="both"/>
        <w:rPr>
          <w:rFonts w:ascii="Arial" w:eastAsia="Arial" w:hAnsi="Arial" w:cs="Arial"/>
          <w:bCs/>
          <w:i/>
          <w:iCs/>
          <w:color w:val="4472C4" w:themeColor="accent1"/>
          <w:sz w:val="18"/>
        </w:rPr>
      </w:pPr>
    </w:p>
    <w:p w:rsidR="007F2742" w:rsidRPr="007F2742" w:rsidRDefault="007F2742" w:rsidP="007F2742">
      <w:pPr>
        <w:spacing w:after="120" w:line="240" w:lineRule="auto"/>
        <w:ind w:left="567" w:right="425"/>
        <w:jc w:val="both"/>
        <w:rPr>
          <w:rFonts w:ascii="Arial" w:eastAsia="Arial" w:hAnsi="Arial" w:cs="Arial"/>
          <w:bCs/>
          <w:i/>
          <w:iCs/>
          <w:color w:val="4472C4" w:themeColor="accent1"/>
          <w:sz w:val="18"/>
        </w:rPr>
      </w:pPr>
      <w:r w:rsidRPr="007F2742">
        <w:rPr>
          <w:rFonts w:ascii="Arial" w:eastAsia="Arial" w:hAnsi="Arial" w:cs="Arial"/>
          <w:bCs/>
          <w:i/>
          <w:iCs/>
          <w:color w:val="4472C4" w:themeColor="accent1"/>
          <w:sz w:val="18"/>
        </w:rPr>
        <w:t>Por lo cual, con fundamento en lo dispuesto por el artículo 179, fracciones IV y VI de la Ley de Transparencia y Acceso a la Información Pública del Estado de San Luis Potosí, solicito que el recurso de revisión sea desechado por improcedente. …”</w:t>
      </w:r>
    </w:p>
    <w:p w:rsidR="007F2742" w:rsidRPr="007F2742" w:rsidRDefault="007F2742" w:rsidP="007F2742">
      <w:pPr>
        <w:spacing w:after="0" w:line="240" w:lineRule="auto"/>
        <w:ind w:firstLine="709"/>
        <w:jc w:val="both"/>
        <w:rPr>
          <w:rFonts w:ascii="Arial" w:eastAsia="Arial" w:hAnsi="Arial" w:cs="Arial"/>
          <w:color w:val="4472C4" w:themeColor="accent1"/>
          <w:sz w:val="20"/>
          <w:szCs w:val="24"/>
        </w:rPr>
      </w:pPr>
    </w:p>
    <w:p w:rsidR="007F2742" w:rsidRPr="007F2742" w:rsidRDefault="007F2742" w:rsidP="007F2742">
      <w:pPr>
        <w:pStyle w:val="corte4fondo"/>
        <w:spacing w:line="240" w:lineRule="auto"/>
        <w:rPr>
          <w:rFonts w:eastAsia="Arial" w:cs="Arial"/>
          <w:color w:val="4472C4" w:themeColor="accent1"/>
          <w:sz w:val="20"/>
          <w:szCs w:val="24"/>
        </w:rPr>
      </w:pPr>
      <w:r w:rsidRPr="007F2742">
        <w:rPr>
          <w:rFonts w:eastAsia="Arial" w:cs="Arial"/>
          <w:b/>
          <w:bCs/>
          <w:color w:val="4472C4" w:themeColor="accent1"/>
          <w:sz w:val="20"/>
          <w:szCs w:val="24"/>
        </w:rPr>
        <w:t>QUINTO</w:t>
      </w:r>
      <w:r w:rsidRPr="007F2742">
        <w:rPr>
          <w:rFonts w:eastAsia="Arial" w:cs="Arial"/>
          <w:color w:val="4472C4" w:themeColor="accent1"/>
          <w:sz w:val="20"/>
          <w:szCs w:val="24"/>
        </w:rPr>
        <w:t xml:space="preserve">. Derivado de lo anterior, se advierte que la resolución resolverá si, la información que constituye el objeto del presente recurso fue entregada conforme a lo estipulado en las disposiciones de la materia, de acuerdo con lo dispuesto por los artículos </w:t>
      </w:r>
      <w:r w:rsidRPr="007F2742">
        <w:rPr>
          <w:rFonts w:eastAsia="Arial" w:cs="Arial"/>
          <w:color w:val="4472C4" w:themeColor="accent1"/>
          <w:sz w:val="20"/>
          <w:szCs w:val="24"/>
          <w:lang w:val="es-ES"/>
        </w:rPr>
        <w:t>3°, fracciones XI, XVI, XXVIII, XXXVII</w:t>
      </w:r>
      <w:r w:rsidRPr="007F2742">
        <w:rPr>
          <w:rFonts w:eastAsia="Arial" w:cs="Arial"/>
          <w:color w:val="4472C4" w:themeColor="accent1"/>
          <w:sz w:val="20"/>
          <w:szCs w:val="24"/>
        </w:rPr>
        <w:t xml:space="preserve">, 4, 18, 51, 52 fracción II, 113, </w:t>
      </w:r>
      <w:r w:rsidRPr="007F2742">
        <w:rPr>
          <w:rFonts w:eastAsia="Arial" w:cs="Arial"/>
          <w:color w:val="4472C4" w:themeColor="accent1"/>
          <w:sz w:val="20"/>
          <w:szCs w:val="24"/>
          <w:lang w:val="es-ES"/>
        </w:rPr>
        <w:t xml:space="preserve">114, 120, 121, 123, 125 y 138 </w:t>
      </w:r>
      <w:r w:rsidRPr="007F2742">
        <w:rPr>
          <w:rFonts w:eastAsia="Arial" w:cs="Arial"/>
          <w:color w:val="4472C4" w:themeColor="accent1"/>
          <w:sz w:val="20"/>
          <w:szCs w:val="24"/>
        </w:rPr>
        <w:t>de la Ley de Transparencia y Acceso a la Información Pública del Estado de San Luis Potosí y demás normativa aplicable.</w:t>
      </w:r>
    </w:p>
    <w:p w:rsidR="007F2742" w:rsidRPr="007F2742" w:rsidRDefault="007F2742" w:rsidP="007F2742">
      <w:pPr>
        <w:spacing w:after="0" w:line="240" w:lineRule="auto"/>
        <w:ind w:firstLine="709"/>
        <w:jc w:val="both"/>
        <w:rPr>
          <w:rFonts w:ascii="Arial" w:eastAsia="Arial" w:hAnsi="Arial" w:cs="Arial"/>
          <w:color w:val="4472C4" w:themeColor="accent1"/>
          <w:sz w:val="20"/>
          <w:szCs w:val="24"/>
        </w:rPr>
      </w:pPr>
    </w:p>
    <w:p w:rsidR="007F2742" w:rsidRPr="007F2742" w:rsidRDefault="007F2742" w:rsidP="007F2742">
      <w:pPr>
        <w:spacing w:after="0" w:line="240" w:lineRule="auto"/>
        <w:ind w:firstLine="709"/>
        <w:jc w:val="both"/>
        <w:rPr>
          <w:rFonts w:ascii="Arial" w:eastAsia="Arial" w:hAnsi="Arial" w:cs="Arial"/>
          <w:color w:val="4472C4" w:themeColor="accent1"/>
          <w:sz w:val="20"/>
          <w:szCs w:val="24"/>
        </w:rPr>
      </w:pPr>
      <w:r w:rsidRPr="007F2742">
        <w:rPr>
          <w:rFonts w:ascii="Arial" w:eastAsia="Arial" w:hAnsi="Arial" w:cs="Arial"/>
          <w:color w:val="4472C4" w:themeColor="accent1"/>
          <w:sz w:val="20"/>
          <w:szCs w:val="24"/>
        </w:rPr>
        <w:t>Así entonces, este Órgano Colegiado considera que resulta preciso esquematizar la relación de la solicitud planteada, relacionado con la información otorgada por el sujeto obligado, así como los agravios planteados con el ahora recurrente, a fin de esclarecer los motivos que originan el presente asunto, de la manera siguiente:</w:t>
      </w:r>
    </w:p>
    <w:p w:rsidR="007F2742" w:rsidRPr="007F2742" w:rsidRDefault="007F2742" w:rsidP="007F2742">
      <w:pPr>
        <w:spacing w:after="0" w:line="240" w:lineRule="auto"/>
        <w:ind w:firstLine="709"/>
        <w:jc w:val="both"/>
        <w:rPr>
          <w:rFonts w:ascii="Arial" w:eastAsia="Arial" w:hAnsi="Arial" w:cs="Arial"/>
          <w:color w:val="4472C4" w:themeColor="accent1"/>
          <w:sz w:val="20"/>
          <w:szCs w:val="24"/>
        </w:rPr>
      </w:pPr>
    </w:p>
    <w:tbl>
      <w:tblPr>
        <w:tblStyle w:val="Tabladecuadrcula4-nfasis1"/>
        <w:tblW w:w="0" w:type="auto"/>
        <w:tblInd w:w="0" w:type="dxa"/>
        <w:tblLook w:val="04A0" w:firstRow="1" w:lastRow="0" w:firstColumn="1" w:lastColumn="0" w:noHBand="0" w:noVBand="1"/>
      </w:tblPr>
      <w:tblGrid>
        <w:gridCol w:w="1923"/>
        <w:gridCol w:w="2845"/>
        <w:gridCol w:w="2421"/>
        <w:gridCol w:w="1639"/>
      </w:tblGrid>
      <w:tr w:rsidR="007F2742" w:rsidRPr="007F2742" w:rsidTr="007F27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6" w:type="dxa"/>
            <w:hideMark/>
          </w:tcPr>
          <w:p w:rsidR="007F2742" w:rsidRPr="007F2742" w:rsidRDefault="007F2742">
            <w:pPr>
              <w:spacing w:after="0" w:line="240" w:lineRule="auto"/>
              <w:jc w:val="center"/>
              <w:rPr>
                <w:rFonts w:ascii="Arial" w:eastAsia="Arial" w:hAnsi="Arial" w:cs="Arial"/>
                <w:color w:val="4472C4" w:themeColor="accent1"/>
                <w:sz w:val="20"/>
                <w:szCs w:val="24"/>
              </w:rPr>
            </w:pPr>
            <w:r w:rsidRPr="007F2742">
              <w:rPr>
                <w:rFonts w:ascii="Arial" w:eastAsia="Arial" w:hAnsi="Arial" w:cs="Arial"/>
                <w:sz w:val="20"/>
                <w:szCs w:val="24"/>
              </w:rPr>
              <w:t>NÚMERO DE IDENTFICACIÓN</w:t>
            </w:r>
          </w:p>
        </w:tc>
        <w:tc>
          <w:tcPr>
            <w:tcW w:w="3018" w:type="dxa"/>
            <w:hideMark/>
          </w:tcPr>
          <w:p w:rsidR="007F2742" w:rsidRPr="007F2742" w:rsidRDefault="007F2742">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20"/>
                <w:szCs w:val="24"/>
              </w:rPr>
            </w:pPr>
            <w:r w:rsidRPr="007F2742">
              <w:rPr>
                <w:rFonts w:ascii="Arial" w:eastAsia="Arial" w:hAnsi="Arial" w:cs="Arial"/>
                <w:sz w:val="20"/>
                <w:szCs w:val="24"/>
              </w:rPr>
              <w:t>SOLICITUD DE INFORMACIÓN</w:t>
            </w:r>
          </w:p>
        </w:tc>
        <w:tc>
          <w:tcPr>
            <w:tcW w:w="2566" w:type="dxa"/>
            <w:hideMark/>
          </w:tcPr>
          <w:p w:rsidR="007F2742" w:rsidRPr="007F2742" w:rsidRDefault="007F2742">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20"/>
                <w:szCs w:val="24"/>
              </w:rPr>
            </w:pPr>
            <w:r w:rsidRPr="007F2742">
              <w:rPr>
                <w:rFonts w:ascii="Arial" w:eastAsia="Arial" w:hAnsi="Arial" w:cs="Arial"/>
                <w:sz w:val="20"/>
                <w:szCs w:val="24"/>
              </w:rPr>
              <w:t>RESPUESTA</w:t>
            </w:r>
          </w:p>
        </w:tc>
        <w:tc>
          <w:tcPr>
            <w:tcW w:w="1301" w:type="dxa"/>
            <w:hideMark/>
          </w:tcPr>
          <w:p w:rsidR="007F2742" w:rsidRPr="007F2742" w:rsidRDefault="007F2742">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20"/>
                <w:szCs w:val="24"/>
              </w:rPr>
            </w:pPr>
            <w:r w:rsidRPr="007F2742">
              <w:rPr>
                <w:rFonts w:ascii="Arial" w:eastAsia="Arial" w:hAnsi="Arial" w:cs="Arial"/>
                <w:sz w:val="20"/>
                <w:szCs w:val="24"/>
              </w:rPr>
              <w:t>AGRAVIO</w:t>
            </w:r>
          </w:p>
        </w:tc>
      </w:tr>
      <w:tr w:rsidR="007F2742" w:rsidRPr="007F2742" w:rsidTr="007F27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6"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7F2742" w:rsidRPr="007F2742" w:rsidRDefault="007F2742">
            <w:pPr>
              <w:spacing w:after="0" w:line="240" w:lineRule="auto"/>
              <w:jc w:val="both"/>
              <w:rPr>
                <w:rFonts w:ascii="Arial" w:eastAsia="Arial" w:hAnsi="Arial" w:cs="Arial"/>
                <w:color w:val="4472C4" w:themeColor="accent1"/>
                <w:sz w:val="20"/>
                <w:szCs w:val="24"/>
              </w:rPr>
            </w:pPr>
            <w:r w:rsidRPr="007F2742">
              <w:rPr>
                <w:rFonts w:ascii="Arial" w:eastAsia="Arial" w:hAnsi="Arial" w:cs="Arial"/>
                <w:color w:val="4472C4" w:themeColor="accent1"/>
                <w:sz w:val="20"/>
                <w:szCs w:val="24"/>
              </w:rPr>
              <w:t>PRIMERO</w:t>
            </w:r>
          </w:p>
        </w:tc>
        <w:tc>
          <w:tcPr>
            <w:tcW w:w="301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7F2742" w:rsidRPr="007F2742" w:rsidRDefault="007F2742">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Arial" w:eastAsia="Arial" w:hAnsi="Arial" w:cs="Arial"/>
                <w:color w:val="4472C4" w:themeColor="accent1"/>
                <w:sz w:val="20"/>
                <w:szCs w:val="24"/>
              </w:rPr>
            </w:pPr>
            <w:r w:rsidRPr="007F2742">
              <w:rPr>
                <w:rFonts w:ascii="Arial" w:eastAsia="Arial" w:hAnsi="Arial" w:cs="Arial"/>
                <w:color w:val="4472C4" w:themeColor="accent1"/>
                <w:sz w:val="20"/>
                <w:szCs w:val="24"/>
              </w:rPr>
              <w:t>CONTRATO DE OBRA</w:t>
            </w:r>
          </w:p>
        </w:tc>
        <w:tc>
          <w:tcPr>
            <w:tcW w:w="2566"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7F2742" w:rsidRPr="007F2742" w:rsidRDefault="007F2742">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Arial" w:eastAsia="Arial" w:hAnsi="Arial" w:cs="Arial"/>
                <w:color w:val="4472C4" w:themeColor="accent1"/>
                <w:sz w:val="20"/>
                <w:szCs w:val="24"/>
              </w:rPr>
            </w:pPr>
            <w:r w:rsidRPr="007F2742">
              <w:rPr>
                <w:rFonts w:ascii="Arial" w:eastAsia="Arial" w:hAnsi="Arial" w:cs="Arial"/>
                <w:color w:val="4472C4" w:themeColor="accent1"/>
                <w:sz w:val="20"/>
                <w:szCs w:val="24"/>
              </w:rPr>
              <w:t>EL SUJETO OBLIGADO ES OMISO EN ENTREGAR EL CONTRATO DE OBRA PÚBLICA CORRESPONDIENTE</w:t>
            </w:r>
          </w:p>
        </w:tc>
        <w:tc>
          <w:tcPr>
            <w:tcW w:w="130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7F2742" w:rsidRPr="007F2742" w:rsidRDefault="007F2742">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Arial" w:eastAsia="Arial" w:hAnsi="Arial" w:cs="Arial"/>
                <w:color w:val="4472C4" w:themeColor="accent1"/>
                <w:sz w:val="20"/>
                <w:szCs w:val="24"/>
              </w:rPr>
            </w:pPr>
            <w:r w:rsidRPr="007F2742">
              <w:rPr>
                <w:rFonts w:ascii="Arial" w:eastAsia="Arial" w:hAnsi="Arial" w:cs="Arial"/>
                <w:i/>
                <w:iCs/>
                <w:color w:val="4472C4" w:themeColor="accent1"/>
                <w:sz w:val="20"/>
                <w:szCs w:val="24"/>
              </w:rPr>
              <w:t>SE ME NIEGA TODA LA INFORMACIÓN QUE SOLICITÉ… DEBEN HACER VERSIÓN PÚBLICA DE LO QUE SOLICITÉ…NO SE REALIZARON TODAS LAS GESTIONES INTERNAS PARA DAR CON LA INFORMACIÓN QUE SOLICITO.”</w:t>
            </w:r>
          </w:p>
        </w:tc>
      </w:tr>
      <w:tr w:rsidR="007F2742" w:rsidRPr="007F2742" w:rsidTr="007F2742">
        <w:tc>
          <w:tcPr>
            <w:cnfStyle w:val="001000000000" w:firstRow="0" w:lastRow="0" w:firstColumn="1" w:lastColumn="0" w:oddVBand="0" w:evenVBand="0" w:oddHBand="0" w:evenHBand="0" w:firstRowFirstColumn="0" w:firstRowLastColumn="0" w:lastRowFirstColumn="0" w:lastRowLastColumn="0"/>
            <w:tcW w:w="2036"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7F2742" w:rsidRPr="007F2742" w:rsidRDefault="007F2742">
            <w:pPr>
              <w:spacing w:after="0" w:line="240" w:lineRule="auto"/>
              <w:jc w:val="both"/>
              <w:rPr>
                <w:rFonts w:ascii="Arial" w:eastAsia="Arial" w:hAnsi="Arial" w:cs="Arial"/>
                <w:color w:val="4472C4" w:themeColor="accent1"/>
                <w:sz w:val="20"/>
                <w:szCs w:val="24"/>
              </w:rPr>
            </w:pPr>
            <w:r w:rsidRPr="007F2742">
              <w:rPr>
                <w:rFonts w:ascii="Arial" w:eastAsia="Arial" w:hAnsi="Arial" w:cs="Arial"/>
                <w:color w:val="4472C4" w:themeColor="accent1"/>
                <w:sz w:val="20"/>
                <w:szCs w:val="24"/>
              </w:rPr>
              <w:t>SEGUNDO</w:t>
            </w:r>
          </w:p>
        </w:tc>
        <w:tc>
          <w:tcPr>
            <w:tcW w:w="301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7F2742" w:rsidRPr="007F2742" w:rsidRDefault="007F2742">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Arial" w:eastAsia="Arial" w:hAnsi="Arial" w:cs="Arial"/>
                <w:color w:val="4472C4" w:themeColor="accent1"/>
                <w:sz w:val="20"/>
                <w:szCs w:val="24"/>
              </w:rPr>
            </w:pPr>
            <w:r w:rsidRPr="007F2742">
              <w:rPr>
                <w:rFonts w:ascii="Arial" w:eastAsia="Arial" w:hAnsi="Arial" w:cs="Arial"/>
                <w:color w:val="4472C4" w:themeColor="accent1"/>
                <w:sz w:val="20"/>
                <w:szCs w:val="24"/>
              </w:rPr>
              <w:t xml:space="preserve">REPORTE TÉCNICO DE OBRA; REPORTE DE AVANCE DETALLADO; CONVENIO/AMPLIACIÓN; CÁLCULO SANCIÓN/RETENCIÓN; NOTAS DE BITACORA; REPORTE FOTOGRÁFICO; </w:t>
            </w:r>
            <w:r w:rsidRPr="007F2742">
              <w:rPr>
                <w:rFonts w:ascii="Arial" w:eastAsia="Arial" w:hAnsi="Arial" w:cs="Arial"/>
                <w:color w:val="4472C4" w:themeColor="accent1"/>
                <w:sz w:val="20"/>
                <w:szCs w:val="24"/>
              </w:rPr>
              <w:lastRenderedPageBreak/>
              <w:t>REOPRTES ECONÓMICOS DE OBRA; REPORTES DE GASTO (POR QUINCENA O POR SEMANA)</w:t>
            </w:r>
          </w:p>
        </w:tc>
        <w:tc>
          <w:tcPr>
            <w:tcW w:w="2566"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7F2742" w:rsidRPr="007F2742" w:rsidRDefault="007F2742">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Arial" w:eastAsia="Arial" w:hAnsi="Arial" w:cs="Arial"/>
                <w:color w:val="4472C4" w:themeColor="accent1"/>
                <w:sz w:val="20"/>
                <w:szCs w:val="24"/>
              </w:rPr>
            </w:pPr>
            <w:r w:rsidRPr="007F2742">
              <w:rPr>
                <w:rFonts w:ascii="Arial" w:eastAsia="Arial" w:hAnsi="Arial" w:cs="Arial"/>
                <w:bCs/>
                <w:color w:val="4472C4" w:themeColor="accent1"/>
                <w:sz w:val="18"/>
              </w:rPr>
              <w:lastRenderedPageBreak/>
              <w:t>“</w:t>
            </w:r>
            <w:r w:rsidRPr="007F2742">
              <w:rPr>
                <w:rFonts w:ascii="Arial" w:eastAsia="Arial" w:hAnsi="Arial" w:cs="Arial"/>
                <w:bCs/>
                <w:i/>
                <w:iCs/>
                <w:color w:val="4472C4" w:themeColor="accent1"/>
                <w:sz w:val="18"/>
              </w:rPr>
              <w:t xml:space="preserve">me permito informarle que la obra de dio inicio el día de hoy por lo que no se cuenta aún con reporte técnico de obra, reporte de avance detallado, convenios de ampliación, cálculo de sanción y retención, notas de bitácora, reporte </w:t>
            </w:r>
            <w:r w:rsidRPr="007F2742">
              <w:rPr>
                <w:rFonts w:ascii="Arial" w:eastAsia="Arial" w:hAnsi="Arial" w:cs="Arial"/>
                <w:bCs/>
                <w:i/>
                <w:iCs/>
                <w:color w:val="4472C4" w:themeColor="accent1"/>
                <w:sz w:val="18"/>
              </w:rPr>
              <w:lastRenderedPageBreak/>
              <w:t xml:space="preserve">fotográfico y reporte económico de obra…” </w:t>
            </w:r>
          </w:p>
        </w:tc>
        <w:tc>
          <w:tcPr>
            <w:tcW w:w="130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7F2742" w:rsidRPr="007F2742" w:rsidRDefault="007F2742">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Arial" w:eastAsia="Arial" w:hAnsi="Arial" w:cs="Arial"/>
                <w:color w:val="4472C4" w:themeColor="accent1"/>
                <w:sz w:val="20"/>
                <w:szCs w:val="24"/>
              </w:rPr>
            </w:pPr>
            <w:r w:rsidRPr="007F2742">
              <w:rPr>
                <w:rFonts w:ascii="Arial" w:eastAsia="Arial" w:hAnsi="Arial" w:cs="Arial"/>
                <w:i/>
                <w:iCs/>
                <w:color w:val="4472C4" w:themeColor="accent1"/>
                <w:sz w:val="20"/>
                <w:szCs w:val="24"/>
              </w:rPr>
              <w:lastRenderedPageBreak/>
              <w:t xml:space="preserve">SE ME NIEGA TODA LA INFORMACIÓN QUE SOLICITÉ… NO SE REALIZARON TODAS LAS </w:t>
            </w:r>
            <w:r w:rsidRPr="007F2742">
              <w:rPr>
                <w:rFonts w:ascii="Arial" w:eastAsia="Arial" w:hAnsi="Arial" w:cs="Arial"/>
                <w:i/>
                <w:iCs/>
                <w:color w:val="4472C4" w:themeColor="accent1"/>
                <w:sz w:val="20"/>
                <w:szCs w:val="24"/>
              </w:rPr>
              <w:lastRenderedPageBreak/>
              <w:t>GESTIONES INTERNAS PARA DAR CON LA INFORMACIÓN QUE SOLICITO.”</w:t>
            </w:r>
          </w:p>
        </w:tc>
      </w:tr>
      <w:tr w:rsidR="007F2742" w:rsidRPr="007F2742" w:rsidTr="007F27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6"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7F2742" w:rsidRPr="007F2742" w:rsidRDefault="007F2742">
            <w:pPr>
              <w:spacing w:after="0" w:line="240" w:lineRule="auto"/>
              <w:jc w:val="both"/>
              <w:rPr>
                <w:rFonts w:ascii="Arial" w:eastAsia="Arial" w:hAnsi="Arial" w:cs="Arial"/>
                <w:color w:val="4472C4" w:themeColor="accent1"/>
                <w:sz w:val="20"/>
                <w:szCs w:val="24"/>
              </w:rPr>
            </w:pPr>
            <w:r w:rsidRPr="007F2742">
              <w:rPr>
                <w:rFonts w:ascii="Arial" w:eastAsia="Arial" w:hAnsi="Arial" w:cs="Arial"/>
                <w:color w:val="4472C4" w:themeColor="accent1"/>
                <w:sz w:val="20"/>
                <w:szCs w:val="24"/>
              </w:rPr>
              <w:lastRenderedPageBreak/>
              <w:t>TERCERO</w:t>
            </w:r>
          </w:p>
        </w:tc>
        <w:tc>
          <w:tcPr>
            <w:tcW w:w="301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7F2742" w:rsidRPr="007F2742" w:rsidRDefault="007F2742">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Arial" w:eastAsia="Arial" w:hAnsi="Arial" w:cs="Arial"/>
                <w:color w:val="4472C4" w:themeColor="accent1"/>
                <w:sz w:val="20"/>
                <w:szCs w:val="24"/>
              </w:rPr>
            </w:pPr>
            <w:r w:rsidRPr="007F2742">
              <w:rPr>
                <w:rFonts w:ascii="Arial" w:eastAsia="Arial" w:hAnsi="Arial" w:cs="Arial"/>
                <w:color w:val="4472C4" w:themeColor="accent1"/>
                <w:sz w:val="20"/>
                <w:szCs w:val="24"/>
              </w:rPr>
              <w:t>NOMBRE DE SUPER INTENDENTE DE OBRA</w:t>
            </w:r>
          </w:p>
        </w:tc>
        <w:tc>
          <w:tcPr>
            <w:tcW w:w="2566"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7F2742" w:rsidRPr="007F2742" w:rsidRDefault="007F2742">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Arial" w:eastAsia="Arial" w:hAnsi="Arial" w:cs="Arial"/>
                <w:color w:val="4472C4" w:themeColor="accent1"/>
                <w:sz w:val="20"/>
                <w:szCs w:val="24"/>
              </w:rPr>
            </w:pPr>
            <w:r w:rsidRPr="007F2742">
              <w:rPr>
                <w:rFonts w:ascii="Arial" w:eastAsia="Arial" w:hAnsi="Arial" w:cs="Arial"/>
                <w:bCs/>
                <w:i/>
                <w:iCs/>
                <w:color w:val="4472C4" w:themeColor="accent1"/>
                <w:sz w:val="18"/>
              </w:rPr>
              <w:t xml:space="preserve">“…hago de su conocimiento que el residente de esta obra es el Ing. José Vidal Roque, personal escrito a esta dirección…” </w:t>
            </w:r>
          </w:p>
        </w:tc>
        <w:tc>
          <w:tcPr>
            <w:tcW w:w="130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7F2742" w:rsidRPr="007F2742" w:rsidRDefault="007F2742">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Arial" w:eastAsia="Arial" w:hAnsi="Arial" w:cs="Arial"/>
                <w:color w:val="4472C4" w:themeColor="accent1"/>
                <w:sz w:val="20"/>
                <w:szCs w:val="24"/>
              </w:rPr>
            </w:pPr>
            <w:r w:rsidRPr="007F2742">
              <w:rPr>
                <w:rFonts w:ascii="Arial" w:eastAsia="Arial" w:hAnsi="Arial" w:cs="Arial"/>
                <w:color w:val="4472C4" w:themeColor="accent1"/>
                <w:sz w:val="20"/>
                <w:szCs w:val="24"/>
              </w:rPr>
              <w:t>“</w:t>
            </w:r>
            <w:r w:rsidRPr="007F2742">
              <w:rPr>
                <w:rFonts w:ascii="Arial" w:eastAsia="Arial" w:hAnsi="Arial" w:cs="Arial"/>
                <w:i/>
                <w:iCs/>
                <w:color w:val="4472C4" w:themeColor="accent1"/>
                <w:sz w:val="20"/>
                <w:szCs w:val="24"/>
              </w:rPr>
              <w:t>SE ME NIEGA TODA LA INFORMACIÓN QUE SOLICITÉ… NO SE REALIZARON TODAS LAS GESTIONES INTERNAS PARA DAR CON LA INFORMACIÓN QUE SOLICITO.”</w:t>
            </w:r>
          </w:p>
        </w:tc>
      </w:tr>
      <w:tr w:rsidR="007F2742" w:rsidRPr="007F2742" w:rsidTr="007F2742">
        <w:tc>
          <w:tcPr>
            <w:cnfStyle w:val="001000000000" w:firstRow="0" w:lastRow="0" w:firstColumn="1" w:lastColumn="0" w:oddVBand="0" w:evenVBand="0" w:oddHBand="0" w:evenHBand="0" w:firstRowFirstColumn="0" w:firstRowLastColumn="0" w:lastRowFirstColumn="0" w:lastRowLastColumn="0"/>
            <w:tcW w:w="2036"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7F2742" w:rsidRPr="007F2742" w:rsidRDefault="007F2742">
            <w:pPr>
              <w:spacing w:after="0" w:line="240" w:lineRule="auto"/>
              <w:jc w:val="both"/>
              <w:rPr>
                <w:rFonts w:ascii="Arial" w:eastAsia="Arial" w:hAnsi="Arial" w:cs="Arial"/>
                <w:color w:val="4472C4" w:themeColor="accent1"/>
                <w:sz w:val="20"/>
                <w:szCs w:val="24"/>
              </w:rPr>
            </w:pPr>
            <w:r w:rsidRPr="007F2742">
              <w:rPr>
                <w:rFonts w:ascii="Arial" w:eastAsia="Arial" w:hAnsi="Arial" w:cs="Arial"/>
                <w:color w:val="4472C4" w:themeColor="accent1"/>
                <w:sz w:val="20"/>
                <w:szCs w:val="24"/>
              </w:rPr>
              <w:t>CUARTO</w:t>
            </w:r>
          </w:p>
        </w:tc>
        <w:tc>
          <w:tcPr>
            <w:tcW w:w="301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7F2742" w:rsidRPr="007F2742" w:rsidRDefault="007F2742">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Arial" w:eastAsia="Arial" w:hAnsi="Arial" w:cs="Arial"/>
                <w:color w:val="4472C4" w:themeColor="accent1"/>
                <w:sz w:val="20"/>
                <w:szCs w:val="24"/>
              </w:rPr>
            </w:pPr>
            <w:r w:rsidRPr="007F2742">
              <w:rPr>
                <w:rFonts w:ascii="Arial" w:eastAsia="Arial" w:hAnsi="Arial" w:cs="Arial"/>
                <w:color w:val="4472C4" w:themeColor="accent1"/>
                <w:sz w:val="20"/>
                <w:szCs w:val="24"/>
              </w:rPr>
              <w:t>NOMBRE DEL RESIDENTE DE OBRA</w:t>
            </w:r>
          </w:p>
        </w:tc>
        <w:tc>
          <w:tcPr>
            <w:tcW w:w="2566"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7F2742" w:rsidRPr="007F2742" w:rsidRDefault="007F2742">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Arial" w:eastAsia="Arial" w:hAnsi="Arial" w:cs="Arial"/>
                <w:color w:val="4472C4" w:themeColor="accent1"/>
                <w:sz w:val="20"/>
                <w:szCs w:val="24"/>
              </w:rPr>
            </w:pPr>
            <w:r w:rsidRPr="007F2742">
              <w:rPr>
                <w:rFonts w:ascii="Arial" w:eastAsia="Arial" w:hAnsi="Arial" w:cs="Arial"/>
                <w:bCs/>
                <w:i/>
                <w:iCs/>
                <w:color w:val="4472C4" w:themeColor="accent1"/>
                <w:sz w:val="18"/>
              </w:rPr>
              <w:t>“…en cuanto al nombre del superintendente de la obra, le informó que no es un servidor público, ya que es parte del personal de la empresa constructora, por lo que no estamos autorizados a dar dicha información, ya que estamos obligados a garantizar la Protección de Datos personales”</w:t>
            </w:r>
          </w:p>
        </w:tc>
        <w:tc>
          <w:tcPr>
            <w:tcW w:w="130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rsidR="007F2742" w:rsidRPr="007F2742" w:rsidRDefault="007F2742">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Arial" w:eastAsia="Arial" w:hAnsi="Arial" w:cs="Arial"/>
                <w:color w:val="4472C4" w:themeColor="accent1"/>
                <w:sz w:val="20"/>
                <w:szCs w:val="24"/>
              </w:rPr>
            </w:pPr>
            <w:r w:rsidRPr="007F2742">
              <w:rPr>
                <w:rFonts w:ascii="Arial" w:eastAsia="Arial" w:hAnsi="Arial" w:cs="Arial"/>
                <w:i/>
                <w:iCs/>
                <w:color w:val="4472C4" w:themeColor="accent1"/>
                <w:sz w:val="20"/>
                <w:szCs w:val="24"/>
              </w:rPr>
              <w:t>SE ME NIEGA TODA LA INFORMACIÓN QUE SOLICITÉ… DEBEN HACER VERSIÓN PÚBLICA DE LO QUE SOLICITÉ… NO SE REALIZARON TODAS LAS GESTIONES INTERNAS PARA DAR CON LA INFORMACIÓN QUE SOLICITO.”</w:t>
            </w:r>
          </w:p>
        </w:tc>
      </w:tr>
    </w:tbl>
    <w:p w:rsidR="007F2742" w:rsidRPr="007F2742" w:rsidRDefault="007F2742" w:rsidP="007F2742">
      <w:pPr>
        <w:spacing w:after="0" w:line="240" w:lineRule="auto"/>
        <w:ind w:firstLine="709"/>
        <w:jc w:val="both"/>
        <w:rPr>
          <w:rFonts w:ascii="Arial" w:eastAsia="Arial" w:hAnsi="Arial" w:cs="Arial"/>
          <w:color w:val="4472C4" w:themeColor="accent1"/>
          <w:sz w:val="20"/>
          <w:szCs w:val="24"/>
        </w:rPr>
      </w:pPr>
    </w:p>
    <w:p w:rsidR="007F2742" w:rsidRPr="007F2742" w:rsidRDefault="007F2742" w:rsidP="007F2742">
      <w:pPr>
        <w:spacing w:after="0" w:line="240" w:lineRule="auto"/>
        <w:ind w:firstLine="709"/>
        <w:jc w:val="both"/>
        <w:rPr>
          <w:rFonts w:ascii="Arial" w:eastAsia="Arial" w:hAnsi="Arial" w:cs="Arial"/>
          <w:color w:val="4472C4" w:themeColor="accent1"/>
          <w:sz w:val="20"/>
          <w:szCs w:val="24"/>
          <w:lang w:val="es-ES"/>
        </w:rPr>
      </w:pPr>
      <w:r w:rsidRPr="007F2742">
        <w:rPr>
          <w:rFonts w:ascii="Arial" w:eastAsia="Arial" w:hAnsi="Arial" w:cs="Arial"/>
          <w:color w:val="4472C4" w:themeColor="accent1"/>
          <w:sz w:val="20"/>
          <w:szCs w:val="24"/>
          <w:lang w:val="es-ES"/>
        </w:rPr>
        <w:t>El artículo 3°, en sus fracciones XI, XVI, XXVIII y XXXVIII, de la Ley de Transparencia y Acceso a la Información Pública del Estado de San Luis Potosí establece:</w:t>
      </w:r>
    </w:p>
    <w:p w:rsidR="007F2742" w:rsidRPr="007F2742" w:rsidRDefault="007F2742" w:rsidP="007F2742">
      <w:pPr>
        <w:spacing w:after="0" w:line="240" w:lineRule="auto"/>
        <w:ind w:firstLine="709"/>
        <w:jc w:val="both"/>
        <w:rPr>
          <w:rFonts w:ascii="Arial" w:eastAsia="Arial" w:hAnsi="Arial" w:cs="Arial"/>
          <w:color w:val="4472C4" w:themeColor="accent1"/>
          <w:sz w:val="20"/>
          <w:szCs w:val="24"/>
        </w:rPr>
      </w:pPr>
    </w:p>
    <w:p w:rsidR="007F2742" w:rsidRPr="007F2742" w:rsidRDefault="007F2742" w:rsidP="007F2742">
      <w:pPr>
        <w:pStyle w:val="corte4fondo"/>
        <w:spacing w:line="240" w:lineRule="auto"/>
        <w:ind w:left="709" w:right="993" w:firstLine="0"/>
        <w:rPr>
          <w:rFonts w:eastAsia="Arial" w:cs="Arial"/>
          <w:color w:val="4472C4" w:themeColor="accent1"/>
          <w:sz w:val="18"/>
          <w:szCs w:val="22"/>
        </w:rPr>
      </w:pPr>
      <w:r w:rsidRPr="007F2742">
        <w:rPr>
          <w:rFonts w:eastAsia="Arial" w:cs="Arial"/>
          <w:b/>
          <w:bCs/>
          <w:i/>
          <w:iCs/>
          <w:color w:val="4472C4" w:themeColor="accent1"/>
          <w:sz w:val="20"/>
          <w:szCs w:val="24"/>
        </w:rPr>
        <w:t>“</w:t>
      </w:r>
      <w:r w:rsidRPr="007F2742">
        <w:rPr>
          <w:rFonts w:eastAsia="Arial" w:cs="Arial"/>
          <w:i/>
          <w:iCs/>
          <w:color w:val="4472C4" w:themeColor="accent1"/>
          <w:sz w:val="18"/>
          <w:szCs w:val="22"/>
        </w:rPr>
        <w:t>ARTÍCULO 3°.</w:t>
      </w:r>
      <w:r w:rsidRPr="007F2742">
        <w:rPr>
          <w:rFonts w:eastAsia="Arial" w:cs="Arial"/>
          <w:b/>
          <w:bCs/>
          <w:i/>
          <w:iCs/>
          <w:color w:val="4472C4" w:themeColor="accent1"/>
          <w:sz w:val="18"/>
          <w:szCs w:val="22"/>
        </w:rPr>
        <w:t xml:space="preserve"> </w:t>
      </w:r>
      <w:r w:rsidRPr="007F2742">
        <w:rPr>
          <w:rFonts w:eastAsia="Arial" w:cs="Arial"/>
          <w:i/>
          <w:iCs/>
          <w:color w:val="4472C4" w:themeColor="accent1"/>
          <w:sz w:val="18"/>
          <w:szCs w:val="22"/>
        </w:rPr>
        <w:t>Para los efectos de la presente Ley se entenderá por:</w:t>
      </w:r>
    </w:p>
    <w:p w:rsidR="007F2742" w:rsidRPr="007F2742" w:rsidRDefault="007F2742" w:rsidP="007F2742">
      <w:pPr>
        <w:pStyle w:val="Sinespaciado"/>
        <w:ind w:left="709"/>
        <w:jc w:val="both"/>
        <w:rPr>
          <w:rFonts w:ascii="Arial" w:hAnsi="Arial" w:cs="Arial"/>
          <w:i/>
          <w:iCs/>
          <w:color w:val="4472C4" w:themeColor="accent1"/>
          <w:sz w:val="18"/>
        </w:rPr>
      </w:pPr>
      <w:r w:rsidRPr="007F2742">
        <w:rPr>
          <w:rFonts w:ascii="Arial" w:hAnsi="Arial" w:cs="Arial"/>
          <w:i/>
          <w:iCs/>
          <w:color w:val="4472C4" w:themeColor="accent1"/>
          <w:sz w:val="18"/>
        </w:rPr>
        <w:t>[…]</w:t>
      </w:r>
    </w:p>
    <w:p w:rsidR="007F2742" w:rsidRPr="007F2742" w:rsidRDefault="007F2742" w:rsidP="007F2742">
      <w:pPr>
        <w:pStyle w:val="Sinespaciado"/>
        <w:ind w:left="709" w:right="993"/>
        <w:jc w:val="both"/>
        <w:rPr>
          <w:rFonts w:ascii="Arial" w:hAnsi="Arial" w:cs="Arial"/>
          <w:i/>
          <w:iCs/>
          <w:color w:val="4472C4" w:themeColor="accent1"/>
          <w:sz w:val="18"/>
        </w:rPr>
      </w:pPr>
      <w:r w:rsidRPr="007F2742">
        <w:rPr>
          <w:rFonts w:ascii="Arial" w:hAnsi="Arial" w:cs="Arial"/>
          <w:i/>
          <w:iCs/>
          <w:color w:val="4472C4" w:themeColor="accent1"/>
          <w:sz w:val="18"/>
        </w:rPr>
        <w:t xml:space="preserve">XI. Datos personales: toda información sobre una persona física identificada o identificable, como lo es la relativa a su origen étnico o racial, características físicas, morales o emocionales, a su vida afectiva y familiar, domicilio, número telefónico, correo electrónico, patrimonio, ideología y opiniones políticas, afiliación sindical, creencias o convicciones religiosas o filosóficas, los estados de salud físicos o mentales, información genética, preferencia sexual, y otras análogas que afecten su intimidad. Se considerará identificable toda persona cuya identidad pueda determinarse, directa o indirectamente, en particular mediante un número de identificación o uno o varios elementos específicos, característicos de su identidad física, fisiológica, psíquica, económica, cultural o social; </w:t>
      </w:r>
    </w:p>
    <w:p w:rsidR="007F2742" w:rsidRPr="007F2742" w:rsidRDefault="007F2742" w:rsidP="007F2742">
      <w:pPr>
        <w:pStyle w:val="Sinespaciado"/>
        <w:ind w:left="709" w:right="993"/>
        <w:jc w:val="both"/>
        <w:rPr>
          <w:rFonts w:ascii="Arial" w:hAnsi="Arial" w:cs="Arial"/>
          <w:i/>
          <w:iCs/>
          <w:color w:val="4472C4" w:themeColor="accent1"/>
          <w:sz w:val="18"/>
        </w:rPr>
      </w:pPr>
      <w:r w:rsidRPr="007F2742">
        <w:rPr>
          <w:rFonts w:ascii="Arial" w:hAnsi="Arial" w:cs="Arial"/>
          <w:i/>
          <w:iCs/>
          <w:color w:val="4472C4" w:themeColor="accent1"/>
          <w:sz w:val="18"/>
        </w:rPr>
        <w:t>[…]</w:t>
      </w:r>
    </w:p>
    <w:p w:rsidR="007F2742" w:rsidRPr="007F2742" w:rsidRDefault="007F2742" w:rsidP="007F2742">
      <w:pPr>
        <w:pStyle w:val="Sinespaciado"/>
        <w:ind w:left="709" w:right="993"/>
        <w:jc w:val="both"/>
        <w:rPr>
          <w:rFonts w:ascii="Arial" w:hAnsi="Arial" w:cs="Arial"/>
          <w:i/>
          <w:iCs/>
          <w:color w:val="4472C4" w:themeColor="accent1"/>
          <w:sz w:val="18"/>
        </w:rPr>
      </w:pPr>
      <w:r w:rsidRPr="007F2742">
        <w:rPr>
          <w:rFonts w:ascii="Arial" w:hAnsi="Arial" w:cs="Arial"/>
          <w:i/>
          <w:iCs/>
          <w:color w:val="4472C4" w:themeColor="accent1"/>
          <w:sz w:val="18"/>
        </w:rPr>
        <w:t>XVI. Formatos accesibles: cualquier manera o forma alternativa que dé acceso a las personas solicitantes de información, en forma tan viable y cómoda como la de las personas sin discapacidad ni otras dificultades para acceder a cualquier texto impreso y/o cualquier otro formato convencional en el que la información pueda encontrarse;</w:t>
      </w:r>
    </w:p>
    <w:p w:rsidR="007F2742" w:rsidRPr="007F2742" w:rsidRDefault="007F2742" w:rsidP="007F2742">
      <w:pPr>
        <w:pStyle w:val="Sinespaciado"/>
        <w:ind w:left="709" w:right="993"/>
        <w:jc w:val="both"/>
        <w:rPr>
          <w:rFonts w:ascii="Arial" w:hAnsi="Arial" w:cs="Arial"/>
          <w:i/>
          <w:iCs/>
          <w:color w:val="4472C4" w:themeColor="accent1"/>
          <w:sz w:val="18"/>
        </w:rPr>
      </w:pPr>
      <w:r w:rsidRPr="007F2742">
        <w:rPr>
          <w:rFonts w:ascii="Arial" w:hAnsi="Arial" w:cs="Arial"/>
          <w:i/>
          <w:iCs/>
          <w:color w:val="4472C4" w:themeColor="accent1"/>
          <w:sz w:val="18"/>
        </w:rPr>
        <w:t>[…]</w:t>
      </w:r>
    </w:p>
    <w:p w:rsidR="007F2742" w:rsidRPr="007F2742" w:rsidRDefault="007F2742" w:rsidP="007F2742">
      <w:pPr>
        <w:pStyle w:val="Sinespaciado"/>
        <w:ind w:left="709" w:right="993"/>
        <w:jc w:val="both"/>
        <w:rPr>
          <w:rFonts w:ascii="Arial" w:hAnsi="Arial" w:cs="Arial"/>
          <w:i/>
          <w:iCs/>
          <w:color w:val="4472C4" w:themeColor="accent1"/>
          <w:sz w:val="18"/>
        </w:rPr>
      </w:pPr>
      <w:r w:rsidRPr="007F2742">
        <w:rPr>
          <w:rFonts w:ascii="Arial" w:hAnsi="Arial" w:cs="Arial"/>
          <w:i/>
          <w:iCs/>
          <w:color w:val="4472C4" w:themeColor="accent1"/>
          <w:sz w:val="18"/>
        </w:rPr>
        <w:lastRenderedPageBreak/>
        <w:t xml:space="preserve">XXVIII. Protección de datos personales: la tutela de datos personales en ejercicio del derecho a la privacidad; </w:t>
      </w:r>
    </w:p>
    <w:p w:rsidR="007F2742" w:rsidRPr="007F2742" w:rsidRDefault="007F2742" w:rsidP="007F2742">
      <w:pPr>
        <w:pStyle w:val="Sinespaciado"/>
        <w:ind w:left="709" w:right="993"/>
        <w:jc w:val="both"/>
        <w:rPr>
          <w:rFonts w:ascii="Arial" w:hAnsi="Arial" w:cs="Arial"/>
          <w:i/>
          <w:iCs/>
          <w:color w:val="4472C4" w:themeColor="accent1"/>
          <w:sz w:val="18"/>
        </w:rPr>
      </w:pPr>
      <w:r w:rsidRPr="007F2742">
        <w:rPr>
          <w:rFonts w:ascii="Arial" w:hAnsi="Arial" w:cs="Arial"/>
          <w:i/>
          <w:iCs/>
          <w:color w:val="4472C4" w:themeColor="accent1"/>
          <w:sz w:val="18"/>
        </w:rPr>
        <w:t>[…]</w:t>
      </w:r>
    </w:p>
    <w:p w:rsidR="007F2742" w:rsidRPr="007F2742" w:rsidRDefault="007F2742" w:rsidP="007F2742">
      <w:pPr>
        <w:pStyle w:val="Sinespaciado"/>
        <w:ind w:left="709" w:right="993"/>
        <w:jc w:val="both"/>
        <w:rPr>
          <w:rFonts w:ascii="Arial" w:hAnsi="Arial" w:cs="Arial"/>
          <w:i/>
          <w:iCs/>
          <w:color w:val="4472C4" w:themeColor="accent1"/>
          <w:sz w:val="18"/>
        </w:rPr>
      </w:pPr>
      <w:r w:rsidRPr="007F2742">
        <w:rPr>
          <w:rFonts w:ascii="Arial" w:hAnsi="Arial" w:cs="Arial"/>
          <w:i/>
          <w:iCs/>
          <w:color w:val="4472C4" w:themeColor="accent1"/>
          <w:sz w:val="18"/>
        </w:rPr>
        <w:t>XXXV. Sujetos Obligados: cualquier autoridad, entidad, órgano y organismo de los poderes, Ejecutivo; Legislativo; y Judicial; órganos autónomos; partidos políticos; candidatas y candidatos independientes; fideicomisos y fondos públicos, así como cualquier persona física, moral o sindicato que reciba y ejerza recursos públicos o realice actos de autoridad en el ámbito estatal y municipal;</w:t>
      </w:r>
    </w:p>
    <w:p w:rsidR="007F2742" w:rsidRPr="007F2742" w:rsidRDefault="007F2742" w:rsidP="007F2742">
      <w:pPr>
        <w:pStyle w:val="Sinespaciado"/>
        <w:ind w:left="709" w:right="993"/>
        <w:jc w:val="both"/>
        <w:rPr>
          <w:rFonts w:ascii="Arial" w:hAnsi="Arial" w:cs="Arial"/>
          <w:i/>
          <w:iCs/>
          <w:color w:val="4472C4" w:themeColor="accent1"/>
          <w:sz w:val="18"/>
        </w:rPr>
      </w:pPr>
      <w:r w:rsidRPr="007F2742">
        <w:rPr>
          <w:rFonts w:ascii="Arial" w:hAnsi="Arial" w:cs="Arial"/>
          <w:i/>
          <w:iCs/>
          <w:color w:val="4472C4" w:themeColor="accent1"/>
          <w:sz w:val="18"/>
        </w:rPr>
        <w:t>[…]</w:t>
      </w:r>
    </w:p>
    <w:p w:rsidR="007F2742" w:rsidRPr="007F2742" w:rsidRDefault="007F2742" w:rsidP="007F2742">
      <w:pPr>
        <w:pStyle w:val="Sinespaciado"/>
        <w:ind w:left="709" w:right="993"/>
        <w:jc w:val="both"/>
        <w:rPr>
          <w:rFonts w:ascii="Arial" w:hAnsi="Arial" w:cs="Arial"/>
          <w:i/>
          <w:iCs/>
          <w:color w:val="4472C4" w:themeColor="accent1"/>
          <w:sz w:val="18"/>
          <w:lang w:val="es-ES"/>
        </w:rPr>
      </w:pPr>
      <w:r w:rsidRPr="007F2742">
        <w:rPr>
          <w:rFonts w:ascii="Arial" w:hAnsi="Arial" w:cs="Arial"/>
          <w:i/>
          <w:iCs/>
          <w:color w:val="4472C4" w:themeColor="accent1"/>
          <w:sz w:val="18"/>
        </w:rPr>
        <w:t>XXXVII. Versión pública: el documento o expediente en el que se da acceso a información, eliminando u omitiendo las partes o secciones clasificadas. Cuando en la presente Ley por cuestiones gramaticales se utilice el genérico masculino, se entenderá que se refiere tanto a hombres como a mujeres, salvo disposición legal en contrario.”</w:t>
      </w:r>
    </w:p>
    <w:p w:rsidR="007F2742" w:rsidRPr="007F2742" w:rsidRDefault="007F2742" w:rsidP="007F2742">
      <w:pPr>
        <w:spacing w:after="0" w:line="240" w:lineRule="auto"/>
        <w:ind w:firstLine="709"/>
        <w:jc w:val="both"/>
        <w:rPr>
          <w:rFonts w:ascii="Arial" w:eastAsia="Arial" w:hAnsi="Arial" w:cs="Arial"/>
          <w:color w:val="4472C4" w:themeColor="accent1"/>
          <w:sz w:val="20"/>
          <w:szCs w:val="24"/>
        </w:rPr>
      </w:pPr>
    </w:p>
    <w:p w:rsidR="007F2742" w:rsidRPr="007F2742" w:rsidRDefault="007F2742" w:rsidP="007F2742">
      <w:pPr>
        <w:spacing w:after="0" w:line="240" w:lineRule="auto"/>
        <w:ind w:firstLine="709"/>
        <w:jc w:val="both"/>
        <w:rPr>
          <w:rFonts w:ascii="Arial" w:eastAsia="Arial" w:hAnsi="Arial" w:cs="Arial"/>
          <w:color w:val="4472C4" w:themeColor="accent1"/>
          <w:sz w:val="20"/>
          <w:szCs w:val="24"/>
        </w:rPr>
      </w:pPr>
    </w:p>
    <w:p w:rsidR="007F2742" w:rsidRPr="007F2742" w:rsidRDefault="007F2742" w:rsidP="007F2742">
      <w:pPr>
        <w:spacing w:after="0" w:line="240" w:lineRule="auto"/>
        <w:ind w:firstLine="567"/>
        <w:jc w:val="both"/>
        <w:rPr>
          <w:rFonts w:ascii="Arial" w:eastAsia="Arial" w:hAnsi="Arial" w:cs="Arial"/>
          <w:color w:val="4472C4" w:themeColor="accent1"/>
          <w:sz w:val="20"/>
          <w:szCs w:val="24"/>
          <w:lang w:val="es-ES" w:eastAsia="es-MX"/>
        </w:rPr>
      </w:pPr>
      <w:r w:rsidRPr="007F2742">
        <w:rPr>
          <w:rFonts w:ascii="Arial" w:eastAsia="Arial" w:hAnsi="Arial" w:cs="Arial"/>
          <w:color w:val="4472C4" w:themeColor="accent1"/>
          <w:sz w:val="20"/>
          <w:szCs w:val="24"/>
          <w:lang w:val="es-ES" w:eastAsia="es-MX"/>
        </w:rPr>
        <w:t xml:space="preserve">De lo anterior, es posible precisar en que consisten los datos personales, siendo estos, cualquier información concerniente a una persona, que permita identificarle, por ser propios de dicha persona, como lo son: </w:t>
      </w:r>
      <w:r w:rsidRPr="007F2742">
        <w:rPr>
          <w:rFonts w:ascii="Arial" w:eastAsia="Arial" w:hAnsi="Arial" w:cs="Arial"/>
          <w:color w:val="4472C4" w:themeColor="accent1"/>
          <w:sz w:val="20"/>
          <w:szCs w:val="24"/>
          <w:lang w:eastAsia="es-MX"/>
        </w:rPr>
        <w:t>su origen étnico o racial, características físicas, morales o emocionales, a su vida afectiva y familiar, domicilio, número telefónico, correo electrónico, patrimonio, ideología y opiniones políticas, afiliación sindical, creencias o convicciones religiosas o filosóficas, los estados de salud físicos o mentales, información genética, preferencia sexual, y otras análogas que afecten su intimidad; en el mismo sentido, define qué son los formatos accesibles, los cuales hacen referencia al formato en que debe ser entregada la información al solicitante; asimismo,</w:t>
      </w:r>
      <w:r w:rsidRPr="007F2742">
        <w:rPr>
          <w:rFonts w:ascii="Arial" w:eastAsia="Arial" w:hAnsi="Arial" w:cs="Arial"/>
          <w:color w:val="4472C4" w:themeColor="accent1"/>
          <w:sz w:val="20"/>
          <w:szCs w:val="24"/>
          <w:lang w:val="es-ES" w:eastAsia="es-MX"/>
        </w:rPr>
        <w:t xml:space="preserve"> establece qué se entiende por protección de datos personales; y por último, da la definición de versión pública, siendo esta, el formato en que se deberá entregar la información solicitada, sí ésta contiene datos personales.</w:t>
      </w:r>
    </w:p>
    <w:p w:rsidR="007F2742" w:rsidRPr="007F2742" w:rsidRDefault="007F2742" w:rsidP="007F2742">
      <w:pPr>
        <w:spacing w:after="0" w:line="240" w:lineRule="auto"/>
        <w:jc w:val="both"/>
        <w:rPr>
          <w:rFonts w:ascii="Arial" w:eastAsia="Arial" w:hAnsi="Arial" w:cs="Arial"/>
          <w:color w:val="4472C4" w:themeColor="accent1"/>
          <w:sz w:val="20"/>
          <w:szCs w:val="24"/>
        </w:rPr>
      </w:pPr>
    </w:p>
    <w:p w:rsidR="007F2742" w:rsidRPr="007F2742" w:rsidRDefault="007F2742" w:rsidP="007F2742">
      <w:pPr>
        <w:spacing w:after="0" w:line="240" w:lineRule="auto"/>
        <w:jc w:val="both"/>
        <w:rPr>
          <w:rFonts w:ascii="Arial" w:eastAsia="Arial" w:hAnsi="Arial" w:cs="Arial"/>
          <w:color w:val="4472C4" w:themeColor="accent1"/>
          <w:sz w:val="20"/>
          <w:szCs w:val="24"/>
        </w:rPr>
      </w:pPr>
    </w:p>
    <w:p w:rsidR="007F2742" w:rsidRPr="007F2742" w:rsidRDefault="007F2742" w:rsidP="007F2742">
      <w:pPr>
        <w:spacing w:after="0" w:line="240" w:lineRule="auto"/>
        <w:ind w:firstLine="708"/>
        <w:jc w:val="both"/>
        <w:rPr>
          <w:rFonts w:ascii="Arial" w:eastAsiaTheme="minorHAnsi" w:hAnsi="Arial" w:cs="Arial"/>
          <w:color w:val="4472C4" w:themeColor="accent1"/>
          <w:sz w:val="20"/>
          <w:szCs w:val="24"/>
          <w:lang w:val="es-ES"/>
        </w:rPr>
      </w:pPr>
      <w:r w:rsidRPr="007F2742">
        <w:rPr>
          <w:rFonts w:ascii="Arial" w:hAnsi="Arial" w:cs="Arial"/>
          <w:color w:val="4472C4" w:themeColor="accent1"/>
          <w:sz w:val="20"/>
          <w:szCs w:val="24"/>
          <w:lang w:val="es-ES"/>
        </w:rPr>
        <w:t>Asimismo, resulta menester precisar lo estipulado por los artículos 4°, fracción y 18 de la Ley de Transparencia y Acceso a la Información Pública del Estado de San Luis Potosí</w:t>
      </w:r>
    </w:p>
    <w:p w:rsidR="007F2742" w:rsidRPr="007F2742" w:rsidRDefault="007F2742" w:rsidP="007F2742">
      <w:pPr>
        <w:spacing w:after="0" w:line="240" w:lineRule="auto"/>
        <w:ind w:firstLine="708"/>
        <w:jc w:val="both"/>
        <w:rPr>
          <w:rFonts w:ascii="Arial" w:eastAsia="Arial" w:hAnsi="Arial" w:cs="Arial"/>
          <w:color w:val="4472C4" w:themeColor="accent1"/>
          <w:sz w:val="20"/>
          <w:szCs w:val="24"/>
        </w:rPr>
      </w:pPr>
    </w:p>
    <w:p w:rsidR="007F2742" w:rsidRPr="007F2742" w:rsidRDefault="007F2742" w:rsidP="007F2742">
      <w:pPr>
        <w:spacing w:line="240" w:lineRule="auto"/>
        <w:ind w:left="709" w:right="993" w:hanging="1"/>
        <w:jc w:val="both"/>
        <w:rPr>
          <w:rFonts w:ascii="Arial" w:eastAsia="Arial" w:hAnsi="Arial" w:cs="Arial"/>
          <w:color w:val="4472C4" w:themeColor="accent1"/>
          <w:sz w:val="18"/>
        </w:rPr>
      </w:pPr>
      <w:r w:rsidRPr="007F2742">
        <w:rPr>
          <w:rFonts w:ascii="Arial" w:eastAsia="Arial" w:hAnsi="Arial" w:cs="Arial"/>
          <w:i/>
          <w:iCs/>
          <w:color w:val="4472C4" w:themeColor="accent1"/>
          <w:sz w:val="18"/>
        </w:rPr>
        <w:t>“ARTÍCULO 4°. El derecho humano de acceso a la información comprende solicitar, investigar, difundir, buscar y recibir información. Toda la información generada, obtenida, adquirida, transformada o en posesión de los sujetos obligados es pública y accesible a cualquier persona en los términos y condiciones que se establezcan en la Ley General; en los tratados internacionales de los que el Estado mexicano sea parte; la esta Ley; y la normatividad aplicable en sus respectivas competencias, sólo podrá ser clasificada excepcionalmente en los términos que fija la ley.”</w:t>
      </w:r>
    </w:p>
    <w:p w:rsidR="007F2742" w:rsidRPr="007F2742" w:rsidRDefault="007F2742" w:rsidP="007F2742">
      <w:pPr>
        <w:spacing w:line="240" w:lineRule="auto"/>
        <w:ind w:firstLine="708"/>
        <w:jc w:val="both"/>
        <w:rPr>
          <w:rFonts w:ascii="Arial" w:eastAsia="Arial" w:hAnsi="Arial" w:cs="Arial"/>
          <w:color w:val="4472C4" w:themeColor="accent1"/>
          <w:sz w:val="18"/>
        </w:rPr>
      </w:pPr>
      <w:r w:rsidRPr="007F2742">
        <w:rPr>
          <w:rFonts w:ascii="Arial" w:eastAsia="Arial" w:hAnsi="Arial" w:cs="Arial"/>
          <w:color w:val="4472C4" w:themeColor="accent1"/>
          <w:sz w:val="18"/>
        </w:rPr>
        <w:t>[…]</w:t>
      </w:r>
    </w:p>
    <w:p w:rsidR="007F2742" w:rsidRPr="007F2742" w:rsidRDefault="007F2742" w:rsidP="007F2742">
      <w:pPr>
        <w:tabs>
          <w:tab w:val="left" w:pos="7938"/>
        </w:tabs>
        <w:spacing w:line="240" w:lineRule="auto"/>
        <w:ind w:left="709" w:right="993" w:hanging="1"/>
        <w:jc w:val="both"/>
        <w:rPr>
          <w:rFonts w:ascii="Arial" w:eastAsia="Arial" w:hAnsi="Arial" w:cs="Arial"/>
          <w:i/>
          <w:iCs/>
          <w:color w:val="4472C4" w:themeColor="accent1"/>
          <w:sz w:val="18"/>
        </w:rPr>
      </w:pPr>
      <w:r w:rsidRPr="007F2742">
        <w:rPr>
          <w:rFonts w:ascii="Arial" w:eastAsia="Arial" w:hAnsi="Arial" w:cs="Arial"/>
          <w:i/>
          <w:iCs/>
          <w:color w:val="4472C4" w:themeColor="accent1"/>
          <w:sz w:val="18"/>
        </w:rPr>
        <w:t>ARTÍCULO 18. Los sujetos obligados deberán documentar todo acto que derive del ejercicio de sus facultades, competencias o funciones.”</w:t>
      </w:r>
    </w:p>
    <w:p w:rsidR="007F2742" w:rsidRPr="007F2742" w:rsidRDefault="007F2742" w:rsidP="007F2742">
      <w:pPr>
        <w:tabs>
          <w:tab w:val="left" w:pos="7938"/>
        </w:tabs>
        <w:spacing w:line="240" w:lineRule="auto"/>
        <w:ind w:right="993"/>
        <w:jc w:val="both"/>
        <w:rPr>
          <w:rFonts w:ascii="Arial" w:eastAsia="Arial" w:hAnsi="Arial" w:cs="Arial"/>
          <w:i/>
          <w:iCs/>
          <w:color w:val="4472C4" w:themeColor="accent1"/>
          <w:sz w:val="20"/>
          <w:szCs w:val="24"/>
        </w:rPr>
      </w:pPr>
      <w:r w:rsidRPr="007F2742">
        <w:rPr>
          <w:rFonts w:ascii="Arial" w:eastAsia="Arial" w:hAnsi="Arial" w:cs="Arial"/>
          <w:i/>
          <w:iCs/>
          <w:color w:val="4472C4" w:themeColor="accent1"/>
          <w:sz w:val="20"/>
          <w:szCs w:val="24"/>
        </w:rPr>
        <w:tab/>
      </w:r>
    </w:p>
    <w:p w:rsidR="007F2742" w:rsidRPr="007F2742" w:rsidRDefault="007F2742" w:rsidP="007F2742">
      <w:pPr>
        <w:spacing w:line="240" w:lineRule="auto"/>
        <w:jc w:val="both"/>
        <w:rPr>
          <w:rFonts w:ascii="Arial" w:eastAsia="Arial" w:hAnsi="Arial" w:cs="Arial"/>
          <w:color w:val="4472C4" w:themeColor="accent1"/>
          <w:sz w:val="20"/>
          <w:szCs w:val="24"/>
        </w:rPr>
      </w:pPr>
      <w:r w:rsidRPr="007F2742">
        <w:rPr>
          <w:rFonts w:ascii="Arial" w:eastAsia="Arial" w:hAnsi="Arial" w:cs="Arial"/>
          <w:color w:val="4472C4" w:themeColor="accent1"/>
          <w:sz w:val="20"/>
          <w:szCs w:val="24"/>
        </w:rPr>
        <w:tab/>
        <w:t>Conforme a lo anterior, el acceso a la información comprende la solicitud, el investigar, difundir buscar y recibir información; señala que toda la información que se encuentra en posesión de los sujetos obligados se considera pública y por ende se puede tener acceso a ella y solo podrá ser clasificada en los casos de reserva señalados en la Ley de la materia; por su parte el artículo 18 de la Ley de la Matera, establece que los sujetos obligados tienen la obligación de documentar todas las actuaciones que se deriven del ejercicio de sus funciones, competencias y facultades.</w:t>
      </w:r>
    </w:p>
    <w:p w:rsidR="007F2742" w:rsidRPr="007F2742" w:rsidRDefault="007F2742" w:rsidP="007F2742">
      <w:pPr>
        <w:spacing w:line="240" w:lineRule="auto"/>
        <w:jc w:val="both"/>
        <w:rPr>
          <w:rFonts w:ascii="Arial" w:eastAsia="Arial" w:hAnsi="Arial" w:cs="Arial"/>
          <w:color w:val="4472C4" w:themeColor="accent1"/>
          <w:sz w:val="20"/>
          <w:szCs w:val="24"/>
        </w:rPr>
      </w:pPr>
    </w:p>
    <w:p w:rsidR="007F2742" w:rsidRPr="007F2742" w:rsidRDefault="007F2742" w:rsidP="007F2742">
      <w:pPr>
        <w:pStyle w:val="Sinespaciado"/>
        <w:ind w:firstLine="567"/>
        <w:jc w:val="both"/>
        <w:rPr>
          <w:rFonts w:ascii="Arial" w:hAnsi="Arial" w:cs="Arial"/>
          <w:color w:val="4472C4" w:themeColor="accent1"/>
          <w:sz w:val="20"/>
          <w:szCs w:val="24"/>
          <w:lang w:val="es-ES"/>
        </w:rPr>
      </w:pPr>
      <w:r w:rsidRPr="007F2742">
        <w:rPr>
          <w:rFonts w:ascii="Arial" w:eastAsia="Arial" w:hAnsi="Arial" w:cs="Arial"/>
          <w:color w:val="4472C4" w:themeColor="accent1"/>
          <w:sz w:val="20"/>
          <w:szCs w:val="24"/>
        </w:rPr>
        <w:tab/>
        <w:t xml:space="preserve">Del mismo modo, es necesario precisar </w:t>
      </w:r>
      <w:r w:rsidRPr="007F2742">
        <w:rPr>
          <w:rFonts w:ascii="Arial" w:hAnsi="Arial" w:cs="Arial"/>
          <w:color w:val="4472C4" w:themeColor="accent1"/>
          <w:sz w:val="20"/>
          <w:szCs w:val="24"/>
          <w:lang w:val="es-ES"/>
        </w:rPr>
        <w:t xml:space="preserve">precisar lo estipulado por los artículos 23, 24, fracción VI, 82, 114, 120, 121, 123, 125 y 138 de la Ley de Transparencia y Acceso a la Información Pública del Estado de San Luis Potosí: </w:t>
      </w:r>
    </w:p>
    <w:p w:rsidR="007F2742" w:rsidRPr="007F2742" w:rsidRDefault="007F2742" w:rsidP="007F2742">
      <w:pPr>
        <w:pStyle w:val="Sinespaciado"/>
        <w:ind w:left="567"/>
        <w:jc w:val="both"/>
        <w:rPr>
          <w:rFonts w:ascii="Arial" w:hAnsi="Arial" w:cs="Arial"/>
          <w:i/>
          <w:iCs/>
          <w:color w:val="4472C4" w:themeColor="accent1"/>
          <w:sz w:val="20"/>
          <w:szCs w:val="24"/>
          <w:lang w:val="es-ES"/>
        </w:rPr>
      </w:pPr>
    </w:p>
    <w:p w:rsidR="007F2742" w:rsidRPr="007F2742" w:rsidRDefault="007F2742" w:rsidP="007F2742">
      <w:pPr>
        <w:ind w:left="567" w:right="709"/>
        <w:jc w:val="both"/>
        <w:rPr>
          <w:rFonts w:ascii="Arial" w:hAnsi="Arial" w:cs="Arial"/>
          <w:i/>
          <w:iCs/>
          <w:color w:val="4472C4" w:themeColor="accent1"/>
          <w:sz w:val="18"/>
        </w:rPr>
      </w:pPr>
      <w:r w:rsidRPr="007F2742">
        <w:rPr>
          <w:rFonts w:ascii="Arial" w:hAnsi="Arial" w:cs="Arial"/>
          <w:i/>
          <w:iCs/>
          <w:color w:val="4472C4" w:themeColor="accent1"/>
          <w:sz w:val="18"/>
        </w:rPr>
        <w:t>“ARTÍCULO 23. Son sujetos obligados a transparentar y permitir el acceso a su información y proteger los datos personales que obren en su poder: cualquier autoridad, entidad, órgano y organismo de los poderes, Ejecutivo; Legislativo; y Judicial; y municipios, órganos autónomos, partidos políticos, candidatas y candidatos independientes, fideicomisos y fondos públicos, así como cualquier persona física, moral o sindicatos que reciban y ejerzan recursos públicos o realicen actos de autoridad en el ámbito estatal y municipal.</w:t>
      </w:r>
    </w:p>
    <w:p w:rsidR="007F2742" w:rsidRPr="007F2742" w:rsidRDefault="007F2742" w:rsidP="007F2742">
      <w:pPr>
        <w:pStyle w:val="Sinespaciado"/>
        <w:ind w:left="567" w:right="993"/>
        <w:jc w:val="both"/>
        <w:rPr>
          <w:rFonts w:ascii="Arial" w:hAnsi="Arial" w:cs="Arial"/>
          <w:i/>
          <w:iCs/>
          <w:color w:val="4472C4" w:themeColor="accent1"/>
          <w:sz w:val="18"/>
        </w:rPr>
      </w:pPr>
      <w:r w:rsidRPr="007F2742">
        <w:rPr>
          <w:rFonts w:ascii="Arial" w:hAnsi="Arial" w:cs="Arial"/>
          <w:i/>
          <w:iCs/>
          <w:color w:val="4472C4" w:themeColor="accent1"/>
          <w:sz w:val="18"/>
        </w:rPr>
        <w:lastRenderedPageBreak/>
        <w:t>ARTÍCULO 24. Para el cumplimiento de los objetivos de esta Ley, los sujetos obligados deberán cumplir con las obligaciones siguientes, según corresponda, de acuerdo a su naturaleza:</w:t>
      </w:r>
    </w:p>
    <w:p w:rsidR="007F2742" w:rsidRPr="007F2742" w:rsidRDefault="007F2742" w:rsidP="007F2742">
      <w:pPr>
        <w:tabs>
          <w:tab w:val="left" w:pos="8222"/>
          <w:tab w:val="left" w:pos="8505"/>
        </w:tabs>
        <w:ind w:left="567" w:right="709"/>
        <w:jc w:val="both"/>
        <w:rPr>
          <w:rFonts w:ascii="Arial" w:hAnsi="Arial" w:cs="Arial"/>
          <w:i/>
          <w:iCs/>
          <w:color w:val="4472C4" w:themeColor="accent1"/>
          <w:sz w:val="18"/>
          <w:lang w:val="es-ES"/>
        </w:rPr>
      </w:pPr>
      <w:r w:rsidRPr="007F2742">
        <w:rPr>
          <w:rFonts w:ascii="Arial" w:hAnsi="Arial" w:cs="Arial"/>
          <w:i/>
          <w:iCs/>
          <w:color w:val="4472C4" w:themeColor="accent1"/>
          <w:sz w:val="18"/>
          <w:lang w:val="es-ES"/>
        </w:rPr>
        <w:t>[…]</w:t>
      </w:r>
    </w:p>
    <w:p w:rsidR="007F2742" w:rsidRPr="007F2742" w:rsidRDefault="007F2742" w:rsidP="007F2742">
      <w:pPr>
        <w:tabs>
          <w:tab w:val="left" w:pos="8222"/>
          <w:tab w:val="left" w:pos="8505"/>
        </w:tabs>
        <w:ind w:left="567" w:right="709"/>
        <w:jc w:val="both"/>
        <w:rPr>
          <w:rFonts w:ascii="Arial" w:hAnsi="Arial" w:cs="Arial"/>
          <w:i/>
          <w:iCs/>
          <w:color w:val="4472C4" w:themeColor="accent1"/>
          <w:sz w:val="18"/>
          <w:lang w:val="es-ES"/>
        </w:rPr>
      </w:pPr>
      <w:r w:rsidRPr="007F2742">
        <w:rPr>
          <w:rFonts w:ascii="Arial" w:hAnsi="Arial" w:cs="Arial"/>
          <w:i/>
          <w:iCs/>
          <w:color w:val="4472C4" w:themeColor="accent1"/>
          <w:sz w:val="18"/>
          <w:lang w:val="es-ES"/>
        </w:rPr>
        <w:t>V. Promover la generación, documentación y publicación de la información en formatos abiertos y accesibles;</w:t>
      </w:r>
    </w:p>
    <w:p w:rsidR="007F2742" w:rsidRPr="007F2742" w:rsidRDefault="007F2742" w:rsidP="007F2742">
      <w:pPr>
        <w:pStyle w:val="Sinespaciado"/>
        <w:ind w:left="567" w:right="993"/>
        <w:jc w:val="both"/>
        <w:rPr>
          <w:rFonts w:ascii="Arial" w:hAnsi="Arial" w:cs="Arial"/>
          <w:i/>
          <w:iCs/>
          <w:color w:val="4472C4" w:themeColor="accent1"/>
          <w:sz w:val="18"/>
        </w:rPr>
      </w:pPr>
      <w:r w:rsidRPr="007F2742">
        <w:rPr>
          <w:rFonts w:ascii="Arial" w:hAnsi="Arial" w:cs="Arial"/>
          <w:i/>
          <w:iCs/>
          <w:color w:val="4472C4" w:themeColor="accent1"/>
          <w:sz w:val="18"/>
        </w:rPr>
        <w:t>VI. Proteger y resguardar la información clasificada como reservada o confidencial;”</w:t>
      </w:r>
    </w:p>
    <w:p w:rsidR="007F2742" w:rsidRPr="007F2742" w:rsidRDefault="007F2742" w:rsidP="007F2742">
      <w:pPr>
        <w:pStyle w:val="Sinespaciado"/>
        <w:ind w:left="567" w:right="993"/>
        <w:jc w:val="both"/>
        <w:rPr>
          <w:rFonts w:ascii="Arial" w:hAnsi="Arial" w:cs="Arial"/>
          <w:i/>
          <w:iCs/>
          <w:color w:val="4472C4" w:themeColor="accent1"/>
          <w:sz w:val="18"/>
        </w:rPr>
      </w:pPr>
      <w:r w:rsidRPr="007F2742">
        <w:rPr>
          <w:rFonts w:ascii="Arial" w:hAnsi="Arial" w:cs="Arial"/>
          <w:i/>
          <w:iCs/>
          <w:color w:val="4472C4" w:themeColor="accent1"/>
          <w:sz w:val="18"/>
        </w:rPr>
        <w:t>[…]</w:t>
      </w:r>
    </w:p>
    <w:p w:rsidR="007F2742" w:rsidRPr="007F2742" w:rsidRDefault="007F2742" w:rsidP="007F2742">
      <w:pPr>
        <w:pStyle w:val="Sinespaciado"/>
        <w:ind w:left="567" w:right="993"/>
        <w:jc w:val="both"/>
        <w:rPr>
          <w:rFonts w:ascii="Arial" w:hAnsi="Arial" w:cs="Arial"/>
          <w:i/>
          <w:iCs/>
          <w:color w:val="4472C4" w:themeColor="accent1"/>
          <w:sz w:val="18"/>
        </w:rPr>
      </w:pPr>
      <w:r w:rsidRPr="007F2742">
        <w:rPr>
          <w:rFonts w:ascii="Arial" w:hAnsi="Arial" w:cs="Arial"/>
          <w:i/>
          <w:iCs/>
          <w:color w:val="4472C4" w:themeColor="accent1"/>
          <w:sz w:val="18"/>
        </w:rPr>
        <w:t xml:space="preserve">ARTÍCULO 82. Los sujetos obligados serán responsables de los datos personales en su posesión y, en relación con éstos, deberán: </w:t>
      </w:r>
    </w:p>
    <w:p w:rsidR="007F2742" w:rsidRPr="007F2742" w:rsidRDefault="007F2742" w:rsidP="007F2742">
      <w:pPr>
        <w:pStyle w:val="Sinespaciado"/>
        <w:ind w:left="567" w:right="993"/>
        <w:jc w:val="both"/>
        <w:rPr>
          <w:rFonts w:ascii="Arial" w:hAnsi="Arial" w:cs="Arial"/>
          <w:i/>
          <w:iCs/>
          <w:color w:val="4472C4" w:themeColor="accent1"/>
          <w:sz w:val="18"/>
        </w:rPr>
      </w:pPr>
      <w:r w:rsidRPr="007F2742">
        <w:rPr>
          <w:rFonts w:ascii="Arial" w:hAnsi="Arial" w:cs="Arial"/>
          <w:i/>
          <w:iCs/>
          <w:color w:val="4472C4" w:themeColor="accent1"/>
          <w:sz w:val="18"/>
        </w:rPr>
        <w:t xml:space="preserve">I. Adoptar los procedimientos adecuados para recibir y responder las solicitudes de acceso, rectificación, corrección y oposición al tratamiento de datos, en los casos que sea procedente, así como capacitar a los servidores públicos y dar a conocer información sobre sus políticas en relación con la protección de tales datos, de conformidad con la normatividad aplicable; </w:t>
      </w:r>
    </w:p>
    <w:p w:rsidR="007F2742" w:rsidRPr="007F2742" w:rsidRDefault="007F2742" w:rsidP="007F2742">
      <w:pPr>
        <w:pStyle w:val="Sinespaciado"/>
        <w:ind w:left="567" w:right="993"/>
        <w:jc w:val="both"/>
        <w:rPr>
          <w:rFonts w:ascii="Arial" w:hAnsi="Arial" w:cs="Arial"/>
          <w:i/>
          <w:iCs/>
          <w:color w:val="4472C4" w:themeColor="accent1"/>
          <w:sz w:val="18"/>
        </w:rPr>
      </w:pPr>
      <w:r w:rsidRPr="007F2742">
        <w:rPr>
          <w:rFonts w:ascii="Arial" w:hAnsi="Arial" w:cs="Arial"/>
          <w:i/>
          <w:iCs/>
          <w:color w:val="4472C4" w:themeColor="accent1"/>
          <w:sz w:val="18"/>
        </w:rPr>
        <w:t xml:space="preserve">II. Tratar datos personales sólo cuando éstos sean adecuados, pertinentes y no excesivos en relación con los propósitos para los cuales se hayan obtenido, o dicho tratamiento se haga en ejercicio de las atribuciones conferidas por ley; </w:t>
      </w:r>
    </w:p>
    <w:p w:rsidR="007F2742" w:rsidRPr="007F2742" w:rsidRDefault="007F2742" w:rsidP="007F2742">
      <w:pPr>
        <w:pStyle w:val="Sinespaciado"/>
        <w:ind w:left="567" w:right="993"/>
        <w:jc w:val="both"/>
        <w:rPr>
          <w:rFonts w:ascii="Arial" w:hAnsi="Arial" w:cs="Arial"/>
          <w:i/>
          <w:iCs/>
          <w:color w:val="4472C4" w:themeColor="accent1"/>
          <w:sz w:val="18"/>
        </w:rPr>
      </w:pPr>
      <w:r w:rsidRPr="007F2742">
        <w:rPr>
          <w:rFonts w:ascii="Arial" w:hAnsi="Arial" w:cs="Arial"/>
          <w:i/>
          <w:iCs/>
          <w:color w:val="4472C4" w:themeColor="accent1"/>
          <w:sz w:val="18"/>
        </w:rPr>
        <w:t xml:space="preserve">III. Poner a disposición de los individuos, a partir del momento en el cual se recaben datos personales, el documento en el que se establezcan los propósitos para su tratamiento, en términos de la normatividad aplicable, excepto en casos en que el tratamiento de los datos se haga en ejercicio de las atribuciones conferidas por ley; </w:t>
      </w:r>
    </w:p>
    <w:p w:rsidR="007F2742" w:rsidRPr="007F2742" w:rsidRDefault="007F2742" w:rsidP="007F2742">
      <w:pPr>
        <w:pStyle w:val="Sinespaciado"/>
        <w:ind w:left="567" w:right="993"/>
        <w:jc w:val="both"/>
        <w:rPr>
          <w:rFonts w:ascii="Arial" w:hAnsi="Arial" w:cs="Arial"/>
          <w:i/>
          <w:iCs/>
          <w:color w:val="4472C4" w:themeColor="accent1"/>
          <w:sz w:val="18"/>
        </w:rPr>
      </w:pPr>
      <w:r w:rsidRPr="007F2742">
        <w:rPr>
          <w:rFonts w:ascii="Arial" w:hAnsi="Arial" w:cs="Arial"/>
          <w:i/>
          <w:iCs/>
          <w:color w:val="4472C4" w:themeColor="accent1"/>
          <w:sz w:val="18"/>
        </w:rPr>
        <w:t xml:space="preserve">IV. Procurar que los datos personales sean exactos y actualizados; </w:t>
      </w:r>
    </w:p>
    <w:p w:rsidR="007F2742" w:rsidRPr="007F2742" w:rsidRDefault="007F2742" w:rsidP="007F2742">
      <w:pPr>
        <w:pStyle w:val="Sinespaciado"/>
        <w:ind w:left="567" w:right="993"/>
        <w:jc w:val="both"/>
        <w:rPr>
          <w:rFonts w:ascii="Arial" w:hAnsi="Arial" w:cs="Arial"/>
          <w:i/>
          <w:iCs/>
          <w:color w:val="4472C4" w:themeColor="accent1"/>
          <w:sz w:val="18"/>
        </w:rPr>
      </w:pPr>
      <w:r w:rsidRPr="007F2742">
        <w:rPr>
          <w:rFonts w:ascii="Arial" w:hAnsi="Arial" w:cs="Arial"/>
          <w:i/>
          <w:iCs/>
          <w:color w:val="4472C4" w:themeColor="accent1"/>
          <w:sz w:val="18"/>
        </w:rPr>
        <w:t xml:space="preserve">V. Sustituir, rectificar o completar, de oficio, los datos personales que fueren inexactos, ya sea total o parcialmente, o incompletos, en el momento en que tengan conocimiento de esta situación, y </w:t>
      </w:r>
    </w:p>
    <w:p w:rsidR="007F2742" w:rsidRPr="007F2742" w:rsidRDefault="007F2742" w:rsidP="007F2742">
      <w:pPr>
        <w:pStyle w:val="Sinespaciado"/>
        <w:ind w:left="567" w:right="993"/>
        <w:jc w:val="both"/>
        <w:rPr>
          <w:rFonts w:ascii="Arial" w:hAnsi="Arial" w:cs="Arial"/>
          <w:i/>
          <w:iCs/>
          <w:color w:val="4472C4" w:themeColor="accent1"/>
          <w:sz w:val="18"/>
        </w:rPr>
      </w:pPr>
      <w:r w:rsidRPr="007F2742">
        <w:rPr>
          <w:rFonts w:ascii="Arial" w:hAnsi="Arial" w:cs="Arial"/>
          <w:i/>
          <w:iCs/>
          <w:color w:val="4472C4" w:themeColor="accent1"/>
          <w:sz w:val="18"/>
        </w:rPr>
        <w:t xml:space="preserve">VI. Adoptar las medidas necesarias que garanticen la seguridad de los datos personales y eviten su alteración, pérdida, transmisión y acceso no autorizado. </w:t>
      </w:r>
    </w:p>
    <w:p w:rsidR="007F2742" w:rsidRPr="007F2742" w:rsidRDefault="007F2742" w:rsidP="007F2742">
      <w:pPr>
        <w:pStyle w:val="Sinespaciado"/>
        <w:ind w:left="567" w:right="993"/>
        <w:jc w:val="both"/>
        <w:rPr>
          <w:rFonts w:ascii="Arial" w:hAnsi="Arial" w:cs="Arial"/>
          <w:i/>
          <w:iCs/>
          <w:color w:val="4472C4" w:themeColor="accent1"/>
          <w:sz w:val="18"/>
        </w:rPr>
      </w:pPr>
      <w:r w:rsidRPr="007F2742">
        <w:rPr>
          <w:rFonts w:ascii="Arial" w:hAnsi="Arial" w:cs="Arial"/>
          <w:i/>
          <w:iCs/>
          <w:color w:val="4472C4" w:themeColor="accent1"/>
          <w:sz w:val="18"/>
        </w:rPr>
        <w:t>Los sujetos obligados no podrán difundir, distribuir o comercializar los datos personales contenidos en los sistemas de información, desarrollados en el ejercicio de sus funciones, salvo que haya mediado el consentimiento expreso, por escrito o por un medio de autenticación similar, de los individuos a que haga referencia la información de acuerdo a la normatividad aplicable. Lo anterior, sin perjuicio a lo establecido por el artículo 73 fracción XXIX-S de la Constitución Política de los Estados Unidos Mexicanos y lo que establece el artículo 142 de esta Ley.</w:t>
      </w:r>
    </w:p>
    <w:p w:rsidR="007F2742" w:rsidRPr="007F2742" w:rsidRDefault="007F2742" w:rsidP="007F2742">
      <w:pPr>
        <w:pStyle w:val="Sinespaciado"/>
        <w:ind w:left="567" w:right="993"/>
        <w:jc w:val="both"/>
        <w:rPr>
          <w:rFonts w:ascii="Arial" w:hAnsi="Arial" w:cs="Arial"/>
          <w:i/>
          <w:iCs/>
          <w:color w:val="4472C4" w:themeColor="accent1"/>
          <w:sz w:val="18"/>
        </w:rPr>
      </w:pPr>
      <w:r w:rsidRPr="007F2742">
        <w:rPr>
          <w:rFonts w:ascii="Arial" w:hAnsi="Arial" w:cs="Arial"/>
          <w:i/>
          <w:iCs/>
          <w:color w:val="4472C4" w:themeColor="accent1"/>
          <w:sz w:val="18"/>
        </w:rPr>
        <w:t>[…]</w:t>
      </w:r>
    </w:p>
    <w:p w:rsidR="007F2742" w:rsidRPr="007F2742" w:rsidRDefault="007F2742" w:rsidP="007F2742">
      <w:pPr>
        <w:pStyle w:val="Sinespaciado"/>
        <w:ind w:left="567" w:right="993"/>
        <w:jc w:val="both"/>
        <w:rPr>
          <w:rFonts w:ascii="Arial" w:hAnsi="Arial" w:cs="Arial"/>
          <w:i/>
          <w:iCs/>
          <w:color w:val="4472C4" w:themeColor="accent1"/>
          <w:sz w:val="18"/>
          <w:lang w:val="es-ES"/>
        </w:rPr>
      </w:pPr>
      <w:r w:rsidRPr="007F2742">
        <w:rPr>
          <w:rFonts w:ascii="Arial" w:hAnsi="Arial" w:cs="Arial"/>
          <w:b/>
          <w:bCs/>
          <w:i/>
          <w:iCs/>
          <w:color w:val="4472C4" w:themeColor="accent1"/>
          <w:sz w:val="18"/>
        </w:rPr>
        <w:t xml:space="preserve">ARTÍCULO 113. </w:t>
      </w:r>
      <w:r w:rsidRPr="007F2742">
        <w:rPr>
          <w:rFonts w:ascii="Arial" w:hAnsi="Arial" w:cs="Arial"/>
          <w:i/>
          <w:iCs/>
          <w:color w:val="4472C4" w:themeColor="accent1"/>
          <w:sz w:val="18"/>
        </w:rPr>
        <w:t>Las figuras jurídicas de excepción al derecho de acceso a la información pública, son las de información reservada, e información confidencial.</w:t>
      </w:r>
    </w:p>
    <w:p w:rsidR="007F2742" w:rsidRPr="007F2742" w:rsidRDefault="007F2742" w:rsidP="007F2742">
      <w:pPr>
        <w:pStyle w:val="Sinespaciado"/>
        <w:ind w:left="567" w:right="993"/>
        <w:jc w:val="both"/>
        <w:rPr>
          <w:rFonts w:ascii="Arial" w:hAnsi="Arial" w:cs="Arial"/>
          <w:i/>
          <w:iCs/>
          <w:color w:val="4472C4" w:themeColor="accent1"/>
          <w:sz w:val="18"/>
          <w:lang w:val="es-ES"/>
        </w:rPr>
      </w:pPr>
      <w:r w:rsidRPr="007F2742">
        <w:rPr>
          <w:rFonts w:ascii="Arial" w:hAnsi="Arial" w:cs="Arial"/>
          <w:i/>
          <w:iCs/>
          <w:color w:val="4472C4" w:themeColor="accent1"/>
          <w:sz w:val="18"/>
          <w:lang w:val="es-ES"/>
        </w:rPr>
        <w:t xml:space="preserve">ARTÍCULO 114. La clasificación es el proceso mediante el cual el sujeto obligado determina que la información en su poder actualiza alguno de los supuestos de reserva o confidencialidad, de conformidad con lo dispuesto en el presente Título. </w:t>
      </w:r>
    </w:p>
    <w:p w:rsidR="007F2742" w:rsidRPr="007F2742" w:rsidRDefault="007F2742" w:rsidP="007F2742">
      <w:pPr>
        <w:pStyle w:val="Sinespaciado"/>
        <w:ind w:left="567" w:right="993"/>
        <w:jc w:val="both"/>
        <w:rPr>
          <w:rFonts w:ascii="Arial" w:hAnsi="Arial" w:cs="Arial"/>
          <w:i/>
          <w:iCs/>
          <w:color w:val="4472C4" w:themeColor="accent1"/>
          <w:sz w:val="18"/>
          <w:lang w:val="es-ES"/>
        </w:rPr>
      </w:pPr>
      <w:r w:rsidRPr="007F2742">
        <w:rPr>
          <w:rFonts w:ascii="Arial" w:hAnsi="Arial" w:cs="Arial"/>
          <w:i/>
          <w:iCs/>
          <w:color w:val="4472C4" w:themeColor="accent1"/>
          <w:sz w:val="18"/>
          <w:lang w:val="es-ES"/>
        </w:rPr>
        <w:t>[…]</w:t>
      </w:r>
    </w:p>
    <w:p w:rsidR="007F2742" w:rsidRPr="007F2742" w:rsidRDefault="007F2742" w:rsidP="007F2742">
      <w:pPr>
        <w:pStyle w:val="Sinespaciado"/>
        <w:ind w:left="567" w:right="993"/>
        <w:jc w:val="both"/>
        <w:rPr>
          <w:rFonts w:ascii="Arial" w:hAnsi="Arial" w:cs="Arial"/>
          <w:i/>
          <w:iCs/>
          <w:color w:val="4472C4" w:themeColor="accent1"/>
          <w:sz w:val="18"/>
          <w:lang w:val="es-ES"/>
        </w:rPr>
      </w:pPr>
      <w:r w:rsidRPr="007F2742">
        <w:rPr>
          <w:rFonts w:ascii="Arial" w:hAnsi="Arial" w:cs="Arial"/>
          <w:i/>
          <w:iCs/>
          <w:color w:val="4472C4" w:themeColor="accent1"/>
          <w:sz w:val="18"/>
          <w:lang w:val="es-ES"/>
        </w:rPr>
        <w:t>ARTÍCULO 120. La clasificación de la información se llevará a cabo en el momento en que:</w:t>
      </w:r>
    </w:p>
    <w:p w:rsidR="007F2742" w:rsidRPr="007F2742" w:rsidRDefault="007F2742" w:rsidP="007F2742">
      <w:pPr>
        <w:pStyle w:val="Sinespaciado"/>
        <w:numPr>
          <w:ilvl w:val="0"/>
          <w:numId w:val="31"/>
        </w:numPr>
        <w:ind w:left="567" w:right="993" w:firstLine="0"/>
        <w:jc w:val="both"/>
        <w:rPr>
          <w:rFonts w:ascii="Arial" w:hAnsi="Arial" w:cs="Arial"/>
          <w:i/>
          <w:iCs/>
          <w:color w:val="4472C4" w:themeColor="accent1"/>
          <w:sz w:val="18"/>
          <w:lang w:val="es-ES"/>
        </w:rPr>
      </w:pPr>
      <w:r w:rsidRPr="007F2742">
        <w:rPr>
          <w:rFonts w:ascii="Arial" w:hAnsi="Arial" w:cs="Arial"/>
          <w:i/>
          <w:iCs/>
          <w:color w:val="4472C4" w:themeColor="accent1"/>
          <w:sz w:val="18"/>
          <w:lang w:val="es-ES"/>
        </w:rPr>
        <w:t xml:space="preserve">Se reciba una solicitud de acceso a la información; </w:t>
      </w:r>
    </w:p>
    <w:p w:rsidR="007F2742" w:rsidRPr="007F2742" w:rsidRDefault="007F2742" w:rsidP="007F2742">
      <w:pPr>
        <w:pStyle w:val="Sinespaciado"/>
        <w:numPr>
          <w:ilvl w:val="0"/>
          <w:numId w:val="31"/>
        </w:numPr>
        <w:ind w:left="567" w:right="993" w:firstLine="0"/>
        <w:jc w:val="both"/>
        <w:rPr>
          <w:rFonts w:ascii="Arial" w:hAnsi="Arial" w:cs="Arial"/>
          <w:i/>
          <w:iCs/>
          <w:color w:val="4472C4" w:themeColor="accent1"/>
          <w:sz w:val="18"/>
          <w:lang w:val="es-ES"/>
        </w:rPr>
      </w:pPr>
      <w:r w:rsidRPr="007F2742">
        <w:rPr>
          <w:rFonts w:ascii="Arial" w:hAnsi="Arial" w:cs="Arial"/>
          <w:i/>
          <w:iCs/>
          <w:color w:val="4472C4" w:themeColor="accent1"/>
          <w:sz w:val="18"/>
          <w:lang w:val="es-ES"/>
        </w:rPr>
        <w:t>Se determine mediante resolución de autoridad competente, o</w:t>
      </w:r>
    </w:p>
    <w:p w:rsidR="007F2742" w:rsidRPr="007F2742" w:rsidRDefault="007F2742" w:rsidP="007F2742">
      <w:pPr>
        <w:pStyle w:val="Sinespaciado"/>
        <w:ind w:left="567" w:right="993"/>
        <w:jc w:val="both"/>
        <w:rPr>
          <w:rFonts w:ascii="Arial" w:hAnsi="Arial" w:cs="Arial"/>
          <w:i/>
          <w:iCs/>
          <w:color w:val="4472C4" w:themeColor="accent1"/>
          <w:sz w:val="18"/>
          <w:lang w:val="es-ES"/>
        </w:rPr>
      </w:pPr>
      <w:r w:rsidRPr="007F2742">
        <w:rPr>
          <w:rFonts w:ascii="Arial" w:hAnsi="Arial" w:cs="Arial"/>
          <w:i/>
          <w:iCs/>
          <w:color w:val="4472C4" w:themeColor="accent1"/>
          <w:sz w:val="18"/>
          <w:lang w:val="es-ES"/>
        </w:rPr>
        <w:t xml:space="preserve">III. </w:t>
      </w:r>
      <w:r w:rsidRPr="007F2742">
        <w:rPr>
          <w:rFonts w:ascii="Arial" w:hAnsi="Arial" w:cs="Arial"/>
          <w:i/>
          <w:iCs/>
          <w:color w:val="4472C4" w:themeColor="accent1"/>
          <w:sz w:val="18"/>
          <w:lang w:val="es-ES"/>
        </w:rPr>
        <w:tab/>
      </w:r>
      <w:r w:rsidRPr="007F2742">
        <w:rPr>
          <w:rFonts w:ascii="Arial" w:hAnsi="Arial" w:cs="Arial"/>
          <w:i/>
          <w:iCs/>
          <w:color w:val="4472C4" w:themeColor="accent1"/>
          <w:sz w:val="18"/>
          <w:u w:val="single"/>
          <w:lang w:val="es-ES"/>
        </w:rPr>
        <w:t>Se generen versiones públicas para dar cumplimiento a las obligaciones de transparencia previstas en esta Ley</w:t>
      </w:r>
      <w:r w:rsidRPr="007F2742">
        <w:rPr>
          <w:rFonts w:ascii="Arial" w:hAnsi="Arial" w:cs="Arial"/>
          <w:i/>
          <w:iCs/>
          <w:color w:val="4472C4" w:themeColor="accent1"/>
          <w:sz w:val="18"/>
          <w:lang w:val="es-ES"/>
        </w:rPr>
        <w:t>.</w:t>
      </w:r>
    </w:p>
    <w:p w:rsidR="007F2742" w:rsidRPr="007F2742" w:rsidRDefault="007F2742" w:rsidP="007F2742">
      <w:pPr>
        <w:pStyle w:val="Sinespaciado"/>
        <w:ind w:left="567" w:right="993"/>
        <w:jc w:val="both"/>
        <w:rPr>
          <w:rFonts w:ascii="Arial" w:hAnsi="Arial" w:cs="Arial"/>
          <w:i/>
          <w:iCs/>
          <w:color w:val="4472C4" w:themeColor="accent1"/>
          <w:sz w:val="18"/>
          <w:lang w:val="es-ES"/>
        </w:rPr>
      </w:pPr>
      <w:r w:rsidRPr="007F2742">
        <w:rPr>
          <w:rFonts w:ascii="Arial" w:hAnsi="Arial" w:cs="Arial"/>
          <w:i/>
          <w:iCs/>
          <w:color w:val="4472C4" w:themeColor="accent1"/>
          <w:sz w:val="18"/>
          <w:lang w:val="es-ES"/>
        </w:rPr>
        <w:t xml:space="preserve">ARTÍCULO 121. Los Documentos clasificados parcial o totalmente </w:t>
      </w:r>
      <w:r w:rsidRPr="007F2742">
        <w:rPr>
          <w:rFonts w:ascii="Arial" w:hAnsi="Arial" w:cs="Arial"/>
          <w:b/>
          <w:bCs/>
          <w:i/>
          <w:iCs/>
          <w:color w:val="4472C4" w:themeColor="accent1"/>
          <w:sz w:val="18"/>
          <w:u w:val="single"/>
          <w:lang w:val="es-ES"/>
        </w:rPr>
        <w:t>deberán llevar una leyenda que indique tal carácter, la fecha de la clasificación, el fundamento legal y, en su caso, el periodo de reserva</w:t>
      </w:r>
      <w:r w:rsidRPr="007F2742">
        <w:rPr>
          <w:rFonts w:ascii="Arial" w:hAnsi="Arial" w:cs="Arial"/>
          <w:i/>
          <w:iCs/>
          <w:color w:val="4472C4" w:themeColor="accent1"/>
          <w:sz w:val="18"/>
          <w:lang w:val="es-ES"/>
        </w:rPr>
        <w:t>.</w:t>
      </w:r>
    </w:p>
    <w:p w:rsidR="007F2742" w:rsidRPr="007F2742" w:rsidRDefault="007F2742" w:rsidP="007F2742">
      <w:pPr>
        <w:pStyle w:val="Sinespaciado"/>
        <w:ind w:left="567" w:right="993"/>
        <w:jc w:val="both"/>
        <w:rPr>
          <w:rFonts w:ascii="Arial" w:hAnsi="Arial" w:cs="Arial"/>
          <w:i/>
          <w:iCs/>
          <w:color w:val="4472C4" w:themeColor="accent1"/>
          <w:sz w:val="18"/>
          <w:lang w:val="es-ES"/>
        </w:rPr>
      </w:pPr>
      <w:r w:rsidRPr="007F2742">
        <w:rPr>
          <w:rFonts w:ascii="Arial" w:hAnsi="Arial" w:cs="Arial"/>
          <w:i/>
          <w:iCs/>
          <w:color w:val="4472C4" w:themeColor="accent1"/>
          <w:sz w:val="18"/>
          <w:lang w:val="es-ES"/>
        </w:rPr>
        <w:t>[…]</w:t>
      </w:r>
    </w:p>
    <w:p w:rsidR="007F2742" w:rsidRPr="007F2742" w:rsidRDefault="007F2742" w:rsidP="007F2742">
      <w:pPr>
        <w:pStyle w:val="Sinespaciado"/>
        <w:ind w:left="567" w:right="993"/>
        <w:jc w:val="both"/>
        <w:rPr>
          <w:rFonts w:ascii="Arial" w:hAnsi="Arial" w:cs="Arial"/>
          <w:i/>
          <w:iCs/>
          <w:color w:val="4472C4" w:themeColor="accent1"/>
          <w:sz w:val="18"/>
          <w:lang w:val="es-ES"/>
        </w:rPr>
      </w:pPr>
      <w:r w:rsidRPr="007F2742">
        <w:rPr>
          <w:rFonts w:ascii="Arial" w:hAnsi="Arial" w:cs="Arial"/>
          <w:i/>
          <w:iCs/>
          <w:color w:val="4472C4" w:themeColor="accent1"/>
          <w:sz w:val="18"/>
          <w:lang w:val="es-ES"/>
        </w:rPr>
        <w:t xml:space="preserve">ARTÍCULO 125. </w:t>
      </w:r>
      <w:r w:rsidRPr="007F2742">
        <w:rPr>
          <w:rFonts w:ascii="Arial" w:hAnsi="Arial" w:cs="Arial"/>
          <w:b/>
          <w:bCs/>
          <w:i/>
          <w:iCs/>
          <w:color w:val="4472C4" w:themeColor="accent1"/>
          <w:sz w:val="18"/>
          <w:lang w:val="es-ES"/>
        </w:rPr>
        <w:t>Cuando un Documento contenga partes o secciones reservadas o confidenciales, los sujetos obligados, para efectos de atender una solicitud de información, deberán elaborar una Versión Pública en la que se testen las partes o secciones clasificadas, indicando su contenido de manera genérica y fundando y motivando su clasificación</w:t>
      </w:r>
      <w:r w:rsidRPr="007F2742">
        <w:rPr>
          <w:rFonts w:ascii="Arial" w:hAnsi="Arial" w:cs="Arial"/>
          <w:i/>
          <w:iCs/>
          <w:color w:val="4472C4" w:themeColor="accent1"/>
          <w:sz w:val="18"/>
          <w:lang w:val="es-ES"/>
        </w:rPr>
        <w:t>. […]”</w:t>
      </w:r>
    </w:p>
    <w:p w:rsidR="007F2742" w:rsidRPr="007F2742" w:rsidRDefault="007F2742" w:rsidP="007F2742">
      <w:pPr>
        <w:pStyle w:val="Sinespaciado"/>
        <w:ind w:left="567" w:right="993"/>
        <w:jc w:val="both"/>
        <w:rPr>
          <w:rFonts w:ascii="Arial" w:hAnsi="Arial" w:cs="Arial"/>
          <w:color w:val="4472C4" w:themeColor="accent1"/>
          <w:sz w:val="20"/>
          <w:szCs w:val="24"/>
          <w:lang w:val="es-ES"/>
        </w:rPr>
      </w:pPr>
    </w:p>
    <w:p w:rsidR="007F2742" w:rsidRPr="007F2742" w:rsidRDefault="007F2742" w:rsidP="007F2742">
      <w:pPr>
        <w:pStyle w:val="Sinespaciado"/>
        <w:ind w:firstLine="567"/>
        <w:jc w:val="both"/>
        <w:rPr>
          <w:rFonts w:ascii="Arial" w:hAnsi="Arial" w:cs="Arial"/>
          <w:color w:val="4472C4" w:themeColor="accent1"/>
          <w:sz w:val="20"/>
          <w:szCs w:val="24"/>
          <w:lang w:val="es-ES"/>
        </w:rPr>
      </w:pPr>
      <w:r w:rsidRPr="007F2742">
        <w:rPr>
          <w:rFonts w:ascii="Arial" w:hAnsi="Arial" w:cs="Arial"/>
          <w:color w:val="4472C4" w:themeColor="accent1"/>
          <w:sz w:val="20"/>
          <w:szCs w:val="24"/>
          <w:lang w:val="es-ES"/>
        </w:rPr>
        <w:t>De lo anterior transcrito, específicamente de los artículos 24, fracción VI y 82, de la Ley de Transparencia y Acceso a la Información Pública del Estado de San Luis Potosí se advierte la obligación que ostenta el sujeto obligado, específicamente la de resguardar los datos personales que tenga en su poder, el tratamiento que debe darles a estos y, la forma de proceder ante ellos.</w:t>
      </w:r>
    </w:p>
    <w:p w:rsidR="007F2742" w:rsidRPr="007F2742" w:rsidRDefault="007F2742" w:rsidP="007F2742">
      <w:pPr>
        <w:pStyle w:val="Sinespaciado"/>
        <w:ind w:firstLine="567"/>
        <w:jc w:val="both"/>
        <w:rPr>
          <w:rFonts w:ascii="Arial" w:hAnsi="Arial" w:cs="Arial"/>
          <w:color w:val="4472C4" w:themeColor="accent1"/>
          <w:sz w:val="20"/>
          <w:szCs w:val="24"/>
          <w:lang w:val="es-ES"/>
        </w:rPr>
      </w:pPr>
    </w:p>
    <w:p w:rsidR="007F2742" w:rsidRPr="007F2742" w:rsidRDefault="007F2742" w:rsidP="007F2742">
      <w:pPr>
        <w:pStyle w:val="Sinespaciado"/>
        <w:ind w:firstLine="567"/>
        <w:jc w:val="both"/>
        <w:rPr>
          <w:rFonts w:ascii="Arial" w:hAnsi="Arial" w:cs="Arial"/>
          <w:color w:val="4472C4" w:themeColor="accent1"/>
          <w:sz w:val="20"/>
          <w:szCs w:val="24"/>
          <w:lang w:val="es-ES"/>
        </w:rPr>
      </w:pPr>
      <w:r w:rsidRPr="007F2742">
        <w:rPr>
          <w:rFonts w:ascii="Arial" w:hAnsi="Arial" w:cs="Arial"/>
          <w:color w:val="4472C4" w:themeColor="accent1"/>
          <w:sz w:val="20"/>
          <w:szCs w:val="24"/>
          <w:lang w:val="es-ES"/>
        </w:rPr>
        <w:t xml:space="preserve">Ahora bien, del artículo 114, de la Ley que nos ocupa, se desprende que la “clasificación” es el procedimiento por el cual el sujeto obligado a la publicación de información “pública”, determina cual información en su poder puede ser catalogada como información reservada o confidencial. </w:t>
      </w:r>
    </w:p>
    <w:p w:rsidR="007F2742" w:rsidRPr="007F2742" w:rsidRDefault="007F2742" w:rsidP="007F2742">
      <w:pPr>
        <w:pStyle w:val="Sinespaciado"/>
        <w:ind w:firstLine="567"/>
        <w:jc w:val="both"/>
        <w:rPr>
          <w:rFonts w:ascii="Arial" w:hAnsi="Arial" w:cs="Arial"/>
          <w:color w:val="4472C4" w:themeColor="accent1"/>
          <w:sz w:val="20"/>
          <w:szCs w:val="24"/>
          <w:lang w:val="es-ES"/>
        </w:rPr>
      </w:pPr>
      <w:r w:rsidRPr="007F2742">
        <w:rPr>
          <w:rFonts w:ascii="Arial" w:hAnsi="Arial" w:cs="Arial"/>
          <w:color w:val="4472C4" w:themeColor="accent1"/>
          <w:sz w:val="20"/>
          <w:szCs w:val="24"/>
          <w:lang w:val="es-ES"/>
        </w:rPr>
        <w:t xml:space="preserve"> </w:t>
      </w:r>
    </w:p>
    <w:p w:rsidR="007F2742" w:rsidRPr="007F2742" w:rsidRDefault="007F2742" w:rsidP="007F2742">
      <w:pPr>
        <w:pStyle w:val="Sinespaciado"/>
        <w:ind w:firstLine="567"/>
        <w:jc w:val="both"/>
        <w:rPr>
          <w:rFonts w:ascii="Arial" w:hAnsi="Arial" w:cs="Arial"/>
          <w:color w:val="4472C4" w:themeColor="accent1"/>
          <w:sz w:val="20"/>
          <w:szCs w:val="24"/>
          <w:lang w:val="es-ES"/>
        </w:rPr>
      </w:pPr>
      <w:r w:rsidRPr="007F2742">
        <w:rPr>
          <w:rFonts w:ascii="Arial" w:hAnsi="Arial" w:cs="Arial"/>
          <w:color w:val="4472C4" w:themeColor="accent1"/>
          <w:sz w:val="20"/>
          <w:szCs w:val="24"/>
          <w:lang w:val="es-ES"/>
        </w:rPr>
        <w:lastRenderedPageBreak/>
        <w:t xml:space="preserve">Asimismo, de los artículos, 120, 121 y 125, de la Ley de la materia, es posible observar qué: la clasificación señalada en el párrafo que antecede se puede generar al momento de elaborar las versiones públicas que se efectúen para dar cumplimiento a las obligaciones de transparencia y que estas </w:t>
      </w:r>
      <w:r w:rsidRPr="007F2742">
        <w:rPr>
          <w:rFonts w:ascii="Arial" w:hAnsi="Arial" w:cs="Arial"/>
          <w:color w:val="4472C4" w:themeColor="accent1"/>
          <w:sz w:val="20"/>
          <w:szCs w:val="24"/>
          <w:u w:val="single"/>
          <w:lang w:val="es-ES"/>
        </w:rPr>
        <w:t>deberán contener una leyenda que les identifique con tal carácter</w:t>
      </w:r>
      <w:r w:rsidRPr="007F2742">
        <w:rPr>
          <w:rFonts w:ascii="Arial" w:hAnsi="Arial" w:cs="Arial"/>
          <w:color w:val="4472C4" w:themeColor="accent1"/>
          <w:sz w:val="20"/>
          <w:szCs w:val="24"/>
          <w:lang w:val="es-ES"/>
        </w:rPr>
        <w:t xml:space="preserve">, su fecha de clasificación, el </w:t>
      </w:r>
      <w:r w:rsidRPr="007F2742">
        <w:rPr>
          <w:rFonts w:ascii="Arial" w:hAnsi="Arial" w:cs="Arial"/>
          <w:b/>
          <w:bCs/>
          <w:color w:val="4472C4" w:themeColor="accent1"/>
          <w:sz w:val="20"/>
          <w:szCs w:val="24"/>
          <w:lang w:val="es-ES"/>
        </w:rPr>
        <w:t>fundamento legal</w:t>
      </w:r>
      <w:r w:rsidRPr="007F2742">
        <w:rPr>
          <w:rFonts w:ascii="Arial" w:hAnsi="Arial" w:cs="Arial"/>
          <w:color w:val="4472C4" w:themeColor="accent1"/>
          <w:sz w:val="20"/>
          <w:szCs w:val="24"/>
          <w:lang w:val="es-ES"/>
        </w:rPr>
        <w:t xml:space="preserve"> y, en su caso, el periodo que durará clasificado como información reservada; y que para cumplir con las obligaciones de transparencia, cuando se les solicite acceso a la información que pueda contener información clasificada, los sujetos obligados deberán elaborar la versión pública correspondiente.</w:t>
      </w:r>
    </w:p>
    <w:p w:rsidR="007F2742" w:rsidRPr="007F2742" w:rsidRDefault="007F2742" w:rsidP="007F2742">
      <w:pPr>
        <w:pStyle w:val="Sinespaciado"/>
        <w:ind w:left="567"/>
        <w:jc w:val="both"/>
        <w:rPr>
          <w:rFonts w:ascii="Arial" w:hAnsi="Arial" w:cs="Arial"/>
          <w:color w:val="4472C4" w:themeColor="accent1"/>
          <w:sz w:val="20"/>
          <w:szCs w:val="24"/>
          <w:lang w:val="es-ES"/>
        </w:rPr>
      </w:pPr>
      <w:r w:rsidRPr="007F2742">
        <w:rPr>
          <w:rFonts w:ascii="Arial" w:hAnsi="Arial" w:cs="Arial"/>
          <w:color w:val="4472C4" w:themeColor="accent1"/>
          <w:sz w:val="20"/>
          <w:szCs w:val="24"/>
          <w:lang w:val="es-ES"/>
        </w:rPr>
        <w:t xml:space="preserve">  </w:t>
      </w:r>
    </w:p>
    <w:p w:rsidR="007F2742" w:rsidRPr="007F2742" w:rsidRDefault="007F2742" w:rsidP="007F2742">
      <w:pPr>
        <w:pStyle w:val="Sinespaciado"/>
        <w:ind w:firstLine="567"/>
        <w:jc w:val="both"/>
        <w:rPr>
          <w:rFonts w:ascii="Arial" w:hAnsi="Arial" w:cs="Arial"/>
          <w:color w:val="4472C4" w:themeColor="accent1"/>
          <w:sz w:val="20"/>
          <w:szCs w:val="24"/>
          <w:lang w:val="es-ES"/>
        </w:rPr>
      </w:pPr>
      <w:r w:rsidRPr="007F2742">
        <w:rPr>
          <w:rFonts w:ascii="Arial" w:hAnsi="Arial" w:cs="Arial"/>
          <w:color w:val="4472C4" w:themeColor="accent1"/>
          <w:sz w:val="20"/>
          <w:szCs w:val="24"/>
          <w:lang w:val="es-ES"/>
        </w:rPr>
        <w:t>Por su parte el artículo 138, de la multicitada Ley establece que se considera información clasificada aquella que contiene datos personales, de una persona identificada o identificable; información que no se encuentra sujeta a temporalidad pues solo se podrá acceder a ella con el consentimiento del titular de dicha información.</w:t>
      </w:r>
    </w:p>
    <w:p w:rsidR="007F2742" w:rsidRPr="007F2742" w:rsidRDefault="007F2742" w:rsidP="007F2742">
      <w:pPr>
        <w:pStyle w:val="Sinespaciado"/>
        <w:ind w:firstLine="567"/>
        <w:jc w:val="both"/>
        <w:rPr>
          <w:rFonts w:ascii="Arial" w:hAnsi="Arial" w:cs="Arial"/>
          <w:color w:val="4472C4" w:themeColor="accent1"/>
          <w:sz w:val="20"/>
          <w:szCs w:val="24"/>
          <w:lang w:val="es-ES"/>
        </w:rPr>
      </w:pPr>
    </w:p>
    <w:p w:rsidR="007F2742" w:rsidRPr="007F2742" w:rsidRDefault="007F2742" w:rsidP="007F2742">
      <w:pPr>
        <w:pStyle w:val="Sinespaciado"/>
        <w:ind w:firstLine="567"/>
        <w:jc w:val="both"/>
        <w:rPr>
          <w:rFonts w:ascii="Arial" w:hAnsi="Arial" w:cs="Arial"/>
          <w:color w:val="4472C4" w:themeColor="accent1"/>
          <w:sz w:val="20"/>
          <w:szCs w:val="24"/>
          <w:lang w:val="es-ES"/>
        </w:rPr>
      </w:pPr>
    </w:p>
    <w:p w:rsidR="007F2742" w:rsidRPr="007F2742" w:rsidRDefault="007F2742" w:rsidP="007F2742">
      <w:pPr>
        <w:spacing w:line="240" w:lineRule="auto"/>
        <w:ind w:firstLine="567"/>
        <w:jc w:val="both"/>
        <w:rPr>
          <w:rFonts w:ascii="Arial" w:eastAsia="Arial" w:hAnsi="Arial" w:cs="Arial"/>
          <w:color w:val="4472C4" w:themeColor="accent1"/>
          <w:sz w:val="20"/>
          <w:szCs w:val="24"/>
        </w:rPr>
      </w:pPr>
      <w:r w:rsidRPr="007F2742">
        <w:rPr>
          <w:rFonts w:ascii="Arial" w:eastAsia="Arial" w:hAnsi="Arial" w:cs="Arial"/>
          <w:color w:val="4472C4" w:themeColor="accent1"/>
          <w:sz w:val="20"/>
          <w:szCs w:val="24"/>
        </w:rPr>
        <w:t>Por su parte los artículos 143, 151, 154 y 159 de la multicitada Ley de la materia, establecen lo siguiente:</w:t>
      </w:r>
    </w:p>
    <w:p w:rsidR="007F2742" w:rsidRPr="007F2742" w:rsidRDefault="007F2742" w:rsidP="007F2742">
      <w:pPr>
        <w:spacing w:after="0" w:line="240" w:lineRule="auto"/>
        <w:ind w:firstLine="709"/>
        <w:jc w:val="both"/>
        <w:rPr>
          <w:rFonts w:ascii="Arial" w:eastAsia="Arial" w:hAnsi="Arial" w:cs="Arial"/>
          <w:color w:val="4472C4" w:themeColor="accent1"/>
          <w:sz w:val="20"/>
          <w:szCs w:val="24"/>
        </w:rPr>
      </w:pPr>
    </w:p>
    <w:p w:rsidR="007F2742" w:rsidRPr="007F2742" w:rsidRDefault="007F2742" w:rsidP="007F2742">
      <w:pPr>
        <w:pStyle w:val="corte4fondo"/>
        <w:spacing w:line="240" w:lineRule="auto"/>
        <w:ind w:left="709" w:right="993" w:firstLine="0"/>
        <w:rPr>
          <w:rFonts w:eastAsia="Arial" w:cs="Arial"/>
          <w:i/>
          <w:iCs/>
          <w:color w:val="4472C4" w:themeColor="accent1"/>
          <w:sz w:val="18"/>
          <w:szCs w:val="22"/>
        </w:rPr>
      </w:pPr>
      <w:r w:rsidRPr="007F2742">
        <w:rPr>
          <w:rFonts w:eastAsia="Arial" w:cs="Arial"/>
          <w:i/>
          <w:iCs/>
          <w:color w:val="4472C4" w:themeColor="accent1"/>
          <w:sz w:val="20"/>
          <w:szCs w:val="24"/>
        </w:rPr>
        <w:t>“</w:t>
      </w:r>
      <w:r w:rsidRPr="007F2742">
        <w:rPr>
          <w:rFonts w:eastAsia="Arial" w:cs="Arial"/>
          <w:i/>
          <w:iCs/>
          <w:color w:val="4472C4" w:themeColor="accent1"/>
          <w:sz w:val="18"/>
          <w:szCs w:val="22"/>
        </w:rPr>
        <w:t>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rsidR="007F2742" w:rsidRPr="007F2742" w:rsidRDefault="007F2742" w:rsidP="007F2742">
      <w:pPr>
        <w:spacing w:after="0" w:line="240" w:lineRule="auto"/>
        <w:ind w:left="709" w:right="993"/>
        <w:jc w:val="both"/>
        <w:rPr>
          <w:rFonts w:ascii="Arial" w:eastAsia="Arial" w:hAnsi="Arial" w:cs="Arial"/>
          <w:i/>
          <w:iCs/>
          <w:color w:val="4472C4" w:themeColor="accent1"/>
          <w:sz w:val="18"/>
        </w:rPr>
      </w:pPr>
      <w:r w:rsidRPr="007F2742">
        <w:rPr>
          <w:rFonts w:ascii="Arial" w:eastAsia="Arial" w:hAnsi="Arial" w:cs="Arial"/>
          <w:i/>
          <w:iCs/>
          <w:color w:val="4472C4" w:themeColor="accent1"/>
          <w:sz w:val="18"/>
        </w:rPr>
        <w:t>[…]</w:t>
      </w:r>
    </w:p>
    <w:p w:rsidR="007F2742" w:rsidRPr="007F2742" w:rsidRDefault="007F2742" w:rsidP="007F2742">
      <w:pPr>
        <w:pStyle w:val="Default"/>
        <w:ind w:left="709" w:right="993"/>
        <w:jc w:val="both"/>
        <w:rPr>
          <w:rFonts w:eastAsia="Arial"/>
          <w:i/>
          <w:iCs/>
          <w:color w:val="4472C4" w:themeColor="accent1"/>
          <w:sz w:val="18"/>
          <w:szCs w:val="22"/>
        </w:rPr>
      </w:pPr>
      <w:r w:rsidRPr="007F2742">
        <w:rPr>
          <w:rFonts w:eastAsia="Arial"/>
          <w:i/>
          <w:iCs/>
          <w:color w:val="4472C4" w:themeColor="accent1"/>
          <w:sz w:val="18"/>
          <w:szCs w:val="22"/>
        </w:rPr>
        <w:t xml:space="preserve">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rsidR="007F2742" w:rsidRPr="007F2742" w:rsidRDefault="007F2742" w:rsidP="007F2742">
      <w:pPr>
        <w:spacing w:after="0" w:line="240" w:lineRule="auto"/>
        <w:ind w:left="709" w:right="993"/>
        <w:jc w:val="both"/>
        <w:rPr>
          <w:rFonts w:ascii="Arial" w:eastAsia="Arial" w:hAnsi="Arial" w:cs="Arial"/>
          <w:b/>
          <w:bCs/>
          <w:i/>
          <w:iCs/>
          <w:color w:val="4472C4" w:themeColor="accent1"/>
          <w:sz w:val="18"/>
        </w:rPr>
      </w:pPr>
      <w:r w:rsidRPr="007F2742">
        <w:rPr>
          <w:rFonts w:ascii="Arial" w:eastAsia="Arial" w:hAnsi="Arial" w:cs="Arial"/>
          <w:b/>
          <w:bCs/>
          <w:i/>
          <w:iCs/>
          <w:color w:val="4472C4" w:themeColor="accent1"/>
          <w:sz w:val="18"/>
        </w:rPr>
        <w:t>En el caso de que la información solicitada consista en bases de datos se deberá privilegiar la entrega de la misma en Formatos Abiertos.</w:t>
      </w:r>
    </w:p>
    <w:p w:rsidR="007F2742" w:rsidRPr="007F2742" w:rsidRDefault="007F2742" w:rsidP="007F2742">
      <w:pPr>
        <w:spacing w:after="0" w:line="240" w:lineRule="auto"/>
        <w:ind w:left="709" w:right="993"/>
        <w:jc w:val="both"/>
        <w:rPr>
          <w:rFonts w:ascii="Arial" w:eastAsia="Arial" w:hAnsi="Arial" w:cs="Arial"/>
          <w:i/>
          <w:iCs/>
          <w:color w:val="4472C4" w:themeColor="accent1"/>
          <w:sz w:val="18"/>
        </w:rPr>
      </w:pPr>
      <w:r w:rsidRPr="007F2742">
        <w:rPr>
          <w:rFonts w:ascii="Arial" w:eastAsia="Arial" w:hAnsi="Arial" w:cs="Arial"/>
          <w:i/>
          <w:iCs/>
          <w:color w:val="4472C4" w:themeColor="accent1"/>
          <w:sz w:val="18"/>
        </w:rPr>
        <w:t xml:space="preserve">ARTÍCULO 152. </w:t>
      </w:r>
      <w:r w:rsidRPr="007F2742">
        <w:rPr>
          <w:rFonts w:ascii="Arial" w:eastAsia="Arial" w:hAnsi="Arial" w:cs="Arial"/>
          <w:b/>
          <w:bCs/>
          <w:i/>
          <w:iCs/>
          <w:color w:val="4472C4" w:themeColor="accent1"/>
          <w:sz w:val="18"/>
        </w:rPr>
        <w:t>Cuando la información requerida por el solicitante ya esté disponible al público</w:t>
      </w:r>
      <w:r w:rsidRPr="007F2742">
        <w:rPr>
          <w:rFonts w:ascii="Arial" w:eastAsia="Arial" w:hAnsi="Arial" w:cs="Arial"/>
          <w:i/>
          <w:iCs/>
          <w:color w:val="4472C4" w:themeColor="accent1"/>
          <w:sz w:val="18"/>
        </w:rPr>
        <w:t xml:space="preserve"> en medios impresos, tales como libros, compendios, trípticos, registros públicos, </w:t>
      </w:r>
      <w:r w:rsidRPr="007F2742">
        <w:rPr>
          <w:rFonts w:ascii="Arial" w:eastAsia="Arial" w:hAnsi="Arial" w:cs="Arial"/>
          <w:b/>
          <w:bCs/>
          <w:i/>
          <w:iCs/>
          <w:color w:val="4472C4" w:themeColor="accent1"/>
          <w:sz w:val="18"/>
        </w:rPr>
        <w:t>en formatos electrónicos disponibles en Internet</w:t>
      </w:r>
      <w:r w:rsidRPr="007F2742">
        <w:rPr>
          <w:rFonts w:ascii="Arial" w:eastAsia="Arial" w:hAnsi="Arial" w:cs="Arial"/>
          <w:i/>
          <w:iCs/>
          <w:color w:val="4472C4" w:themeColor="accent1"/>
          <w:sz w:val="18"/>
        </w:rPr>
        <w:t xml:space="preserve"> o en cualquier otro medio, </w:t>
      </w:r>
      <w:r w:rsidRPr="007F2742">
        <w:rPr>
          <w:rFonts w:ascii="Arial" w:eastAsia="Arial" w:hAnsi="Arial" w:cs="Arial"/>
          <w:b/>
          <w:bCs/>
          <w:i/>
          <w:iCs/>
          <w:color w:val="4472C4" w:themeColor="accent1"/>
          <w:sz w:val="18"/>
        </w:rPr>
        <w:t>se le hará saber por el medio requerido por el solicitante la fuente, el lugar y la forma en que puede consultar, reproducir o adquirir dicha información en un plazo no mayor a cinco días</w:t>
      </w:r>
      <w:r w:rsidRPr="007F2742">
        <w:rPr>
          <w:rFonts w:ascii="Arial" w:eastAsia="Arial" w:hAnsi="Arial" w:cs="Arial"/>
          <w:i/>
          <w:iCs/>
          <w:color w:val="4472C4" w:themeColor="accent1"/>
          <w:sz w:val="18"/>
        </w:rPr>
        <w:t>.</w:t>
      </w:r>
    </w:p>
    <w:p w:rsidR="007F2742" w:rsidRPr="007F2742" w:rsidRDefault="007F2742" w:rsidP="007F2742">
      <w:pPr>
        <w:spacing w:after="0" w:line="240" w:lineRule="auto"/>
        <w:ind w:left="709" w:right="993"/>
        <w:jc w:val="both"/>
        <w:rPr>
          <w:rFonts w:ascii="Arial" w:eastAsia="Arial" w:hAnsi="Arial" w:cs="Arial"/>
          <w:i/>
          <w:iCs/>
          <w:color w:val="4472C4" w:themeColor="accent1"/>
          <w:sz w:val="18"/>
        </w:rPr>
      </w:pPr>
      <w:r w:rsidRPr="007F2742">
        <w:rPr>
          <w:rFonts w:ascii="Arial" w:eastAsia="Arial" w:hAnsi="Arial" w:cs="Arial"/>
          <w:i/>
          <w:iCs/>
          <w:color w:val="4472C4" w:themeColor="accent1"/>
          <w:sz w:val="18"/>
        </w:rPr>
        <w:t>[…]</w:t>
      </w:r>
    </w:p>
    <w:p w:rsidR="007F2742" w:rsidRPr="007F2742" w:rsidRDefault="007F2742" w:rsidP="007F2742">
      <w:pPr>
        <w:spacing w:after="0" w:line="240" w:lineRule="auto"/>
        <w:ind w:left="709" w:right="993"/>
        <w:jc w:val="both"/>
        <w:rPr>
          <w:rFonts w:ascii="Arial" w:eastAsia="Arial" w:hAnsi="Arial" w:cs="Arial"/>
          <w:i/>
          <w:iCs/>
          <w:color w:val="4472C4" w:themeColor="accent1"/>
          <w:sz w:val="18"/>
        </w:rPr>
      </w:pPr>
      <w:r w:rsidRPr="007F2742">
        <w:rPr>
          <w:rFonts w:ascii="Arial" w:eastAsia="Arial" w:hAnsi="Arial" w:cs="Arial"/>
          <w:b/>
          <w:bCs/>
          <w:i/>
          <w:iCs/>
          <w:color w:val="4472C4" w:themeColor="accent1"/>
          <w:sz w:val="18"/>
        </w:rPr>
        <w:t xml:space="preserve">ARTÍCULO 154. </w:t>
      </w:r>
      <w:r w:rsidRPr="007F2742">
        <w:rPr>
          <w:rFonts w:ascii="Arial" w:eastAsia="Arial" w:hAnsi="Arial" w:cs="Arial"/>
          <w:i/>
          <w:iCs/>
          <w:color w:val="4472C4" w:themeColor="accent1"/>
          <w:sz w:val="18"/>
          <w:u w:val="single"/>
        </w:rPr>
        <w:t>La respuesta a la solicitud deberá ser notificada al interesado en el menor tiempo posible, que no podrá exceder de diez días, contados a partir del día siguiente a la presentación de aquélla</w:t>
      </w:r>
      <w:r w:rsidRPr="007F2742">
        <w:rPr>
          <w:rFonts w:ascii="Arial" w:eastAsia="Arial" w:hAnsi="Arial" w:cs="Arial"/>
          <w:i/>
          <w:iCs/>
          <w:color w:val="4472C4" w:themeColor="accent1"/>
          <w:sz w:val="18"/>
        </w:rPr>
        <w:t xml:space="preserve">. </w:t>
      </w:r>
    </w:p>
    <w:p w:rsidR="007F2742" w:rsidRPr="007F2742" w:rsidRDefault="007F2742" w:rsidP="007F2742">
      <w:pPr>
        <w:spacing w:after="0" w:line="240" w:lineRule="auto"/>
        <w:ind w:left="709" w:right="993"/>
        <w:jc w:val="both"/>
        <w:rPr>
          <w:rFonts w:ascii="Arial" w:eastAsia="Arial" w:hAnsi="Arial" w:cs="Arial"/>
          <w:i/>
          <w:iCs/>
          <w:color w:val="4472C4" w:themeColor="accent1"/>
          <w:sz w:val="18"/>
        </w:rPr>
      </w:pPr>
      <w:r w:rsidRPr="007F2742">
        <w:rPr>
          <w:rFonts w:ascii="Arial" w:eastAsia="Arial" w:hAnsi="Arial" w:cs="Arial"/>
          <w:i/>
          <w:iCs/>
          <w:color w:val="4472C4" w:themeColor="accent1"/>
          <w:sz w:val="18"/>
        </w:rPr>
        <w:t xml:space="preserve">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 </w:t>
      </w:r>
    </w:p>
    <w:p w:rsidR="007F2742" w:rsidRPr="007F2742" w:rsidRDefault="007F2742" w:rsidP="007F2742">
      <w:pPr>
        <w:spacing w:after="0" w:line="240" w:lineRule="auto"/>
        <w:ind w:left="709" w:right="993"/>
        <w:jc w:val="both"/>
        <w:rPr>
          <w:rFonts w:ascii="Arial" w:eastAsia="Arial" w:hAnsi="Arial" w:cs="Arial"/>
          <w:i/>
          <w:iCs/>
          <w:color w:val="4472C4" w:themeColor="accent1"/>
          <w:sz w:val="18"/>
        </w:rPr>
      </w:pPr>
      <w:r w:rsidRPr="007F2742">
        <w:rPr>
          <w:rFonts w:ascii="Arial" w:eastAsia="Arial" w:hAnsi="Arial" w:cs="Arial"/>
          <w:i/>
          <w:iCs/>
          <w:color w:val="4472C4" w:themeColor="accent1"/>
          <w:sz w:val="18"/>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p w:rsidR="007F2742" w:rsidRPr="007F2742" w:rsidRDefault="007F2742" w:rsidP="007F2742">
      <w:pPr>
        <w:spacing w:after="0" w:line="240" w:lineRule="auto"/>
        <w:ind w:left="709" w:right="993"/>
        <w:jc w:val="both"/>
        <w:rPr>
          <w:rFonts w:ascii="Arial" w:eastAsia="Arial" w:hAnsi="Arial" w:cs="Arial"/>
          <w:i/>
          <w:iCs/>
          <w:color w:val="4472C4" w:themeColor="accent1"/>
          <w:sz w:val="18"/>
        </w:rPr>
      </w:pPr>
      <w:r w:rsidRPr="007F2742">
        <w:rPr>
          <w:rFonts w:ascii="Arial" w:eastAsia="Arial" w:hAnsi="Arial" w:cs="Arial"/>
          <w:i/>
          <w:iCs/>
          <w:color w:val="4472C4" w:themeColor="accent1"/>
          <w:sz w:val="18"/>
        </w:rPr>
        <w:t>[…]</w:t>
      </w:r>
    </w:p>
    <w:p w:rsidR="007F2742" w:rsidRPr="007F2742" w:rsidRDefault="007F2742" w:rsidP="007F2742">
      <w:pPr>
        <w:spacing w:after="0" w:line="240" w:lineRule="auto"/>
        <w:ind w:left="709" w:right="993"/>
        <w:jc w:val="both"/>
        <w:rPr>
          <w:rFonts w:ascii="Arial" w:eastAsia="Arial" w:hAnsi="Arial" w:cs="Arial"/>
          <w:i/>
          <w:iCs/>
          <w:color w:val="4472C4" w:themeColor="accent1"/>
          <w:sz w:val="18"/>
        </w:rPr>
      </w:pPr>
      <w:r w:rsidRPr="007F2742">
        <w:rPr>
          <w:rFonts w:ascii="Arial" w:eastAsia="Arial" w:hAnsi="Arial" w:cs="Arial"/>
          <w:i/>
          <w:iCs/>
          <w:color w:val="4472C4" w:themeColor="accent1"/>
          <w:sz w:val="18"/>
        </w:rPr>
        <w:t>ARTÍCULO 159.</w:t>
      </w:r>
      <w:r w:rsidRPr="007F2742">
        <w:rPr>
          <w:rFonts w:ascii="Arial" w:eastAsia="Arial" w:hAnsi="Arial" w:cs="Arial"/>
          <w:b/>
          <w:bCs/>
          <w:i/>
          <w:iCs/>
          <w:color w:val="4472C4" w:themeColor="accent1"/>
          <w:sz w:val="18"/>
        </w:rPr>
        <w:t xml:space="preserve"> </w:t>
      </w:r>
      <w:r w:rsidRPr="007F2742">
        <w:rPr>
          <w:rFonts w:ascii="Arial" w:eastAsia="Arial" w:hAnsi="Arial" w:cs="Arial"/>
          <w:i/>
          <w:iCs/>
          <w:color w:val="4472C4" w:themeColor="accent1"/>
          <w:sz w:val="18"/>
        </w:rPr>
        <w:t xml:space="preserve">En caso de que los sujetos obligados consideren que los documentos o la información deba ser clasificada, se sujetará a lo siguiente: </w:t>
      </w:r>
    </w:p>
    <w:p w:rsidR="007F2742" w:rsidRPr="007F2742" w:rsidRDefault="007F2742" w:rsidP="007F2742">
      <w:pPr>
        <w:spacing w:after="0" w:line="240" w:lineRule="auto"/>
        <w:ind w:left="709" w:right="993"/>
        <w:jc w:val="both"/>
        <w:rPr>
          <w:rFonts w:ascii="Arial" w:eastAsia="Arial" w:hAnsi="Arial" w:cs="Arial"/>
          <w:i/>
          <w:iCs/>
          <w:color w:val="4472C4" w:themeColor="accent1"/>
          <w:sz w:val="18"/>
        </w:rPr>
      </w:pPr>
      <w:r w:rsidRPr="007F2742">
        <w:rPr>
          <w:rFonts w:ascii="Arial" w:eastAsia="Arial" w:hAnsi="Arial" w:cs="Arial"/>
          <w:i/>
          <w:iCs/>
          <w:color w:val="4472C4" w:themeColor="accent1"/>
          <w:sz w:val="18"/>
        </w:rPr>
        <w:t xml:space="preserve">El Área deberá remitir la solicitud, así como un escrito en el que funde y motive la clasificación al Comité de Transparencia, mismo que deberá resolver para: </w:t>
      </w:r>
    </w:p>
    <w:p w:rsidR="007F2742" w:rsidRPr="007F2742" w:rsidRDefault="007F2742" w:rsidP="007F2742">
      <w:pPr>
        <w:spacing w:after="0" w:line="240" w:lineRule="auto"/>
        <w:ind w:left="709" w:right="993"/>
        <w:jc w:val="both"/>
        <w:rPr>
          <w:rFonts w:ascii="Arial" w:eastAsia="Arial" w:hAnsi="Arial" w:cs="Arial"/>
          <w:i/>
          <w:iCs/>
          <w:color w:val="4472C4" w:themeColor="accent1"/>
          <w:sz w:val="18"/>
        </w:rPr>
      </w:pPr>
      <w:r w:rsidRPr="007F2742">
        <w:rPr>
          <w:rFonts w:ascii="Arial" w:eastAsia="Arial" w:hAnsi="Arial" w:cs="Arial"/>
          <w:b/>
          <w:bCs/>
          <w:i/>
          <w:iCs/>
          <w:color w:val="4472C4" w:themeColor="accent1"/>
          <w:sz w:val="18"/>
        </w:rPr>
        <w:t xml:space="preserve">I. </w:t>
      </w:r>
      <w:r w:rsidRPr="007F2742">
        <w:rPr>
          <w:rFonts w:ascii="Arial" w:eastAsia="Arial" w:hAnsi="Arial" w:cs="Arial"/>
          <w:i/>
          <w:iCs/>
          <w:color w:val="4472C4" w:themeColor="accent1"/>
          <w:sz w:val="18"/>
          <w:u w:val="single"/>
        </w:rPr>
        <w:t>Confirmar la clasificación</w:t>
      </w:r>
      <w:r w:rsidRPr="007F2742">
        <w:rPr>
          <w:rFonts w:ascii="Arial" w:eastAsia="Arial" w:hAnsi="Arial" w:cs="Arial"/>
          <w:i/>
          <w:iCs/>
          <w:color w:val="4472C4" w:themeColor="accent1"/>
          <w:sz w:val="18"/>
        </w:rPr>
        <w:t xml:space="preserve">; </w:t>
      </w:r>
    </w:p>
    <w:p w:rsidR="007F2742" w:rsidRPr="007F2742" w:rsidRDefault="007F2742" w:rsidP="007F2742">
      <w:pPr>
        <w:spacing w:after="0" w:line="240" w:lineRule="auto"/>
        <w:ind w:left="709" w:right="993"/>
        <w:jc w:val="both"/>
        <w:rPr>
          <w:rFonts w:ascii="Arial" w:eastAsia="Arial" w:hAnsi="Arial" w:cs="Arial"/>
          <w:i/>
          <w:iCs/>
          <w:color w:val="4472C4" w:themeColor="accent1"/>
          <w:sz w:val="18"/>
        </w:rPr>
      </w:pPr>
      <w:r w:rsidRPr="007F2742">
        <w:rPr>
          <w:rFonts w:ascii="Arial" w:eastAsia="Arial" w:hAnsi="Arial" w:cs="Arial"/>
          <w:b/>
          <w:bCs/>
          <w:i/>
          <w:iCs/>
          <w:color w:val="4472C4" w:themeColor="accent1"/>
          <w:sz w:val="18"/>
        </w:rPr>
        <w:t xml:space="preserve">II. </w:t>
      </w:r>
      <w:r w:rsidRPr="007F2742">
        <w:rPr>
          <w:rFonts w:ascii="Arial" w:eastAsia="Arial" w:hAnsi="Arial" w:cs="Arial"/>
          <w:i/>
          <w:iCs/>
          <w:color w:val="4472C4" w:themeColor="accent1"/>
          <w:sz w:val="18"/>
        </w:rPr>
        <w:t xml:space="preserve">Modificar la clasificación y otorgar total o parcialmente el acceso a la información, y </w:t>
      </w:r>
    </w:p>
    <w:p w:rsidR="007F2742" w:rsidRPr="007F2742" w:rsidRDefault="007F2742" w:rsidP="007F2742">
      <w:pPr>
        <w:spacing w:after="0" w:line="240" w:lineRule="auto"/>
        <w:ind w:left="709" w:right="993"/>
        <w:jc w:val="both"/>
        <w:rPr>
          <w:rFonts w:ascii="Arial" w:eastAsia="Arial" w:hAnsi="Arial" w:cs="Arial"/>
          <w:i/>
          <w:iCs/>
          <w:color w:val="4472C4" w:themeColor="accent1"/>
          <w:sz w:val="18"/>
        </w:rPr>
      </w:pPr>
      <w:r w:rsidRPr="007F2742">
        <w:rPr>
          <w:rFonts w:ascii="Arial" w:eastAsia="Arial" w:hAnsi="Arial" w:cs="Arial"/>
          <w:b/>
          <w:bCs/>
          <w:i/>
          <w:iCs/>
          <w:color w:val="4472C4" w:themeColor="accent1"/>
          <w:sz w:val="18"/>
        </w:rPr>
        <w:t xml:space="preserve">III. </w:t>
      </w:r>
      <w:r w:rsidRPr="007F2742">
        <w:rPr>
          <w:rFonts w:ascii="Arial" w:eastAsia="Arial" w:hAnsi="Arial" w:cs="Arial"/>
          <w:i/>
          <w:iCs/>
          <w:color w:val="4472C4" w:themeColor="accent1"/>
          <w:sz w:val="18"/>
        </w:rPr>
        <w:t xml:space="preserve">Revocar la clasificación y conceder el acceso a la información. </w:t>
      </w:r>
    </w:p>
    <w:p w:rsidR="007F2742" w:rsidRPr="007F2742" w:rsidRDefault="007F2742" w:rsidP="007F2742">
      <w:pPr>
        <w:spacing w:after="0" w:line="240" w:lineRule="auto"/>
        <w:ind w:left="709" w:right="993"/>
        <w:jc w:val="both"/>
        <w:rPr>
          <w:rFonts w:ascii="Arial" w:eastAsia="Arial" w:hAnsi="Arial" w:cs="Arial"/>
          <w:i/>
          <w:iCs/>
          <w:color w:val="4472C4" w:themeColor="accent1"/>
          <w:sz w:val="18"/>
        </w:rPr>
      </w:pPr>
      <w:r w:rsidRPr="007F2742">
        <w:rPr>
          <w:rFonts w:ascii="Arial" w:eastAsia="Arial" w:hAnsi="Arial" w:cs="Arial"/>
          <w:i/>
          <w:iCs/>
          <w:color w:val="4472C4" w:themeColor="accent1"/>
          <w:sz w:val="18"/>
        </w:rPr>
        <w:t xml:space="preserve">El Comité de Transparencia podrá tener acceso a la información que esté en poder del Área correspondiente, de la cual se haya solicitado su clasificación. </w:t>
      </w:r>
    </w:p>
    <w:p w:rsidR="007F2742" w:rsidRPr="007F2742" w:rsidRDefault="007F2742" w:rsidP="007F2742">
      <w:pPr>
        <w:spacing w:after="0" w:line="240" w:lineRule="auto"/>
        <w:ind w:left="709" w:right="993"/>
        <w:jc w:val="both"/>
        <w:rPr>
          <w:rFonts w:ascii="Arial" w:eastAsia="Arial" w:hAnsi="Arial" w:cs="Arial"/>
          <w:i/>
          <w:iCs/>
          <w:color w:val="4472C4" w:themeColor="accent1"/>
          <w:sz w:val="18"/>
          <w:u w:val="single"/>
        </w:rPr>
      </w:pPr>
      <w:r w:rsidRPr="007F2742">
        <w:rPr>
          <w:rFonts w:ascii="Arial" w:eastAsia="Arial" w:hAnsi="Arial" w:cs="Arial"/>
          <w:i/>
          <w:iCs/>
          <w:color w:val="4472C4" w:themeColor="accent1"/>
          <w:sz w:val="18"/>
          <w:u w:val="single"/>
        </w:rPr>
        <w:t>La resolución del Comité de Transparencia será notificada al interesado en el plazo de respuesta a la solicitud que establece el artículo 154 de la presente Ley.</w:t>
      </w:r>
    </w:p>
    <w:p w:rsidR="007F2742" w:rsidRPr="007F2742" w:rsidRDefault="007F2742" w:rsidP="007F2742">
      <w:pPr>
        <w:spacing w:after="0" w:line="240" w:lineRule="auto"/>
        <w:ind w:firstLine="708"/>
        <w:jc w:val="both"/>
        <w:rPr>
          <w:rFonts w:ascii="Arial" w:eastAsia="Arial" w:hAnsi="Arial" w:cs="Arial"/>
          <w:i/>
          <w:iCs/>
          <w:color w:val="4472C4" w:themeColor="accent1"/>
          <w:sz w:val="20"/>
          <w:szCs w:val="24"/>
        </w:rPr>
      </w:pPr>
    </w:p>
    <w:p w:rsidR="007F2742" w:rsidRPr="007F2742" w:rsidRDefault="007F2742" w:rsidP="007F2742">
      <w:pPr>
        <w:pStyle w:val="corte4fondo"/>
        <w:spacing w:line="240" w:lineRule="auto"/>
        <w:ind w:firstLine="0"/>
        <w:rPr>
          <w:rFonts w:eastAsia="Arial" w:cs="Arial"/>
          <w:color w:val="4472C4" w:themeColor="accent1"/>
          <w:sz w:val="20"/>
          <w:szCs w:val="24"/>
        </w:rPr>
      </w:pPr>
      <w:r w:rsidRPr="007F2742">
        <w:rPr>
          <w:rFonts w:eastAsia="Arial" w:cs="Arial"/>
          <w:i/>
          <w:iCs/>
          <w:color w:val="4472C4" w:themeColor="accent1"/>
          <w:sz w:val="20"/>
          <w:szCs w:val="24"/>
        </w:rPr>
        <w:tab/>
      </w:r>
      <w:r w:rsidRPr="007F2742">
        <w:rPr>
          <w:rFonts w:eastAsia="Arial" w:cs="Arial"/>
          <w:color w:val="4472C4" w:themeColor="accent1"/>
          <w:sz w:val="20"/>
          <w:szCs w:val="24"/>
        </w:rPr>
        <w:t xml:space="preserve">Conforme a los preceptos legales arriba insertados, las Unidades de Transparencia de los Sujetos Obligados tienen la obligación de garantizar las medidas necesarias para que todas las personas puedan ejercer su derecho de acceso a la información; se establece que los sujetos obligados deberán otorgar acceso a los documentos que se encuentren en sus archivos, o que deban poseer de acuerdo a sus funciones o facultades, información que deberá ser entregada en caso de </w:t>
      </w:r>
      <w:r w:rsidRPr="007F2742">
        <w:rPr>
          <w:rFonts w:eastAsia="Arial" w:cs="Arial"/>
          <w:color w:val="4472C4" w:themeColor="accent1"/>
          <w:sz w:val="20"/>
          <w:szCs w:val="24"/>
        </w:rPr>
        <w:lastRenderedPageBreak/>
        <w:t xml:space="preserve">ser solicitada antes de los 10 días hábiles siguientes a la presentación de la solicitud; y, que en caso de que estos determinen que la información deba ser clasificada, estos deberán remitirla al Comité de Transparencia, para que este resuelva en uno de tres sentidos (confirmar la clasificación, revocarla, o modificarla), debiendo notificar en su caso, la resolución por la cual confirma la clasificación, al interesado según lo establecido en la ley.   </w:t>
      </w:r>
    </w:p>
    <w:p w:rsidR="007F2742" w:rsidRPr="007F2742" w:rsidRDefault="007F2742" w:rsidP="007F2742">
      <w:pPr>
        <w:pStyle w:val="corte4fondo"/>
        <w:spacing w:line="240" w:lineRule="auto"/>
        <w:rPr>
          <w:rFonts w:eastAsia="Arial" w:cs="Arial"/>
          <w:i/>
          <w:iCs/>
          <w:color w:val="4472C4" w:themeColor="accent1"/>
          <w:sz w:val="20"/>
          <w:szCs w:val="24"/>
        </w:rPr>
      </w:pPr>
    </w:p>
    <w:p w:rsidR="007F2742" w:rsidRPr="007F2742" w:rsidRDefault="007F2742" w:rsidP="007F2742">
      <w:pPr>
        <w:spacing w:after="0" w:line="240" w:lineRule="auto"/>
        <w:ind w:firstLine="708"/>
        <w:jc w:val="both"/>
        <w:rPr>
          <w:rFonts w:ascii="Arial" w:eastAsia="Arial" w:hAnsi="Arial" w:cs="Arial"/>
          <w:color w:val="4472C4" w:themeColor="accent1"/>
          <w:sz w:val="20"/>
          <w:szCs w:val="24"/>
        </w:rPr>
      </w:pPr>
    </w:p>
    <w:p w:rsidR="007F2742" w:rsidRPr="007F2742" w:rsidRDefault="007F2742" w:rsidP="007F2742">
      <w:pPr>
        <w:spacing w:line="240" w:lineRule="auto"/>
        <w:ind w:firstLine="708"/>
        <w:jc w:val="both"/>
        <w:rPr>
          <w:rFonts w:ascii="Arial" w:eastAsia="Arial" w:hAnsi="Arial" w:cs="Arial"/>
          <w:color w:val="4472C4" w:themeColor="accent1"/>
          <w:sz w:val="20"/>
          <w:szCs w:val="24"/>
        </w:rPr>
      </w:pPr>
      <w:r w:rsidRPr="007F2742">
        <w:rPr>
          <w:rFonts w:ascii="Arial" w:eastAsia="Arial" w:hAnsi="Arial" w:cs="Arial"/>
          <w:color w:val="4472C4" w:themeColor="accent1"/>
          <w:sz w:val="20"/>
          <w:szCs w:val="24"/>
        </w:rPr>
        <w:t>En virtud de lo antes insertado, esta Comisión advierte que el sujeto obligado al remitir la respuesta a la solicitud de información, no realizó el procedimiento adecuado para la atención a la solicitud de acceso a la información, en tanto que el mismo, no realizó las gestiones necesarias a fin de entregar la totalidad de las documentales solicitadas por el ahora recurrente; es decir, que el sujeto obligado no otorgó el acceso a la información concerniente al Contrato de Obra pública, así como al nombre del residente de obra, no obstante que, de conformidad con la Ley de la materia, se encontró obligado a ello, pues, toda información generada en la aplicación de los recursos públicos, resulta pública a la sociedad en general, incluyendo aquella que podría contener datos personales, pues de la simple mención de que la información actualiza alguna de las causales de excepción, no reviste los elementos de legalidad de los actos administrativos para tal circunstancia.</w:t>
      </w:r>
    </w:p>
    <w:p w:rsidR="007F2742" w:rsidRPr="007F2742" w:rsidRDefault="007F2742" w:rsidP="007F2742">
      <w:pPr>
        <w:spacing w:line="240" w:lineRule="auto"/>
        <w:ind w:firstLine="708"/>
        <w:jc w:val="both"/>
        <w:rPr>
          <w:rFonts w:ascii="Arial" w:eastAsia="Arial" w:hAnsi="Arial" w:cs="Arial"/>
          <w:color w:val="4472C4" w:themeColor="accent1"/>
          <w:sz w:val="20"/>
          <w:szCs w:val="24"/>
        </w:rPr>
      </w:pPr>
    </w:p>
    <w:p w:rsidR="007F2742" w:rsidRPr="007F2742" w:rsidRDefault="007F2742" w:rsidP="007F2742">
      <w:pPr>
        <w:spacing w:line="240" w:lineRule="auto"/>
        <w:ind w:firstLine="708"/>
        <w:jc w:val="both"/>
        <w:rPr>
          <w:rFonts w:ascii="Arial" w:eastAsia="Arial" w:hAnsi="Arial" w:cs="Arial"/>
          <w:color w:val="4472C4" w:themeColor="accent1"/>
          <w:sz w:val="20"/>
          <w:szCs w:val="24"/>
        </w:rPr>
      </w:pPr>
      <w:r w:rsidRPr="007F2742">
        <w:rPr>
          <w:rFonts w:ascii="Arial" w:eastAsia="Arial" w:hAnsi="Arial" w:cs="Arial"/>
          <w:color w:val="4472C4" w:themeColor="accent1"/>
          <w:sz w:val="20"/>
          <w:szCs w:val="24"/>
        </w:rPr>
        <w:t xml:space="preserve">Lo anterior es así toda vez que el sujeto obligado omitió señalar y hacer observancia a lo establecido en los </w:t>
      </w:r>
      <w:bookmarkStart w:id="0" w:name="_Hlk71309931"/>
      <w:r w:rsidRPr="007F2742">
        <w:rPr>
          <w:rFonts w:ascii="Arial" w:eastAsia="Arial" w:hAnsi="Arial" w:cs="Arial"/>
          <w:color w:val="4472C4" w:themeColor="accent1"/>
          <w:sz w:val="20"/>
          <w:szCs w:val="24"/>
        </w:rPr>
        <w:t xml:space="preserve">numerales </w:t>
      </w:r>
      <w:r w:rsidRPr="007F2742">
        <w:rPr>
          <w:rFonts w:ascii="Arial" w:hAnsi="Arial" w:cs="Arial"/>
          <w:color w:val="4472C4" w:themeColor="accent1"/>
          <w:sz w:val="20"/>
          <w:szCs w:val="24"/>
          <w:lang w:val="es-ES"/>
        </w:rPr>
        <w:t xml:space="preserve"> 120, 121 y 125</w:t>
      </w:r>
      <w:r w:rsidRPr="007F2742">
        <w:rPr>
          <w:rFonts w:ascii="Arial" w:eastAsia="Arial" w:hAnsi="Arial" w:cs="Arial"/>
          <w:color w:val="4472C4" w:themeColor="accent1"/>
          <w:sz w:val="20"/>
          <w:szCs w:val="24"/>
        </w:rPr>
        <w:t xml:space="preserve"> de la ley de transparencia</w:t>
      </w:r>
      <w:bookmarkEnd w:id="0"/>
      <w:r w:rsidRPr="007F2742">
        <w:rPr>
          <w:rFonts w:ascii="Arial" w:eastAsia="Arial" w:hAnsi="Arial" w:cs="Arial"/>
          <w:color w:val="4472C4" w:themeColor="accent1"/>
          <w:sz w:val="20"/>
          <w:szCs w:val="24"/>
        </w:rPr>
        <w:t>, pues, de ellos se advierten lo que el sujeto obligado debe realizar en caso de recibir una solicitud de información que contenga datos considerados como reservados, para lo cual, como ya se precisó, debe elaborar un acuerdo aprobado por el Comité de Transparencia, en el que de manera adecuada, fundamente y motive la clasificación de la información de conformidad con los lineamientos cuarto</w:t>
      </w:r>
      <w:r w:rsidRPr="007F2742">
        <w:rPr>
          <w:rStyle w:val="Refdenotaalpie"/>
          <w:rFonts w:eastAsia="Arial" w:cs="Arial"/>
          <w:color w:val="4472C4" w:themeColor="accent1"/>
          <w:sz w:val="20"/>
          <w:szCs w:val="24"/>
        </w:rPr>
        <w:footnoteReference w:id="1"/>
      </w:r>
      <w:r w:rsidRPr="007F2742">
        <w:rPr>
          <w:rFonts w:ascii="Arial" w:eastAsia="Arial" w:hAnsi="Arial" w:cs="Arial"/>
          <w:color w:val="4472C4" w:themeColor="accent1"/>
          <w:sz w:val="20"/>
          <w:szCs w:val="24"/>
        </w:rPr>
        <w:t>, octavo</w:t>
      </w:r>
      <w:r w:rsidRPr="007F2742">
        <w:rPr>
          <w:rStyle w:val="Refdenotaalpie"/>
          <w:rFonts w:eastAsia="Arial" w:cs="Arial"/>
          <w:color w:val="4472C4" w:themeColor="accent1"/>
          <w:sz w:val="20"/>
          <w:szCs w:val="24"/>
        </w:rPr>
        <w:footnoteReference w:id="2"/>
      </w:r>
      <w:r w:rsidRPr="007F2742">
        <w:rPr>
          <w:rFonts w:ascii="Arial" w:eastAsia="Arial" w:hAnsi="Arial" w:cs="Arial"/>
          <w:color w:val="4472C4" w:themeColor="accent1"/>
          <w:sz w:val="20"/>
          <w:szCs w:val="24"/>
        </w:rPr>
        <w:t xml:space="preserve"> y trigésimo tercero</w:t>
      </w:r>
      <w:r w:rsidRPr="007F2742">
        <w:rPr>
          <w:rStyle w:val="Refdenotaalpie"/>
          <w:rFonts w:eastAsia="Arial" w:cs="Arial"/>
          <w:color w:val="4472C4" w:themeColor="accent1"/>
          <w:sz w:val="20"/>
          <w:szCs w:val="24"/>
        </w:rPr>
        <w:footnoteReference w:id="3"/>
      </w:r>
      <w:r w:rsidRPr="007F2742">
        <w:rPr>
          <w:rFonts w:ascii="Arial" w:eastAsia="Arial" w:hAnsi="Arial" w:cs="Arial"/>
          <w:color w:val="4472C4" w:themeColor="accent1"/>
          <w:sz w:val="20"/>
          <w:szCs w:val="24"/>
        </w:rPr>
        <w:t>, elaborando, a su vez, la versión pública correspondiente, con las características establecidas en el capítulo IX de los Lineamientos antes señalados.</w:t>
      </w:r>
    </w:p>
    <w:p w:rsidR="007F2742" w:rsidRPr="007F2742" w:rsidRDefault="007F2742" w:rsidP="007F2742">
      <w:pPr>
        <w:spacing w:line="240" w:lineRule="auto"/>
        <w:ind w:firstLine="708"/>
        <w:jc w:val="both"/>
        <w:rPr>
          <w:rFonts w:ascii="Arial" w:eastAsia="Arial" w:hAnsi="Arial" w:cs="Arial"/>
          <w:color w:val="4472C4" w:themeColor="accent1"/>
          <w:sz w:val="20"/>
          <w:szCs w:val="24"/>
        </w:rPr>
      </w:pPr>
      <w:r w:rsidRPr="007F2742">
        <w:rPr>
          <w:rFonts w:ascii="Arial" w:eastAsia="Arial" w:hAnsi="Arial" w:cs="Arial"/>
          <w:color w:val="4472C4" w:themeColor="accent1"/>
          <w:sz w:val="20"/>
          <w:szCs w:val="24"/>
        </w:rPr>
        <w:t xml:space="preserve">Se afirma lo anterior, pues de la respuesta que el sujeto obligado adjuntó a la plataforma nacional de transparencia, no se advierte que este haya entregado al ahora recurrente documentación alguna que cumpla con los requisitos antes precisados.. </w:t>
      </w:r>
    </w:p>
    <w:p w:rsidR="007F2742" w:rsidRPr="007F2742" w:rsidRDefault="007F2742" w:rsidP="007F2742">
      <w:pPr>
        <w:spacing w:line="240" w:lineRule="auto"/>
        <w:ind w:firstLine="708"/>
        <w:jc w:val="both"/>
        <w:rPr>
          <w:rFonts w:ascii="Arial" w:eastAsia="Arial" w:hAnsi="Arial" w:cs="Arial"/>
          <w:color w:val="4472C4" w:themeColor="accent1"/>
          <w:sz w:val="20"/>
          <w:szCs w:val="24"/>
        </w:rPr>
      </w:pPr>
    </w:p>
    <w:p w:rsidR="007F2742" w:rsidRPr="007F2742" w:rsidRDefault="007F2742" w:rsidP="007F2742">
      <w:pPr>
        <w:spacing w:line="240" w:lineRule="auto"/>
        <w:ind w:firstLine="708"/>
        <w:jc w:val="both"/>
        <w:rPr>
          <w:rFonts w:ascii="Arial" w:eastAsia="Arial" w:hAnsi="Arial" w:cs="Arial"/>
          <w:color w:val="4472C4" w:themeColor="accent1"/>
          <w:sz w:val="20"/>
          <w:szCs w:val="24"/>
        </w:rPr>
      </w:pPr>
      <w:r w:rsidRPr="007F2742">
        <w:rPr>
          <w:rFonts w:ascii="Arial" w:eastAsia="Arial" w:hAnsi="Arial" w:cs="Arial"/>
          <w:color w:val="4472C4" w:themeColor="accent1"/>
          <w:sz w:val="20"/>
          <w:szCs w:val="24"/>
        </w:rPr>
        <w:t>Por lo que es preciso citar al presente recurso el artículo 165 del Código de Procedimientos Administrativos del Estado de San Luis Potosí vigente en el cual se precisan los requisitos del acto administrativo, a saber:</w:t>
      </w:r>
    </w:p>
    <w:p w:rsidR="007F2742" w:rsidRPr="007F2742" w:rsidRDefault="007F2742" w:rsidP="007F2742">
      <w:pPr>
        <w:spacing w:line="240" w:lineRule="auto"/>
        <w:ind w:firstLine="708"/>
        <w:jc w:val="both"/>
        <w:rPr>
          <w:rFonts w:ascii="Arial" w:eastAsia="Arial" w:hAnsi="Arial" w:cs="Arial"/>
          <w:i/>
          <w:iCs/>
          <w:color w:val="4472C4" w:themeColor="accent1"/>
          <w:sz w:val="20"/>
          <w:szCs w:val="24"/>
        </w:rPr>
      </w:pPr>
      <w:r w:rsidRPr="007F2742">
        <w:rPr>
          <w:rFonts w:ascii="Arial" w:eastAsia="Arial" w:hAnsi="Arial" w:cs="Arial"/>
          <w:i/>
          <w:iCs/>
          <w:color w:val="4472C4" w:themeColor="accent1"/>
          <w:sz w:val="20"/>
          <w:szCs w:val="24"/>
        </w:rPr>
        <w:t xml:space="preserve">“ARTÍCULO 165. Son requisitos del acto administrativo: </w:t>
      </w:r>
    </w:p>
    <w:p w:rsidR="007F2742" w:rsidRPr="007F2742" w:rsidRDefault="007F2742" w:rsidP="007F2742">
      <w:pPr>
        <w:pStyle w:val="Prrafodelista"/>
        <w:numPr>
          <w:ilvl w:val="0"/>
          <w:numId w:val="32"/>
        </w:numPr>
        <w:spacing w:line="240" w:lineRule="auto"/>
        <w:ind w:right="709"/>
        <w:jc w:val="both"/>
        <w:rPr>
          <w:rFonts w:ascii="Arial" w:eastAsia="Arial" w:hAnsi="Arial" w:cs="Arial"/>
          <w:b/>
          <w:bCs/>
          <w:i/>
          <w:iCs/>
          <w:color w:val="4472C4" w:themeColor="accent1"/>
          <w:sz w:val="20"/>
          <w:szCs w:val="24"/>
        </w:rPr>
      </w:pPr>
      <w:r w:rsidRPr="007F2742">
        <w:rPr>
          <w:rFonts w:ascii="Arial" w:eastAsia="Arial" w:hAnsi="Arial" w:cs="Arial"/>
          <w:b/>
          <w:bCs/>
          <w:i/>
          <w:iCs/>
          <w:color w:val="4472C4" w:themeColor="accent1"/>
          <w:sz w:val="20"/>
          <w:szCs w:val="24"/>
        </w:rPr>
        <w:t xml:space="preserve">Que cumpla con las formalidades del procedimiento; </w:t>
      </w:r>
    </w:p>
    <w:p w:rsidR="007F2742" w:rsidRPr="007F2742" w:rsidRDefault="007F2742" w:rsidP="007F2742">
      <w:pPr>
        <w:pStyle w:val="Prrafodelista"/>
        <w:numPr>
          <w:ilvl w:val="0"/>
          <w:numId w:val="32"/>
        </w:numPr>
        <w:spacing w:line="240" w:lineRule="auto"/>
        <w:ind w:right="709"/>
        <w:jc w:val="both"/>
        <w:rPr>
          <w:rFonts w:ascii="Arial" w:eastAsia="Arial" w:hAnsi="Arial" w:cs="Arial"/>
          <w:b/>
          <w:bCs/>
          <w:i/>
          <w:iCs/>
          <w:color w:val="4472C4" w:themeColor="accent1"/>
          <w:sz w:val="20"/>
          <w:szCs w:val="24"/>
        </w:rPr>
      </w:pPr>
      <w:r w:rsidRPr="007F2742">
        <w:rPr>
          <w:rFonts w:ascii="Arial" w:eastAsia="Arial" w:hAnsi="Arial" w:cs="Arial"/>
          <w:b/>
          <w:bCs/>
          <w:i/>
          <w:iCs/>
          <w:color w:val="4472C4" w:themeColor="accent1"/>
          <w:sz w:val="20"/>
          <w:szCs w:val="24"/>
        </w:rPr>
        <w:t xml:space="preserve">Que se encuentre adecuadamente fundado y motivado; </w:t>
      </w:r>
    </w:p>
    <w:p w:rsidR="007F2742" w:rsidRPr="007F2742" w:rsidRDefault="007F2742" w:rsidP="007F2742">
      <w:pPr>
        <w:pStyle w:val="Prrafodelista"/>
        <w:numPr>
          <w:ilvl w:val="0"/>
          <w:numId w:val="32"/>
        </w:numPr>
        <w:spacing w:line="240" w:lineRule="auto"/>
        <w:ind w:right="709"/>
        <w:jc w:val="both"/>
        <w:rPr>
          <w:rFonts w:ascii="Arial" w:eastAsia="Arial" w:hAnsi="Arial" w:cs="Arial"/>
          <w:i/>
          <w:iCs/>
          <w:color w:val="4472C4" w:themeColor="accent1"/>
          <w:sz w:val="20"/>
          <w:szCs w:val="24"/>
        </w:rPr>
      </w:pPr>
      <w:r w:rsidRPr="007F2742">
        <w:rPr>
          <w:rFonts w:ascii="Arial" w:eastAsia="Arial" w:hAnsi="Arial" w:cs="Arial"/>
          <w:i/>
          <w:iCs/>
          <w:color w:val="4472C4" w:themeColor="accent1"/>
          <w:sz w:val="20"/>
          <w:szCs w:val="24"/>
        </w:rPr>
        <w:t xml:space="preserve">Que se expida de manera congruente con lo solicitado y resolver expresamente todos los puntos propuestos por el interesado o previstos por las normas. </w:t>
      </w:r>
    </w:p>
    <w:p w:rsidR="007F2742" w:rsidRPr="007F2742" w:rsidRDefault="007F2742" w:rsidP="007F2742">
      <w:pPr>
        <w:pStyle w:val="Prrafodelista"/>
        <w:numPr>
          <w:ilvl w:val="0"/>
          <w:numId w:val="32"/>
        </w:numPr>
        <w:spacing w:line="240" w:lineRule="auto"/>
        <w:ind w:right="709"/>
        <w:jc w:val="both"/>
        <w:rPr>
          <w:rFonts w:ascii="Arial" w:eastAsia="Arial" w:hAnsi="Arial" w:cs="Arial"/>
          <w:i/>
          <w:iCs/>
          <w:color w:val="4472C4" w:themeColor="accent1"/>
          <w:sz w:val="20"/>
          <w:szCs w:val="24"/>
        </w:rPr>
      </w:pPr>
      <w:r w:rsidRPr="007F2742">
        <w:rPr>
          <w:rFonts w:ascii="Arial" w:eastAsia="Arial" w:hAnsi="Arial" w:cs="Arial"/>
          <w:i/>
          <w:iCs/>
          <w:color w:val="4472C4" w:themeColor="accent1"/>
          <w:sz w:val="20"/>
          <w:szCs w:val="24"/>
        </w:rPr>
        <w:t xml:space="preserve">Que en su expedición se señale lugar y fecha de emisión; </w:t>
      </w:r>
    </w:p>
    <w:p w:rsidR="007F2742" w:rsidRPr="007F2742" w:rsidRDefault="007F2742" w:rsidP="007F2742">
      <w:pPr>
        <w:pStyle w:val="Prrafodelista"/>
        <w:numPr>
          <w:ilvl w:val="0"/>
          <w:numId w:val="32"/>
        </w:numPr>
        <w:spacing w:line="240" w:lineRule="auto"/>
        <w:ind w:right="709"/>
        <w:jc w:val="both"/>
        <w:rPr>
          <w:rFonts w:ascii="Arial" w:eastAsia="Arial" w:hAnsi="Arial" w:cs="Arial"/>
          <w:i/>
          <w:iCs/>
          <w:color w:val="4472C4" w:themeColor="accent1"/>
          <w:sz w:val="20"/>
          <w:szCs w:val="24"/>
        </w:rPr>
      </w:pPr>
      <w:r w:rsidRPr="007F2742">
        <w:rPr>
          <w:rFonts w:ascii="Arial" w:eastAsia="Arial" w:hAnsi="Arial" w:cs="Arial"/>
          <w:i/>
          <w:iCs/>
          <w:color w:val="4472C4" w:themeColor="accent1"/>
          <w:sz w:val="20"/>
          <w:szCs w:val="24"/>
        </w:rPr>
        <w:t xml:space="preserve"> Tratándose de actos administrativos que deban notificarse deberá hacerse mención de la oficina en que se encuentra y pueda ser consultado el expediente respectivo, y </w:t>
      </w:r>
    </w:p>
    <w:p w:rsidR="007F2742" w:rsidRPr="007F2742" w:rsidRDefault="007F2742" w:rsidP="007F2742">
      <w:pPr>
        <w:pStyle w:val="Prrafodelista"/>
        <w:numPr>
          <w:ilvl w:val="0"/>
          <w:numId w:val="32"/>
        </w:numPr>
        <w:spacing w:line="240" w:lineRule="auto"/>
        <w:ind w:right="709"/>
        <w:jc w:val="both"/>
        <w:rPr>
          <w:rFonts w:ascii="Arial" w:eastAsia="Arial" w:hAnsi="Arial" w:cs="Arial"/>
          <w:i/>
          <w:iCs/>
          <w:color w:val="4472C4" w:themeColor="accent1"/>
          <w:sz w:val="20"/>
          <w:szCs w:val="24"/>
        </w:rPr>
      </w:pPr>
      <w:r w:rsidRPr="007F2742">
        <w:rPr>
          <w:rFonts w:ascii="Arial" w:eastAsia="Arial" w:hAnsi="Arial" w:cs="Arial"/>
          <w:i/>
          <w:iCs/>
          <w:color w:val="4472C4" w:themeColor="accent1"/>
          <w:sz w:val="20"/>
          <w:szCs w:val="24"/>
        </w:rPr>
        <w:t xml:space="preserve">Tratándose de actos administrativos recurribles, deberá mencionarse el recurso que proceda y el término con que se cuenta para interponerlo, así como la autoridad ante la cual puede ser presentado. </w:t>
      </w:r>
    </w:p>
    <w:p w:rsidR="007F2742" w:rsidRPr="007F2742" w:rsidRDefault="007F2742" w:rsidP="007F2742">
      <w:pPr>
        <w:pStyle w:val="Prrafodelista"/>
        <w:spacing w:line="240" w:lineRule="auto"/>
        <w:ind w:left="1428" w:right="709"/>
        <w:jc w:val="both"/>
        <w:rPr>
          <w:rFonts w:ascii="Arial" w:eastAsia="Arial" w:hAnsi="Arial" w:cs="Arial"/>
          <w:i/>
          <w:iCs/>
          <w:color w:val="4472C4" w:themeColor="accent1"/>
          <w:sz w:val="20"/>
          <w:szCs w:val="24"/>
        </w:rPr>
      </w:pPr>
    </w:p>
    <w:p w:rsidR="007F2742" w:rsidRPr="007F2742" w:rsidRDefault="007F2742" w:rsidP="007F2742">
      <w:pPr>
        <w:pStyle w:val="Prrafodelista"/>
        <w:spacing w:line="240" w:lineRule="auto"/>
        <w:ind w:left="1428" w:right="709"/>
        <w:jc w:val="both"/>
        <w:rPr>
          <w:rFonts w:ascii="Arial" w:eastAsia="Arial" w:hAnsi="Arial" w:cs="Arial"/>
          <w:i/>
          <w:iCs/>
          <w:color w:val="4472C4" w:themeColor="accent1"/>
          <w:sz w:val="20"/>
          <w:szCs w:val="24"/>
        </w:rPr>
      </w:pPr>
      <w:r w:rsidRPr="007F2742">
        <w:rPr>
          <w:rFonts w:ascii="Arial" w:eastAsia="Arial" w:hAnsi="Arial" w:cs="Arial"/>
          <w:i/>
          <w:iCs/>
          <w:color w:val="4472C4" w:themeColor="accent1"/>
          <w:sz w:val="20"/>
          <w:szCs w:val="24"/>
        </w:rPr>
        <w:t>Cuando en el acto administrativo se omita señalar el término y recurso mencionados en el párrafo anterior, el impugnante contará con el doble del plazo que establecen las disposiciones legales para interponer el recurso correspondiente.</w:t>
      </w:r>
    </w:p>
    <w:p w:rsidR="007F2742" w:rsidRPr="007F2742" w:rsidRDefault="007F2742" w:rsidP="007F2742">
      <w:pPr>
        <w:spacing w:line="240" w:lineRule="auto"/>
        <w:ind w:firstLine="708"/>
        <w:jc w:val="both"/>
        <w:rPr>
          <w:rFonts w:ascii="Arial" w:eastAsia="Arial" w:hAnsi="Arial" w:cs="Arial"/>
          <w:color w:val="4472C4" w:themeColor="accent1"/>
          <w:sz w:val="20"/>
          <w:szCs w:val="24"/>
        </w:rPr>
      </w:pPr>
      <w:r w:rsidRPr="007F2742">
        <w:rPr>
          <w:rFonts w:ascii="Arial" w:eastAsia="Arial" w:hAnsi="Arial" w:cs="Arial"/>
          <w:color w:val="4472C4" w:themeColor="accent1"/>
          <w:sz w:val="20"/>
          <w:szCs w:val="24"/>
        </w:rPr>
        <w:t>Del precepto legal transcrito, se desprende que para que un acto sea considerado válido debe cumplir con las formalidades de su procedimiento, además de estar adecuadamente fundado y motivado, es decir, citar con precisión el o los preceptos legales aplicables al caso, además de expresar los motivos por los cuales el proceder del Sujeto Obligado encuadra lógica y jurídicamente dentro de la norma, circunstancia que no ocurre respecto al entregar respuesta a lo solicitado</w:t>
      </w:r>
    </w:p>
    <w:p w:rsidR="007F2742" w:rsidRPr="007F2742" w:rsidRDefault="007F2742" w:rsidP="007F2742">
      <w:pPr>
        <w:spacing w:line="240" w:lineRule="auto"/>
        <w:ind w:firstLine="708"/>
        <w:jc w:val="both"/>
        <w:rPr>
          <w:rFonts w:ascii="Arial" w:eastAsia="Arial" w:hAnsi="Arial" w:cs="Arial"/>
          <w:color w:val="4472C4" w:themeColor="accent1"/>
          <w:sz w:val="20"/>
          <w:szCs w:val="24"/>
        </w:rPr>
      </w:pPr>
      <w:r w:rsidRPr="007F2742">
        <w:rPr>
          <w:rFonts w:ascii="Arial" w:eastAsia="Arial" w:hAnsi="Arial" w:cs="Arial"/>
          <w:color w:val="4472C4" w:themeColor="accent1"/>
          <w:sz w:val="20"/>
          <w:szCs w:val="24"/>
        </w:rPr>
        <w:t xml:space="preserve">Sirve de apoyo a lo anterior, la siguiente Jurisprudencia emitida por el Poder Judicial de la Federación, la cual dispone: </w:t>
      </w:r>
    </w:p>
    <w:p w:rsidR="007F2742" w:rsidRPr="007F2742" w:rsidRDefault="007F2742" w:rsidP="007F2742">
      <w:pPr>
        <w:spacing w:line="240" w:lineRule="auto"/>
        <w:ind w:firstLine="708"/>
        <w:jc w:val="both"/>
        <w:rPr>
          <w:rFonts w:ascii="Arial" w:eastAsia="Arial" w:hAnsi="Arial" w:cs="Arial"/>
          <w:i/>
          <w:iCs/>
          <w:color w:val="4472C4" w:themeColor="accent1"/>
          <w:sz w:val="20"/>
          <w:szCs w:val="24"/>
        </w:rPr>
      </w:pPr>
      <w:r w:rsidRPr="007F2742">
        <w:rPr>
          <w:rFonts w:ascii="Arial" w:eastAsia="Arial" w:hAnsi="Arial" w:cs="Arial"/>
          <w:i/>
          <w:iCs/>
          <w:color w:val="4472C4" w:themeColor="accent1"/>
          <w:sz w:val="20"/>
          <w:szCs w:val="24"/>
        </w:rPr>
        <w:t xml:space="preserve">Registro No. 170307 </w:t>
      </w:r>
    </w:p>
    <w:p w:rsidR="007F2742" w:rsidRPr="007F2742" w:rsidRDefault="007F2742" w:rsidP="007F2742">
      <w:pPr>
        <w:spacing w:line="240" w:lineRule="auto"/>
        <w:ind w:firstLine="708"/>
        <w:jc w:val="both"/>
        <w:rPr>
          <w:rFonts w:ascii="Arial" w:eastAsia="Arial" w:hAnsi="Arial" w:cs="Arial"/>
          <w:i/>
          <w:iCs/>
          <w:color w:val="4472C4" w:themeColor="accent1"/>
          <w:sz w:val="20"/>
          <w:szCs w:val="24"/>
        </w:rPr>
      </w:pPr>
      <w:r w:rsidRPr="007F2742">
        <w:rPr>
          <w:rFonts w:ascii="Arial" w:eastAsia="Arial" w:hAnsi="Arial" w:cs="Arial"/>
          <w:i/>
          <w:iCs/>
          <w:color w:val="4472C4" w:themeColor="accent1"/>
          <w:sz w:val="20"/>
          <w:szCs w:val="24"/>
        </w:rPr>
        <w:t xml:space="preserve">Localización: Novena Época </w:t>
      </w:r>
    </w:p>
    <w:p w:rsidR="007F2742" w:rsidRPr="007F2742" w:rsidRDefault="007F2742" w:rsidP="007F2742">
      <w:pPr>
        <w:spacing w:line="240" w:lineRule="auto"/>
        <w:ind w:firstLine="708"/>
        <w:jc w:val="both"/>
        <w:rPr>
          <w:rFonts w:ascii="Arial" w:eastAsia="Arial" w:hAnsi="Arial" w:cs="Arial"/>
          <w:i/>
          <w:iCs/>
          <w:color w:val="4472C4" w:themeColor="accent1"/>
          <w:sz w:val="20"/>
          <w:szCs w:val="24"/>
        </w:rPr>
      </w:pPr>
      <w:r w:rsidRPr="007F2742">
        <w:rPr>
          <w:rFonts w:ascii="Arial" w:eastAsia="Arial" w:hAnsi="Arial" w:cs="Arial"/>
          <w:i/>
          <w:iCs/>
          <w:color w:val="4472C4" w:themeColor="accent1"/>
          <w:sz w:val="20"/>
          <w:szCs w:val="24"/>
        </w:rPr>
        <w:t xml:space="preserve">Instancia: Tribunales Colegiados de Circuito </w:t>
      </w:r>
    </w:p>
    <w:p w:rsidR="007F2742" w:rsidRPr="007F2742" w:rsidRDefault="007F2742" w:rsidP="007F2742">
      <w:pPr>
        <w:spacing w:line="240" w:lineRule="auto"/>
        <w:ind w:firstLine="708"/>
        <w:jc w:val="both"/>
        <w:rPr>
          <w:rFonts w:ascii="Arial" w:eastAsia="Arial" w:hAnsi="Arial" w:cs="Arial"/>
          <w:i/>
          <w:iCs/>
          <w:color w:val="4472C4" w:themeColor="accent1"/>
          <w:sz w:val="20"/>
          <w:szCs w:val="24"/>
        </w:rPr>
      </w:pPr>
      <w:r w:rsidRPr="007F2742">
        <w:rPr>
          <w:rFonts w:ascii="Arial" w:eastAsia="Arial" w:hAnsi="Arial" w:cs="Arial"/>
          <w:i/>
          <w:iCs/>
          <w:color w:val="4472C4" w:themeColor="accent1"/>
          <w:sz w:val="20"/>
          <w:szCs w:val="24"/>
        </w:rPr>
        <w:t xml:space="preserve">Fuente: Semanario Judicial de la Federación y su Gaceta XXVII, Febrero de 2008 </w:t>
      </w:r>
    </w:p>
    <w:p w:rsidR="007F2742" w:rsidRPr="007F2742" w:rsidRDefault="007F2742" w:rsidP="007F2742">
      <w:pPr>
        <w:spacing w:line="240" w:lineRule="auto"/>
        <w:ind w:firstLine="708"/>
        <w:jc w:val="both"/>
        <w:rPr>
          <w:rFonts w:ascii="Arial" w:eastAsia="Arial" w:hAnsi="Arial" w:cs="Arial"/>
          <w:i/>
          <w:iCs/>
          <w:color w:val="4472C4" w:themeColor="accent1"/>
          <w:sz w:val="20"/>
          <w:szCs w:val="24"/>
        </w:rPr>
      </w:pPr>
      <w:r w:rsidRPr="007F2742">
        <w:rPr>
          <w:rFonts w:ascii="Arial" w:eastAsia="Arial" w:hAnsi="Arial" w:cs="Arial"/>
          <w:i/>
          <w:iCs/>
          <w:color w:val="4472C4" w:themeColor="accent1"/>
          <w:sz w:val="20"/>
          <w:szCs w:val="24"/>
        </w:rPr>
        <w:t xml:space="preserve">Página: 1964 </w:t>
      </w:r>
    </w:p>
    <w:p w:rsidR="007F2742" w:rsidRPr="007F2742" w:rsidRDefault="007F2742" w:rsidP="007F2742">
      <w:pPr>
        <w:spacing w:line="240" w:lineRule="auto"/>
        <w:ind w:firstLine="708"/>
        <w:jc w:val="both"/>
        <w:rPr>
          <w:rFonts w:ascii="Arial" w:eastAsia="Arial" w:hAnsi="Arial" w:cs="Arial"/>
          <w:i/>
          <w:iCs/>
          <w:color w:val="4472C4" w:themeColor="accent1"/>
          <w:sz w:val="20"/>
          <w:szCs w:val="24"/>
        </w:rPr>
      </w:pPr>
      <w:r w:rsidRPr="007F2742">
        <w:rPr>
          <w:rFonts w:ascii="Arial" w:eastAsia="Arial" w:hAnsi="Arial" w:cs="Arial"/>
          <w:i/>
          <w:iCs/>
          <w:color w:val="4472C4" w:themeColor="accent1"/>
          <w:sz w:val="20"/>
          <w:szCs w:val="24"/>
        </w:rPr>
        <w:t xml:space="preserve">Tesis: I.3o.C. J/47 Jurisprudencia </w:t>
      </w:r>
    </w:p>
    <w:p w:rsidR="007F2742" w:rsidRPr="007F2742" w:rsidRDefault="007F2742" w:rsidP="007F2742">
      <w:pPr>
        <w:spacing w:line="240" w:lineRule="auto"/>
        <w:ind w:firstLine="708"/>
        <w:jc w:val="both"/>
        <w:rPr>
          <w:rFonts w:ascii="Arial" w:eastAsia="Arial" w:hAnsi="Arial" w:cs="Arial"/>
          <w:i/>
          <w:iCs/>
          <w:color w:val="4472C4" w:themeColor="accent1"/>
          <w:sz w:val="20"/>
          <w:szCs w:val="24"/>
        </w:rPr>
      </w:pPr>
      <w:r w:rsidRPr="007F2742">
        <w:rPr>
          <w:rFonts w:ascii="Arial" w:eastAsia="Arial" w:hAnsi="Arial" w:cs="Arial"/>
          <w:i/>
          <w:iCs/>
          <w:color w:val="4472C4" w:themeColor="accent1"/>
          <w:sz w:val="20"/>
          <w:szCs w:val="24"/>
        </w:rPr>
        <w:t>Materia(s): Común</w:t>
      </w:r>
    </w:p>
    <w:p w:rsidR="007F2742" w:rsidRPr="007F2742" w:rsidRDefault="007F2742" w:rsidP="007F2742">
      <w:pPr>
        <w:spacing w:line="240" w:lineRule="auto"/>
        <w:ind w:firstLine="708"/>
        <w:jc w:val="both"/>
        <w:rPr>
          <w:rFonts w:ascii="Arial" w:eastAsia="Arial" w:hAnsi="Arial" w:cs="Arial"/>
          <w:i/>
          <w:iCs/>
          <w:color w:val="4472C4" w:themeColor="accent1"/>
          <w:sz w:val="20"/>
          <w:szCs w:val="24"/>
        </w:rPr>
      </w:pPr>
      <w:r w:rsidRPr="007F2742">
        <w:rPr>
          <w:rFonts w:ascii="Arial" w:eastAsia="Arial" w:hAnsi="Arial" w:cs="Arial"/>
          <w:b/>
          <w:bCs/>
          <w:i/>
          <w:iCs/>
          <w:color w:val="4472C4" w:themeColor="accent1"/>
          <w:sz w:val="20"/>
          <w:szCs w:val="24"/>
        </w:rPr>
        <w:t>“FUNDAMENTACIÓN Y MOTIVACIÓN. LA DIFERENCIA ENTRE LA FALTA Y LA INDEBIDA SATISFACCIÓN DE AMBOS REQUISITOS CONSTITUCIONALES TRASCIENDE AL ORDEN EN QUE DEBEN ESTUDIARSE LOS CONCEPTOS DE VIOLACIÓN Y A LOS EFECTOS DEL FALLO PROTECTOR.</w:t>
      </w:r>
      <w:r w:rsidRPr="007F2742">
        <w:rPr>
          <w:rFonts w:ascii="Arial" w:eastAsia="Arial" w:hAnsi="Arial" w:cs="Arial"/>
          <w:i/>
          <w:iCs/>
          <w:color w:val="4472C4" w:themeColor="accent1"/>
          <w:sz w:val="20"/>
          <w:szCs w:val="24"/>
        </w:rPr>
        <w:t xml:space="preserve"> La falta de fundamentación y motivación es una violación formal diversa a la indebida o incorrecta fundamentación y motivación, que es una violación material o de fondo, siendo distintos los efectos que genera la existencia de una u otra, por lo que el estudio de aquella omisión debe hacerse de manera previa. En efecto, el artículo 16 constitucional establece, en su primer párrafo, el imperativo para las autoridades de fundar y motivar sus actos que incidan en la esfera de los gobernados, pero la contravención al mandato constitucional que exige la expresión de ambas en los actos de autoridad puede revestir dos formas distintas, a saber: la derivada de su falta, y la correspondiente a su incorrección. Se produce la falta de fundamentación y motivación, cuando se omite expresar el dispositivo legal aplicable al asunto y las razones que se hayan considerado para estimar que el caso puede subsumirse en la hipótesis prevista en esa norma jurídica. En cambio, hay una indebida fundamentación cuando en el acto de autoridad sí se invoca el precepto legal, sin embargo, resulta inaplicable al asunto por las características específicas de éste que impiden su adecuación o encuadre en la hipótesis normativa; y una incorrecta motivación, en el </w:t>
      </w:r>
      <w:r w:rsidRPr="007F2742">
        <w:rPr>
          <w:rFonts w:ascii="Arial" w:eastAsia="Arial" w:hAnsi="Arial" w:cs="Arial"/>
          <w:i/>
          <w:iCs/>
          <w:color w:val="4472C4" w:themeColor="accent1"/>
          <w:sz w:val="20"/>
          <w:szCs w:val="24"/>
        </w:rPr>
        <w:lastRenderedPageBreak/>
        <w:t>supuesto en que sí se indican las razones que tiene en consideración la autoridad para emitir el acto, pero aquéllas están en disonancia con el contenido de la norma legal que se aplica en el caso. De manera que la falta de fundamentación y motivación significa la carencia o ausencia de tales requisitos, mientras que la indebida o incorrecta fundamentación y motivación entraña la presencia de ambos requisitos constitucionales, pero con un desajuste entre la aplicación de normas y los razonamientos formulados por la autoridad con el caso concreto. La diferencia apuntada permite advertir que en el primer supuesto se trata de una violación formal dado que el acto de autoridad carece de elementos ínsitos, connaturales, al mismo por virtud de un imperativo constitucional, por lo que, advertida su ausencia mediante la simple lectura del acto reclamado, procederá conceder el amparo solicitado; y en el segundo caso consiste en una violación material o de fondo porque se ha cumplido con la forma mediante la expresión de fundamentos y motivos, pero unos y otros son incorrectos, lo cual, por regla general, también dará lugar a un fallo protector, sin embargo, será menester un previo análisis del contenido del asunto para llegar a concluir la mencionada incorrección. Por virtud de esa nota distintiva, los efectos de la concesión del amparo, tratándose de una resolución jurisdiccional, son igualmente diversos en uno y otro caso, pues aunque existe un elemento común, o sea, que la autoridad deje insubsistente el acto inconstitucional, en el primer supuesto será para que subsane la irregularidad expresando la fundamentación y motivación antes ausente, y en el segundo para que aporte fundamentos y motivos diferentes a los que formuló previamente. La apuntada diferencia trasciende, igualmente, al orden en que se deberán estudiar los argumentos que hagan valer los quejosos, ya que si en un caso se advierte la carencia de los requisitos constitucionales de que se trata, es decir, una violación formal, se concederá el amparo para los efectos indicados, con exclusión del análisis de los motivos de disenso que, concurriendo con los atinentes al defecto, versen sobre la incorrección de ambos elementos inherentes al acto de autoridad; empero, si han sido satisfechos aquéllos, será factible el estudio de la indebida fundamentación y motivación, esto es, de la violación material o de fondo. TERCER TRIBUNAL COLEGIADO EN MATERIA CIVIL DEL PRIMER CIRCUITO. Amparo directo 551/2005. Jorge Luis Almaral Mendívil. 20 de octubre de 2005. Unanimidad de votos. Ponente: Neófito López Ramos. Secretario: Raúl Alfaro Telpalo. Amparo directo 66/2007. Juan Ramón Jaime Alcántara. 15 de febrero de 2007. Unanimidad de votos. Ponente: Neófito López Ramos. Secretario: Raúl Alfaro Telpalo. Amparo directo 364/2007. Guadalupe Rodríguez Daniel. 6 de julio de 2007. Unanimidad de votos. Ponente: Neófito López Ramos. Secretaria: Greta Lozada Amezcua. Amparo directo 513/2007. Autofinanciamiento México, S.A. de C.V. 4 de octubre de 2007. Unanimidad de votos. Ponente: Neófito López Ramos. Secretario: Raúl Alfaro Telpalo. Amparo directo 562/2007. Arenas y Gravas Xaltepec, S.A. 11 de octubre de 2007. Unanimidad de votos. Ponente: Neófito López Ramos. Secretario: Raúl Alfaro Telpalo.”</w:t>
      </w:r>
    </w:p>
    <w:p w:rsidR="007F2742" w:rsidRPr="007F2742" w:rsidRDefault="007F2742" w:rsidP="007F2742">
      <w:pPr>
        <w:spacing w:line="240" w:lineRule="auto"/>
        <w:ind w:firstLine="708"/>
        <w:jc w:val="both"/>
        <w:rPr>
          <w:rFonts w:ascii="Arial" w:eastAsia="Arial" w:hAnsi="Arial" w:cs="Arial"/>
          <w:color w:val="4472C4" w:themeColor="accent1"/>
          <w:sz w:val="20"/>
          <w:szCs w:val="24"/>
        </w:rPr>
      </w:pPr>
      <w:r w:rsidRPr="007F2742">
        <w:rPr>
          <w:rFonts w:ascii="Arial" w:eastAsia="Arial" w:hAnsi="Arial" w:cs="Arial"/>
          <w:color w:val="4472C4" w:themeColor="accent1"/>
          <w:sz w:val="20"/>
          <w:szCs w:val="24"/>
        </w:rPr>
        <w:t>También sirve de apoyo el siguiente criterio sustentado por el Poder Judicial de la Federación:</w:t>
      </w:r>
    </w:p>
    <w:p w:rsidR="007F2742" w:rsidRPr="007F2742" w:rsidRDefault="007F2742" w:rsidP="007F2742">
      <w:pPr>
        <w:spacing w:line="240" w:lineRule="auto"/>
        <w:ind w:left="708"/>
        <w:jc w:val="both"/>
        <w:rPr>
          <w:rFonts w:ascii="Arial" w:eastAsia="Arial" w:hAnsi="Arial" w:cs="Arial"/>
          <w:color w:val="4472C4" w:themeColor="accent1"/>
          <w:sz w:val="20"/>
          <w:szCs w:val="24"/>
        </w:rPr>
      </w:pPr>
      <w:r w:rsidRPr="007F2742">
        <w:rPr>
          <w:rFonts w:ascii="Arial" w:eastAsia="Arial" w:hAnsi="Arial" w:cs="Arial"/>
          <w:i/>
          <w:iCs/>
          <w:color w:val="4472C4" w:themeColor="accent1"/>
          <w:sz w:val="20"/>
          <w:szCs w:val="24"/>
        </w:rPr>
        <w:t>“FUNDAMENTACIÓN Y MOTIVACIÓN. La debida fundamentación y motivación legal, deben entenderse, por lo primero, la cita del precepto legal aplicable al caso, y por lo segundo, las razones, motivos o circunstancias especiales que llevaron a la autoridad a concluir que el caso particular encuadra en el supuesto previsto por la norma legal invocada como fundamento.</w:t>
      </w:r>
    </w:p>
    <w:p w:rsidR="007F2742" w:rsidRPr="007F2742" w:rsidRDefault="007F2742" w:rsidP="007F2742">
      <w:pPr>
        <w:spacing w:line="240" w:lineRule="auto"/>
        <w:ind w:left="708"/>
        <w:jc w:val="both"/>
        <w:rPr>
          <w:rFonts w:ascii="Arial" w:eastAsia="Arial" w:hAnsi="Arial" w:cs="Arial"/>
          <w:color w:val="4472C4" w:themeColor="accent1"/>
          <w:sz w:val="20"/>
          <w:szCs w:val="24"/>
        </w:rPr>
      </w:pPr>
      <w:r w:rsidRPr="007F2742">
        <w:rPr>
          <w:rFonts w:ascii="Arial" w:eastAsia="Arial" w:hAnsi="Arial" w:cs="Arial"/>
          <w:i/>
          <w:iCs/>
          <w:color w:val="4472C4" w:themeColor="accent1"/>
          <w:sz w:val="20"/>
          <w:szCs w:val="24"/>
        </w:rPr>
        <w:t>SEGUNDO TRIBUNAL COLEGIADO DEL SEXTO CIRCUITO.</w:t>
      </w:r>
    </w:p>
    <w:p w:rsidR="007F2742" w:rsidRPr="007F2742" w:rsidRDefault="007F2742" w:rsidP="007F2742">
      <w:pPr>
        <w:spacing w:line="240" w:lineRule="auto"/>
        <w:ind w:left="708"/>
        <w:jc w:val="both"/>
        <w:rPr>
          <w:rFonts w:ascii="Arial" w:eastAsia="Arial" w:hAnsi="Arial" w:cs="Arial"/>
          <w:color w:val="4472C4" w:themeColor="accent1"/>
          <w:sz w:val="20"/>
          <w:szCs w:val="24"/>
        </w:rPr>
      </w:pPr>
      <w:r w:rsidRPr="007F2742">
        <w:rPr>
          <w:rFonts w:ascii="Arial" w:eastAsia="Arial" w:hAnsi="Arial" w:cs="Arial"/>
          <w:i/>
          <w:iCs/>
          <w:color w:val="4472C4" w:themeColor="accent1"/>
          <w:sz w:val="20"/>
          <w:szCs w:val="24"/>
        </w:rPr>
        <w:t>Amparo directo 194/88. Bufete Industrial Construcciones, S.A. de C.V. 28 de junio de 1988. Unanimidad de votos. Ponente: Gustavo Calvillo Rangel. Secretario: Jorge Alberto González Álvarez.</w:t>
      </w:r>
    </w:p>
    <w:p w:rsidR="007F2742" w:rsidRPr="007F2742" w:rsidRDefault="007F2742" w:rsidP="007F2742">
      <w:pPr>
        <w:spacing w:line="240" w:lineRule="auto"/>
        <w:ind w:left="708"/>
        <w:jc w:val="both"/>
        <w:rPr>
          <w:rFonts w:ascii="Arial" w:eastAsia="Arial" w:hAnsi="Arial" w:cs="Arial"/>
          <w:color w:val="4472C4" w:themeColor="accent1"/>
          <w:sz w:val="20"/>
          <w:szCs w:val="24"/>
        </w:rPr>
      </w:pPr>
      <w:r w:rsidRPr="007F2742">
        <w:rPr>
          <w:rFonts w:ascii="Arial" w:eastAsia="Arial" w:hAnsi="Arial" w:cs="Arial"/>
          <w:i/>
          <w:iCs/>
          <w:color w:val="4472C4" w:themeColor="accent1"/>
          <w:sz w:val="20"/>
          <w:szCs w:val="24"/>
        </w:rPr>
        <w:t>Revisión fiscal 103/88. Instituto Mexicano del Seguro Social. 18 de octubre de 1988. Unanimidad de votos. Ponente: Arnoldo Nájera Virgen. Secretario: Alejandro Esponda Rincón.</w:t>
      </w:r>
    </w:p>
    <w:p w:rsidR="007F2742" w:rsidRPr="007F2742" w:rsidRDefault="007F2742" w:rsidP="007F2742">
      <w:pPr>
        <w:spacing w:line="240" w:lineRule="auto"/>
        <w:ind w:left="708"/>
        <w:jc w:val="both"/>
        <w:rPr>
          <w:rFonts w:ascii="Arial" w:eastAsia="Arial" w:hAnsi="Arial" w:cs="Arial"/>
          <w:color w:val="4472C4" w:themeColor="accent1"/>
          <w:sz w:val="20"/>
          <w:szCs w:val="24"/>
        </w:rPr>
      </w:pPr>
      <w:r w:rsidRPr="007F2742">
        <w:rPr>
          <w:rFonts w:ascii="Arial" w:eastAsia="Arial" w:hAnsi="Arial" w:cs="Arial"/>
          <w:i/>
          <w:iCs/>
          <w:color w:val="4472C4" w:themeColor="accent1"/>
          <w:sz w:val="20"/>
          <w:szCs w:val="24"/>
        </w:rPr>
        <w:t>Amparo en revisión 333/88. Adilia Romero. 26 de octubre de 1988. Unanimidad de votos. Ponente: Arnoldo Nájera Virgen. Secretario: Enrique Crispín Campos Ramírez.</w:t>
      </w:r>
    </w:p>
    <w:p w:rsidR="007F2742" w:rsidRPr="007F2742" w:rsidRDefault="007F2742" w:rsidP="007F2742">
      <w:pPr>
        <w:spacing w:line="240" w:lineRule="auto"/>
        <w:ind w:left="708"/>
        <w:jc w:val="both"/>
        <w:rPr>
          <w:rFonts w:ascii="Arial" w:eastAsia="Arial" w:hAnsi="Arial" w:cs="Arial"/>
          <w:color w:val="4472C4" w:themeColor="accent1"/>
          <w:sz w:val="20"/>
          <w:szCs w:val="24"/>
        </w:rPr>
      </w:pPr>
      <w:r w:rsidRPr="007F2742">
        <w:rPr>
          <w:rFonts w:ascii="Arial" w:eastAsia="Arial" w:hAnsi="Arial" w:cs="Arial"/>
          <w:i/>
          <w:iCs/>
          <w:color w:val="4472C4" w:themeColor="accent1"/>
          <w:sz w:val="20"/>
          <w:szCs w:val="24"/>
        </w:rPr>
        <w:t>Amparo en revisión 597/95. Emilio Maurer Bretón. 15 de noviembre de 1995. Unanimidad de votos. Ponente: Clementina Ramírez Moguel Goyzueta. Secretario: Gonzalo Carrera Molina.</w:t>
      </w:r>
    </w:p>
    <w:p w:rsidR="007F2742" w:rsidRPr="007F2742" w:rsidRDefault="007F2742" w:rsidP="007F2742">
      <w:pPr>
        <w:spacing w:line="240" w:lineRule="auto"/>
        <w:ind w:left="708"/>
        <w:jc w:val="both"/>
        <w:rPr>
          <w:rFonts w:ascii="Arial" w:eastAsia="Arial" w:hAnsi="Arial" w:cs="Arial"/>
          <w:i/>
          <w:iCs/>
          <w:color w:val="4472C4" w:themeColor="accent1"/>
          <w:sz w:val="20"/>
          <w:szCs w:val="24"/>
        </w:rPr>
      </w:pPr>
      <w:r w:rsidRPr="007F2742">
        <w:rPr>
          <w:rFonts w:ascii="Arial" w:eastAsia="Arial" w:hAnsi="Arial" w:cs="Arial"/>
          <w:i/>
          <w:iCs/>
          <w:color w:val="4472C4" w:themeColor="accent1"/>
          <w:sz w:val="20"/>
          <w:szCs w:val="24"/>
        </w:rPr>
        <w:t>Amparo directo 7/96. Pedro Vicente López Miro. 21 de febrero de 1996. Unanimidad de votos. Ponente: María Eugenia Estela Martínez Cardiel. Secretario: Enrique Baigts Muñoz.”</w:t>
      </w:r>
    </w:p>
    <w:p w:rsidR="007F2742" w:rsidRPr="007F2742" w:rsidRDefault="007F2742" w:rsidP="007F2742">
      <w:pPr>
        <w:spacing w:line="240" w:lineRule="auto"/>
        <w:ind w:left="708"/>
        <w:jc w:val="both"/>
        <w:rPr>
          <w:rFonts w:ascii="Arial" w:eastAsia="Arial" w:hAnsi="Arial" w:cs="Arial"/>
          <w:i/>
          <w:iCs/>
          <w:color w:val="4472C4" w:themeColor="accent1"/>
          <w:sz w:val="20"/>
          <w:szCs w:val="24"/>
        </w:rPr>
      </w:pPr>
    </w:p>
    <w:p w:rsidR="007F2742" w:rsidRPr="007F2742" w:rsidRDefault="007F2742" w:rsidP="007F2742">
      <w:pPr>
        <w:autoSpaceDE w:val="0"/>
        <w:autoSpaceDN w:val="0"/>
        <w:adjustRightInd w:val="0"/>
        <w:ind w:firstLine="708"/>
        <w:jc w:val="both"/>
        <w:rPr>
          <w:rFonts w:ascii="Arial" w:eastAsiaTheme="minorHAnsi" w:hAnsi="Arial" w:cs="Arial"/>
          <w:color w:val="4472C4" w:themeColor="accent1"/>
          <w:sz w:val="20"/>
          <w:szCs w:val="24"/>
        </w:rPr>
      </w:pPr>
      <w:r w:rsidRPr="007F2742">
        <w:rPr>
          <w:rFonts w:ascii="Arial" w:eastAsia="Arial" w:hAnsi="Arial" w:cs="Arial"/>
          <w:color w:val="4472C4" w:themeColor="accent1"/>
          <w:sz w:val="20"/>
          <w:szCs w:val="24"/>
        </w:rPr>
        <w:lastRenderedPageBreak/>
        <w:t xml:space="preserve"> Así las cosas, p</w:t>
      </w:r>
      <w:r w:rsidRPr="007F2742">
        <w:rPr>
          <w:rFonts w:ascii="Arial" w:hAnsi="Arial" w:cs="Arial"/>
          <w:color w:val="4472C4" w:themeColor="accent1"/>
          <w:sz w:val="20"/>
          <w:szCs w:val="24"/>
        </w:rPr>
        <w:t xml:space="preserve">or todo lo anteriormente expuesto, esta Comisión concluye que resulta </w:t>
      </w:r>
      <w:r w:rsidRPr="007F2742">
        <w:rPr>
          <w:rFonts w:ascii="Arial" w:hAnsi="Arial" w:cs="Arial"/>
          <w:b/>
          <w:color w:val="4472C4" w:themeColor="accent1"/>
          <w:sz w:val="20"/>
          <w:szCs w:val="24"/>
        </w:rPr>
        <w:t>fundado el agravio</w:t>
      </w:r>
      <w:r w:rsidRPr="007F2742">
        <w:rPr>
          <w:rFonts w:ascii="Arial" w:hAnsi="Arial" w:cs="Arial"/>
          <w:color w:val="4472C4" w:themeColor="accent1"/>
          <w:sz w:val="20"/>
          <w:szCs w:val="24"/>
        </w:rPr>
        <w:t xml:space="preserve"> hecho valer por el recurrente en el recurso de revisión que hoy nos ocupa, por lo que resulta procedente que el Sujeto obligado notifique una nueva resolución en la cual contemple lo establecido en la presente resolución, dando observancia a los </w:t>
      </w:r>
      <w:r w:rsidRPr="007F2742">
        <w:rPr>
          <w:rFonts w:ascii="Arial" w:eastAsia="Arial" w:hAnsi="Arial" w:cs="Arial"/>
          <w:color w:val="4472C4" w:themeColor="accent1"/>
          <w:sz w:val="20"/>
          <w:szCs w:val="24"/>
        </w:rPr>
        <w:t>numerales 120, 121 y 125 de la ley de Transparencia y Acceso a la Información Pública del Estado de San Luis Potosí, así como los Lineamientos cuarto, quinto, sexto, octavo, noveno, trigésimo, de los Lineamientos Generales en Materia de Clasificación y Desclasificación de la Información, así como para la Elaboración de Versiones Públicas</w:t>
      </w:r>
      <w:r w:rsidRPr="007F2742">
        <w:rPr>
          <w:rFonts w:ascii="Arial" w:hAnsi="Arial" w:cs="Arial"/>
          <w:b/>
          <w:bCs/>
          <w:color w:val="4472C4" w:themeColor="accent1"/>
          <w:sz w:val="20"/>
          <w:szCs w:val="24"/>
        </w:rPr>
        <w:t>.</w:t>
      </w:r>
    </w:p>
    <w:p w:rsidR="007F2742" w:rsidRPr="007F2742" w:rsidRDefault="007F2742" w:rsidP="007F2742">
      <w:pPr>
        <w:spacing w:line="240" w:lineRule="auto"/>
        <w:ind w:firstLine="708"/>
        <w:jc w:val="both"/>
        <w:rPr>
          <w:rFonts w:ascii="Arial" w:eastAsia="Arial" w:hAnsi="Arial" w:cs="Arial"/>
          <w:color w:val="4472C4" w:themeColor="accent1"/>
          <w:sz w:val="20"/>
          <w:szCs w:val="24"/>
        </w:rPr>
      </w:pPr>
    </w:p>
    <w:p w:rsidR="007F2742" w:rsidRPr="007F2742" w:rsidRDefault="007F2742" w:rsidP="007F2742">
      <w:pPr>
        <w:pStyle w:val="corte4fondo"/>
        <w:spacing w:line="240" w:lineRule="auto"/>
        <w:ind w:firstLine="708"/>
        <w:rPr>
          <w:rFonts w:eastAsia="Arial" w:cs="Arial"/>
          <w:color w:val="4472C4" w:themeColor="accent1"/>
          <w:sz w:val="20"/>
          <w:szCs w:val="24"/>
        </w:rPr>
      </w:pPr>
      <w:r w:rsidRPr="007F2742">
        <w:rPr>
          <w:rFonts w:eastAsia="Arial" w:cs="Arial"/>
          <w:b/>
          <w:bCs/>
          <w:color w:val="4472C4" w:themeColor="accent1"/>
          <w:sz w:val="20"/>
          <w:szCs w:val="24"/>
        </w:rPr>
        <w:t>4.1. Sentido de esta resolución.</w:t>
      </w:r>
    </w:p>
    <w:p w:rsidR="007F2742" w:rsidRPr="007F2742" w:rsidRDefault="007F2742" w:rsidP="007F2742">
      <w:pPr>
        <w:spacing w:after="0" w:line="240" w:lineRule="auto"/>
        <w:ind w:firstLine="709"/>
        <w:jc w:val="both"/>
        <w:rPr>
          <w:rFonts w:ascii="Arial" w:eastAsia="Arial" w:hAnsi="Arial" w:cs="Arial"/>
          <w:color w:val="4472C4" w:themeColor="accent1"/>
          <w:sz w:val="20"/>
          <w:szCs w:val="24"/>
        </w:rPr>
      </w:pPr>
    </w:p>
    <w:p w:rsidR="007F2742" w:rsidRPr="007F2742" w:rsidRDefault="007F2742" w:rsidP="007F2742">
      <w:pPr>
        <w:pStyle w:val="corte4fondo"/>
        <w:spacing w:line="240" w:lineRule="auto"/>
        <w:ind w:firstLine="708"/>
        <w:rPr>
          <w:rFonts w:eastAsia="Arial" w:cs="Arial"/>
          <w:color w:val="4472C4" w:themeColor="accent1"/>
          <w:sz w:val="20"/>
          <w:szCs w:val="24"/>
        </w:rPr>
      </w:pPr>
      <w:r w:rsidRPr="007F2742">
        <w:rPr>
          <w:rFonts w:eastAsia="Arial" w:cs="Arial"/>
          <w:color w:val="4472C4" w:themeColor="accent1"/>
          <w:sz w:val="20"/>
          <w:szCs w:val="24"/>
        </w:rPr>
        <w:t xml:space="preserve">En las condiciones anotadas y al haber resultado fundado el agravio que hizo valer el recurrente, con fundamento en el artículo 175, fracción III de la Ley de Transparencia y Acceso a la Información Pública del Estado de San Luis Potosí, resulta procedente </w:t>
      </w:r>
      <w:r w:rsidRPr="007F2742">
        <w:rPr>
          <w:rFonts w:eastAsia="Arial" w:cs="Arial"/>
          <w:b/>
          <w:bCs/>
          <w:color w:val="4472C4" w:themeColor="accent1"/>
          <w:sz w:val="20"/>
          <w:szCs w:val="24"/>
        </w:rPr>
        <w:t>REVOCAR</w:t>
      </w:r>
      <w:r w:rsidRPr="007F2742">
        <w:rPr>
          <w:rFonts w:eastAsia="Arial" w:cs="Arial"/>
          <w:color w:val="4472C4" w:themeColor="accent1"/>
          <w:sz w:val="20"/>
          <w:szCs w:val="24"/>
        </w:rPr>
        <w:t xml:space="preserve"> la respuesta del sujeto obligado y, por lo tanto, lo conmina para que:</w:t>
      </w:r>
    </w:p>
    <w:p w:rsidR="007F2742" w:rsidRPr="007F2742" w:rsidRDefault="007F2742" w:rsidP="007F2742">
      <w:pPr>
        <w:spacing w:after="0" w:line="240" w:lineRule="auto"/>
        <w:ind w:firstLine="709"/>
        <w:jc w:val="both"/>
        <w:rPr>
          <w:rFonts w:ascii="Arial" w:eastAsia="Arial" w:hAnsi="Arial" w:cs="Arial"/>
          <w:color w:val="4472C4" w:themeColor="accent1"/>
          <w:sz w:val="20"/>
          <w:szCs w:val="24"/>
        </w:rPr>
      </w:pPr>
    </w:p>
    <w:p w:rsidR="007F2742" w:rsidRPr="007F2742" w:rsidRDefault="007F2742" w:rsidP="007F2742">
      <w:pPr>
        <w:pStyle w:val="Prrafodelista"/>
        <w:numPr>
          <w:ilvl w:val="0"/>
          <w:numId w:val="33"/>
        </w:numPr>
        <w:spacing w:line="240" w:lineRule="auto"/>
        <w:jc w:val="both"/>
        <w:rPr>
          <w:rFonts w:asciiTheme="minorHAnsi" w:eastAsiaTheme="minorEastAsia" w:hAnsiTheme="minorHAnsi" w:cstheme="minorBidi"/>
          <w:b/>
          <w:bCs/>
          <w:color w:val="4472C4" w:themeColor="accent1"/>
          <w:sz w:val="20"/>
          <w:szCs w:val="24"/>
        </w:rPr>
      </w:pPr>
      <w:r w:rsidRPr="007F2742">
        <w:rPr>
          <w:rFonts w:ascii="Arial" w:eastAsia="Arial" w:hAnsi="Arial" w:cs="Arial"/>
          <w:color w:val="4472C4" w:themeColor="accent1"/>
          <w:sz w:val="20"/>
          <w:szCs w:val="24"/>
        </w:rPr>
        <w:t>Remita la resolución administrativa aprobada por el Comité de Transparencia, debidamente fundada y motivada, en la cual haga observancia de las formalidades que debe contener el acuerdo de clasificación de la información como confidencial, de conformidad con la Ley de la materia y los Lineamientos Generales en Materia de Clasificación y Desclasificación de la Información, así como para la Elaboración de Versiones Públicas</w:t>
      </w:r>
      <w:r w:rsidRPr="007F2742">
        <w:rPr>
          <w:rFonts w:ascii="Arial" w:eastAsia="Arial" w:hAnsi="Arial" w:cs="Arial"/>
          <w:b/>
          <w:color w:val="4472C4" w:themeColor="accent1"/>
          <w:sz w:val="20"/>
          <w:szCs w:val="24"/>
        </w:rPr>
        <w:t>.</w:t>
      </w:r>
    </w:p>
    <w:p w:rsidR="007F2742" w:rsidRPr="007F2742" w:rsidRDefault="007F2742" w:rsidP="007F2742">
      <w:pPr>
        <w:pStyle w:val="corte4fondo"/>
        <w:numPr>
          <w:ilvl w:val="0"/>
          <w:numId w:val="33"/>
        </w:numPr>
        <w:spacing w:line="240" w:lineRule="auto"/>
        <w:rPr>
          <w:rFonts w:eastAsia="Arial" w:cs="Arial"/>
          <w:color w:val="4472C4" w:themeColor="accent1"/>
          <w:sz w:val="20"/>
          <w:szCs w:val="24"/>
        </w:rPr>
      </w:pPr>
      <w:r w:rsidRPr="007F2742">
        <w:rPr>
          <w:rFonts w:eastAsia="Arial" w:cs="Arial"/>
          <w:color w:val="4472C4" w:themeColor="accent1"/>
          <w:sz w:val="20"/>
          <w:szCs w:val="24"/>
        </w:rPr>
        <w:t>Remita al ahora recurrente la información solicitada en formato de versión pública, con las características estipuladas en la Ley de la materia y los Lineamientos para la Clasificación y Desclasificación de la Información así como para la Elaboración de Versiones Públicas;</w:t>
      </w:r>
    </w:p>
    <w:p w:rsidR="007F2742" w:rsidRPr="007F2742" w:rsidRDefault="007F2742" w:rsidP="007F2742">
      <w:pPr>
        <w:pStyle w:val="corte4fondo"/>
        <w:spacing w:line="240" w:lineRule="auto"/>
        <w:ind w:left="720" w:firstLine="0"/>
        <w:rPr>
          <w:rFonts w:eastAsia="Arial" w:cs="Arial"/>
          <w:color w:val="4472C4" w:themeColor="accent1"/>
          <w:sz w:val="20"/>
          <w:szCs w:val="24"/>
        </w:rPr>
      </w:pPr>
    </w:p>
    <w:p w:rsidR="007F2742" w:rsidRPr="007F2742" w:rsidRDefault="007F2742" w:rsidP="007F2742">
      <w:pPr>
        <w:pStyle w:val="corte4fondo"/>
        <w:numPr>
          <w:ilvl w:val="0"/>
          <w:numId w:val="33"/>
        </w:numPr>
        <w:spacing w:line="240" w:lineRule="auto"/>
        <w:rPr>
          <w:rFonts w:eastAsia="Arial" w:cs="Arial"/>
          <w:color w:val="4472C4" w:themeColor="accent1"/>
          <w:sz w:val="20"/>
          <w:szCs w:val="24"/>
        </w:rPr>
      </w:pPr>
      <w:r w:rsidRPr="007F2742">
        <w:rPr>
          <w:rFonts w:eastAsia="Arial" w:cs="Arial"/>
          <w:color w:val="4472C4" w:themeColor="accent1"/>
          <w:sz w:val="20"/>
          <w:szCs w:val="24"/>
        </w:rPr>
        <w:t>Entregue al ahora recurrente la información relacionada con “</w:t>
      </w:r>
      <w:r w:rsidRPr="007F2742">
        <w:rPr>
          <w:rFonts w:eastAsia="Arial" w:cs="Arial"/>
          <w:i/>
          <w:iCs/>
          <w:color w:val="4472C4" w:themeColor="accent1"/>
          <w:sz w:val="18"/>
          <w:szCs w:val="22"/>
        </w:rPr>
        <w:t xml:space="preserve">, REPORTE TÉCNICO DE OBRA, REPORTE DE AVANCE DETALLADO, CONVENIO/AMPLIACIÓN, CALCULO DE SANCIÓN/RETENCIÓN, NOTAS DE BITÁCORA Y OTROS, LOS QUE SE TENGAN POR SEMANA, QUINCENA O MENSUALES O CON LA PERIODICIDAD EN LA QUE SEAN ENTREGADOS, […], SOLICITO EL REPORTE FOTOGRÁFICO, LOS REPORTES ECONÓMICOS DE OBRA, LOS REPORTES QUINCENALES EN EL QUE SE DESGLOSE EL GASTO POR SEMANA QUE SE LLEVA”, </w:t>
      </w:r>
      <w:r w:rsidRPr="007F2742">
        <w:rPr>
          <w:rFonts w:eastAsia="Arial" w:cs="Arial"/>
          <w:color w:val="4472C4" w:themeColor="accent1"/>
          <w:sz w:val="18"/>
          <w:szCs w:val="22"/>
        </w:rPr>
        <w:t>relativo al periodo comprendido entre el inicio de la obra en cuestión y la presentación de la solicitud de acceso a la información, detallando de manera fundad y motivada las razones por las cuales se emite la respuesta en tal sentido.</w:t>
      </w:r>
    </w:p>
    <w:p w:rsidR="007F2742" w:rsidRPr="007F2742" w:rsidRDefault="007F2742" w:rsidP="007F2742">
      <w:pPr>
        <w:pStyle w:val="corte4fondo"/>
        <w:spacing w:line="240" w:lineRule="auto"/>
        <w:rPr>
          <w:rFonts w:eastAsia="Arial" w:cs="Arial"/>
          <w:color w:val="4472C4" w:themeColor="accent1"/>
          <w:sz w:val="20"/>
          <w:szCs w:val="24"/>
        </w:rPr>
      </w:pPr>
    </w:p>
    <w:p w:rsidR="007F2742" w:rsidRPr="007F2742" w:rsidRDefault="007F2742" w:rsidP="007F2742">
      <w:pPr>
        <w:pStyle w:val="corte4fondo"/>
        <w:spacing w:line="240" w:lineRule="auto"/>
        <w:ind w:firstLine="708"/>
        <w:rPr>
          <w:rFonts w:eastAsia="Arial" w:cs="Arial"/>
          <w:color w:val="4472C4" w:themeColor="accent1"/>
          <w:sz w:val="20"/>
          <w:szCs w:val="24"/>
        </w:rPr>
      </w:pPr>
      <w:r w:rsidRPr="007F2742">
        <w:rPr>
          <w:rFonts w:eastAsia="Arial" w:cs="Arial"/>
          <w:b/>
          <w:bCs/>
          <w:color w:val="4472C4" w:themeColor="accent1"/>
          <w:sz w:val="20"/>
          <w:szCs w:val="24"/>
        </w:rPr>
        <w:t>4.2. Precisiones de esta resolución.</w:t>
      </w:r>
    </w:p>
    <w:p w:rsidR="007F2742" w:rsidRPr="007F2742" w:rsidRDefault="007F2742" w:rsidP="007F2742">
      <w:pPr>
        <w:spacing w:after="0" w:line="240" w:lineRule="auto"/>
        <w:ind w:firstLine="709"/>
        <w:jc w:val="both"/>
        <w:rPr>
          <w:rFonts w:ascii="Arial" w:eastAsia="Arial" w:hAnsi="Arial" w:cs="Arial"/>
          <w:color w:val="4472C4" w:themeColor="accent1"/>
          <w:sz w:val="20"/>
          <w:szCs w:val="24"/>
        </w:rPr>
      </w:pPr>
    </w:p>
    <w:p w:rsidR="007F2742" w:rsidRPr="007F2742" w:rsidRDefault="007F2742" w:rsidP="007F2742">
      <w:pPr>
        <w:pStyle w:val="corte4fondo"/>
        <w:spacing w:line="240" w:lineRule="auto"/>
        <w:ind w:firstLine="708"/>
        <w:rPr>
          <w:rFonts w:eastAsia="Arial" w:cs="Arial"/>
          <w:color w:val="4472C4" w:themeColor="accent1"/>
          <w:sz w:val="20"/>
          <w:szCs w:val="24"/>
        </w:rPr>
      </w:pPr>
      <w:r w:rsidRPr="007F2742">
        <w:rPr>
          <w:rFonts w:eastAsia="Arial" w:cs="Arial"/>
          <w:color w:val="4472C4" w:themeColor="accent1"/>
          <w:sz w:val="20"/>
          <w:szCs w:val="24"/>
        </w:rPr>
        <w:t>De conformidad con el último párrafo del artículo 175 de la Ley de Transparencia está Comisión de Transparencia establece los siguientes términos para el cumplimiento de la resolución.</w:t>
      </w:r>
    </w:p>
    <w:p w:rsidR="007F2742" w:rsidRPr="007F2742" w:rsidRDefault="007F2742" w:rsidP="007F2742">
      <w:pPr>
        <w:spacing w:after="0" w:line="240" w:lineRule="auto"/>
        <w:ind w:firstLine="709"/>
        <w:jc w:val="both"/>
        <w:rPr>
          <w:rFonts w:ascii="Arial" w:eastAsia="Arial" w:hAnsi="Arial" w:cs="Arial"/>
          <w:color w:val="4472C4" w:themeColor="accent1"/>
          <w:sz w:val="20"/>
          <w:szCs w:val="24"/>
        </w:rPr>
      </w:pPr>
    </w:p>
    <w:p w:rsidR="007F2742" w:rsidRPr="007F2742" w:rsidRDefault="007F2742" w:rsidP="007F2742">
      <w:pPr>
        <w:pStyle w:val="corte4fondo"/>
        <w:spacing w:line="240" w:lineRule="auto"/>
        <w:rPr>
          <w:rFonts w:eastAsia="Arial" w:cs="Arial"/>
          <w:color w:val="4472C4" w:themeColor="accent1"/>
          <w:sz w:val="20"/>
          <w:szCs w:val="24"/>
        </w:rPr>
      </w:pPr>
      <w:r w:rsidRPr="007F2742">
        <w:rPr>
          <w:rFonts w:eastAsia="Arial" w:cs="Arial"/>
          <w:b/>
          <w:bCs/>
          <w:color w:val="4472C4" w:themeColor="accent1"/>
          <w:sz w:val="20"/>
          <w:szCs w:val="24"/>
        </w:rPr>
        <w:t>El sujeto obligado deberá entregar los documentos que contengan la información solicitada en la modalidad peticionada por el particular.</w:t>
      </w:r>
    </w:p>
    <w:p w:rsidR="007F2742" w:rsidRPr="007F2742" w:rsidRDefault="007F2742" w:rsidP="007F2742">
      <w:pPr>
        <w:spacing w:after="0" w:line="240" w:lineRule="auto"/>
        <w:ind w:firstLine="709"/>
        <w:jc w:val="both"/>
        <w:rPr>
          <w:rFonts w:ascii="Arial" w:eastAsia="Arial" w:hAnsi="Arial" w:cs="Arial"/>
          <w:color w:val="4472C4" w:themeColor="accent1"/>
          <w:sz w:val="20"/>
          <w:szCs w:val="24"/>
        </w:rPr>
      </w:pPr>
    </w:p>
    <w:p w:rsidR="007F2742" w:rsidRPr="007F2742" w:rsidRDefault="007F2742" w:rsidP="007F2742">
      <w:pPr>
        <w:spacing w:after="0" w:line="240" w:lineRule="auto"/>
        <w:ind w:firstLine="709"/>
        <w:jc w:val="both"/>
        <w:rPr>
          <w:rFonts w:ascii="Arial" w:eastAsia="Arial" w:hAnsi="Arial" w:cs="Arial"/>
          <w:color w:val="4472C4" w:themeColor="accent1"/>
          <w:sz w:val="20"/>
          <w:szCs w:val="24"/>
        </w:rPr>
      </w:pPr>
    </w:p>
    <w:p w:rsidR="007F2742" w:rsidRPr="007F2742" w:rsidRDefault="007F2742" w:rsidP="007F2742">
      <w:pPr>
        <w:pStyle w:val="corte4fondo"/>
        <w:ind w:firstLine="708"/>
        <w:rPr>
          <w:rFonts w:eastAsia="Arial" w:cs="Arial"/>
          <w:color w:val="4472C4" w:themeColor="accent1"/>
          <w:sz w:val="20"/>
          <w:szCs w:val="24"/>
        </w:rPr>
      </w:pPr>
      <w:r w:rsidRPr="007F2742">
        <w:rPr>
          <w:rFonts w:eastAsia="Arial" w:cs="Arial"/>
          <w:b/>
          <w:bCs/>
          <w:color w:val="4472C4" w:themeColor="accent1"/>
          <w:sz w:val="20"/>
          <w:szCs w:val="24"/>
          <w:lang w:val="es-ES"/>
        </w:rPr>
        <w:t>4.3. Plazo para el cumplimento de esta resolución.</w:t>
      </w:r>
    </w:p>
    <w:p w:rsidR="007F2742" w:rsidRPr="007F2742" w:rsidRDefault="007F2742" w:rsidP="007F2742">
      <w:pPr>
        <w:pStyle w:val="corte4fondo"/>
        <w:spacing w:line="240" w:lineRule="auto"/>
        <w:ind w:firstLine="708"/>
        <w:rPr>
          <w:rFonts w:eastAsia="Arial" w:cs="Arial"/>
          <w:color w:val="4472C4" w:themeColor="accent1"/>
          <w:sz w:val="20"/>
          <w:szCs w:val="24"/>
        </w:rPr>
      </w:pPr>
      <w:r w:rsidRPr="007F2742">
        <w:rPr>
          <w:rFonts w:eastAsia="Arial" w:cs="Arial"/>
          <w:color w:val="4472C4" w:themeColor="accent1"/>
          <w:sz w:val="20"/>
          <w:szCs w:val="24"/>
        </w:rPr>
        <w:t xml:space="preserve">Con fundamento en el artículo 175 de la Ley de Transparencia y Acceso a la Información Pública del Estado, este órgano colegiado le concede al sujeto obligado el plazo de </w:t>
      </w:r>
      <w:r w:rsidRPr="007F2742">
        <w:rPr>
          <w:rFonts w:eastAsia="Arial" w:cs="Arial"/>
          <w:b/>
          <w:bCs/>
          <w:color w:val="4472C4" w:themeColor="accent1"/>
          <w:sz w:val="20"/>
          <w:szCs w:val="24"/>
        </w:rPr>
        <w:t xml:space="preserve">diez días </w:t>
      </w:r>
      <w:r w:rsidRPr="007F2742">
        <w:rPr>
          <w:rFonts w:eastAsia="Arial" w:cs="Arial"/>
          <w:color w:val="4472C4" w:themeColor="accent1"/>
          <w:sz w:val="20"/>
          <w:szCs w:val="24"/>
        </w:rPr>
        <w:t>para la entrega de la información, plazo que es el que está Comisión de Transparencia considera que es suficiente, ya que es el máximo autorizado por el citado precepto.</w:t>
      </w:r>
    </w:p>
    <w:p w:rsidR="007F2742" w:rsidRPr="007F2742" w:rsidRDefault="007F2742" w:rsidP="007F2742">
      <w:pPr>
        <w:spacing w:after="0" w:line="360" w:lineRule="auto"/>
        <w:ind w:firstLine="709"/>
        <w:jc w:val="both"/>
        <w:rPr>
          <w:rFonts w:ascii="Arial" w:eastAsia="Arial" w:hAnsi="Arial" w:cs="Arial"/>
          <w:color w:val="4472C4" w:themeColor="accent1"/>
          <w:sz w:val="20"/>
          <w:szCs w:val="24"/>
        </w:rPr>
      </w:pPr>
    </w:p>
    <w:p w:rsidR="007F2742" w:rsidRPr="007F2742" w:rsidRDefault="007F2742" w:rsidP="007F2742">
      <w:pPr>
        <w:pStyle w:val="corte4fondo"/>
        <w:ind w:firstLine="708"/>
        <w:rPr>
          <w:rFonts w:eastAsia="Arial" w:cs="Arial"/>
          <w:color w:val="4472C4" w:themeColor="accent1"/>
          <w:sz w:val="20"/>
          <w:szCs w:val="24"/>
        </w:rPr>
      </w:pPr>
      <w:r w:rsidRPr="007F2742">
        <w:rPr>
          <w:rFonts w:eastAsia="Arial" w:cs="Arial"/>
          <w:b/>
          <w:bCs/>
          <w:color w:val="4472C4" w:themeColor="accent1"/>
          <w:sz w:val="20"/>
          <w:szCs w:val="24"/>
          <w:lang w:val="es-ES"/>
        </w:rPr>
        <w:t>4.4 Informe sobre el cumplimento a la resolución.</w:t>
      </w:r>
    </w:p>
    <w:p w:rsidR="007F2742" w:rsidRPr="007F2742" w:rsidRDefault="007F2742" w:rsidP="007F2742">
      <w:pPr>
        <w:pStyle w:val="corte4fondo"/>
        <w:spacing w:line="240" w:lineRule="auto"/>
        <w:ind w:firstLine="708"/>
        <w:rPr>
          <w:rFonts w:eastAsia="Arial" w:cs="Arial"/>
          <w:color w:val="4472C4" w:themeColor="accent1"/>
          <w:sz w:val="20"/>
          <w:szCs w:val="24"/>
        </w:rPr>
      </w:pPr>
      <w:r w:rsidRPr="007F2742">
        <w:rPr>
          <w:rFonts w:eastAsia="Arial" w:cs="Arial"/>
          <w:color w:val="4472C4" w:themeColor="accent1"/>
          <w:sz w:val="20"/>
          <w:szCs w:val="24"/>
        </w:rPr>
        <w:t xml:space="preserve">De conformidad con el artículo 177, segundo párrafo, el sujeto obligado deberá de informar a esta Comisión de Transparencia el </w:t>
      </w:r>
      <w:r w:rsidRPr="007F2742">
        <w:rPr>
          <w:rFonts w:eastAsia="Arial" w:cs="Arial"/>
          <w:b/>
          <w:bCs/>
          <w:color w:val="4472C4" w:themeColor="accent1"/>
          <w:sz w:val="20"/>
          <w:szCs w:val="24"/>
        </w:rPr>
        <w:t xml:space="preserve">cumplimento a la presente resolución en un plazo que no deberá de exceder de tres días siguientes a los diez días que tiene para la entrega de la información </w:t>
      </w:r>
      <w:r w:rsidRPr="007F2742">
        <w:rPr>
          <w:rFonts w:eastAsia="Arial" w:cs="Arial"/>
          <w:color w:val="4472C4" w:themeColor="accent1"/>
          <w:sz w:val="20"/>
          <w:szCs w:val="24"/>
        </w:rPr>
        <w:t>en donde justificará con los documentos necesarios el cumplimento a lo aquí ordenado.</w:t>
      </w:r>
    </w:p>
    <w:p w:rsidR="007F2742" w:rsidRPr="007F2742" w:rsidRDefault="007F2742" w:rsidP="007F2742">
      <w:pPr>
        <w:spacing w:after="0" w:line="360" w:lineRule="auto"/>
        <w:ind w:firstLine="709"/>
        <w:jc w:val="both"/>
        <w:rPr>
          <w:rFonts w:ascii="Arial" w:eastAsia="Arial" w:hAnsi="Arial" w:cs="Arial"/>
          <w:color w:val="4472C4" w:themeColor="accent1"/>
          <w:sz w:val="20"/>
          <w:szCs w:val="24"/>
        </w:rPr>
      </w:pPr>
    </w:p>
    <w:p w:rsidR="007F2742" w:rsidRPr="007F2742" w:rsidRDefault="007F2742" w:rsidP="007F2742">
      <w:pPr>
        <w:pStyle w:val="corte4fondo"/>
        <w:ind w:firstLine="708"/>
        <w:rPr>
          <w:rFonts w:eastAsia="Arial" w:cs="Arial"/>
          <w:color w:val="4472C4" w:themeColor="accent1"/>
          <w:sz w:val="20"/>
          <w:szCs w:val="24"/>
        </w:rPr>
      </w:pPr>
      <w:r w:rsidRPr="007F2742">
        <w:rPr>
          <w:rFonts w:eastAsia="Arial" w:cs="Arial"/>
          <w:b/>
          <w:bCs/>
          <w:color w:val="4472C4" w:themeColor="accent1"/>
          <w:sz w:val="20"/>
          <w:szCs w:val="24"/>
          <w:lang w:val="es-ES"/>
        </w:rPr>
        <w:t>4.5. Medida de apremio en caso de incumplimiento a la resolución.</w:t>
      </w:r>
    </w:p>
    <w:p w:rsidR="007F2742" w:rsidRPr="007F2742" w:rsidRDefault="007F2742" w:rsidP="007F2742">
      <w:pPr>
        <w:spacing w:after="0" w:line="360" w:lineRule="auto"/>
        <w:ind w:firstLine="709"/>
        <w:jc w:val="both"/>
        <w:rPr>
          <w:rFonts w:ascii="Arial" w:eastAsia="Arial" w:hAnsi="Arial" w:cs="Arial"/>
          <w:color w:val="4472C4" w:themeColor="accent1"/>
          <w:sz w:val="20"/>
          <w:szCs w:val="24"/>
        </w:rPr>
      </w:pPr>
    </w:p>
    <w:p w:rsidR="007F2742" w:rsidRPr="007F2742" w:rsidRDefault="007F2742" w:rsidP="007F2742">
      <w:pPr>
        <w:pStyle w:val="corte4fondo"/>
        <w:spacing w:line="240" w:lineRule="auto"/>
        <w:ind w:firstLine="708"/>
        <w:rPr>
          <w:rFonts w:eastAsia="Arial" w:cs="Arial"/>
          <w:color w:val="4472C4" w:themeColor="accent1"/>
          <w:sz w:val="20"/>
          <w:szCs w:val="24"/>
        </w:rPr>
      </w:pPr>
      <w:r w:rsidRPr="007F2742">
        <w:rPr>
          <w:rFonts w:eastAsia="Arial" w:cs="Arial"/>
          <w:color w:val="4472C4" w:themeColor="accent1"/>
          <w:sz w:val="20"/>
          <w:szCs w:val="24"/>
        </w:rPr>
        <w:lastRenderedPageBreak/>
        <w:t xml:space="preserve">Esta Comisión Estatal de Garantía de Acceso a la Información Pública apercibe al sujeto obligado que, en caso de no acatar la presente resolución, podrá ser acreedor de alguna de las medidas de apremio establecidas en el artículo 190 de la Ley de Transparencia, en virtud de que este Órgano Colegiado debe de garantizar el debido cumplimiento al derecho humano de acceso a la información pública.  </w:t>
      </w:r>
    </w:p>
    <w:p w:rsidR="007F2742" w:rsidRPr="007F2742" w:rsidRDefault="007F2742" w:rsidP="007F2742">
      <w:pPr>
        <w:spacing w:after="0" w:line="360" w:lineRule="auto"/>
        <w:ind w:firstLine="709"/>
        <w:jc w:val="both"/>
        <w:rPr>
          <w:rFonts w:ascii="Arial" w:eastAsia="Arial" w:hAnsi="Arial" w:cs="Arial"/>
          <w:color w:val="4472C4" w:themeColor="accent1"/>
          <w:sz w:val="20"/>
          <w:szCs w:val="24"/>
        </w:rPr>
      </w:pPr>
    </w:p>
    <w:p w:rsidR="007F2742" w:rsidRPr="007F2742" w:rsidRDefault="007F2742" w:rsidP="007F2742">
      <w:pPr>
        <w:pStyle w:val="corte4fondo"/>
        <w:jc w:val="center"/>
        <w:rPr>
          <w:rFonts w:eastAsia="Arial" w:cs="Arial"/>
          <w:color w:val="4472C4" w:themeColor="accent1"/>
          <w:sz w:val="20"/>
          <w:szCs w:val="24"/>
        </w:rPr>
      </w:pPr>
      <w:r w:rsidRPr="007F2742">
        <w:rPr>
          <w:rFonts w:eastAsia="Arial" w:cs="Arial"/>
          <w:b/>
          <w:bCs/>
          <w:color w:val="4472C4" w:themeColor="accent1"/>
          <w:sz w:val="20"/>
          <w:szCs w:val="24"/>
        </w:rPr>
        <w:t>RESOLUTIVO</w:t>
      </w:r>
    </w:p>
    <w:p w:rsidR="007F2742" w:rsidRPr="007F2742" w:rsidRDefault="007F2742" w:rsidP="007F2742">
      <w:pPr>
        <w:spacing w:after="0" w:line="360" w:lineRule="auto"/>
        <w:ind w:firstLine="709"/>
        <w:jc w:val="center"/>
        <w:rPr>
          <w:rFonts w:ascii="Arial" w:eastAsia="Arial" w:hAnsi="Arial" w:cs="Arial"/>
          <w:color w:val="4472C4" w:themeColor="accent1"/>
          <w:sz w:val="20"/>
          <w:szCs w:val="24"/>
        </w:rPr>
      </w:pPr>
    </w:p>
    <w:p w:rsidR="007F2742" w:rsidRPr="007F2742" w:rsidRDefault="007F2742" w:rsidP="007F2742">
      <w:pPr>
        <w:pStyle w:val="corte4fondo"/>
        <w:ind w:firstLine="708"/>
        <w:rPr>
          <w:rFonts w:eastAsia="Arial" w:cs="Arial"/>
          <w:color w:val="4472C4" w:themeColor="accent1"/>
          <w:sz w:val="20"/>
          <w:szCs w:val="24"/>
        </w:rPr>
      </w:pPr>
      <w:r w:rsidRPr="007F2742">
        <w:rPr>
          <w:rFonts w:eastAsia="Arial" w:cs="Arial"/>
          <w:b/>
          <w:bCs/>
          <w:color w:val="4472C4" w:themeColor="accent1"/>
          <w:sz w:val="20"/>
          <w:szCs w:val="24"/>
        </w:rPr>
        <w:t>Por lo expuesto y fundado, SE RESUELVE:</w:t>
      </w:r>
    </w:p>
    <w:p w:rsidR="007F2742" w:rsidRPr="007F2742" w:rsidRDefault="007F2742" w:rsidP="007F2742">
      <w:pPr>
        <w:spacing w:after="0" w:line="360" w:lineRule="auto"/>
        <w:ind w:firstLine="709"/>
        <w:jc w:val="both"/>
        <w:rPr>
          <w:rFonts w:ascii="Arial" w:eastAsia="Arial" w:hAnsi="Arial" w:cs="Arial"/>
          <w:color w:val="4472C4" w:themeColor="accent1"/>
          <w:sz w:val="20"/>
          <w:szCs w:val="24"/>
        </w:rPr>
      </w:pPr>
    </w:p>
    <w:p w:rsidR="007F2742" w:rsidRPr="007F2742" w:rsidRDefault="007F2742" w:rsidP="007F2742">
      <w:pPr>
        <w:pStyle w:val="corte4fondo"/>
        <w:spacing w:line="240" w:lineRule="auto"/>
        <w:ind w:firstLine="708"/>
        <w:rPr>
          <w:rFonts w:eastAsia="Arial" w:cs="Arial"/>
          <w:color w:val="4472C4" w:themeColor="accent1"/>
          <w:sz w:val="20"/>
          <w:szCs w:val="24"/>
        </w:rPr>
      </w:pPr>
      <w:r w:rsidRPr="007F2742">
        <w:rPr>
          <w:rFonts w:ascii="Calibri" w:eastAsia="Calibri" w:hAnsi="Calibri" w:cs="Calibri"/>
          <w:b/>
          <w:bCs/>
          <w:color w:val="4472C4" w:themeColor="accent1"/>
          <w:sz w:val="20"/>
          <w:szCs w:val="24"/>
        </w:rPr>
        <w:t xml:space="preserve">ÚNICO. </w:t>
      </w:r>
      <w:r w:rsidRPr="007F2742">
        <w:rPr>
          <w:rFonts w:eastAsia="Arial" w:cs="Arial"/>
          <w:color w:val="4472C4" w:themeColor="accent1"/>
          <w:sz w:val="20"/>
          <w:szCs w:val="24"/>
        </w:rPr>
        <w:t xml:space="preserve">Esta Comisión Estatal de Garantía y Acceso a la Información Pública </w:t>
      </w:r>
      <w:r w:rsidRPr="007F2742">
        <w:rPr>
          <w:rFonts w:eastAsia="Arial" w:cs="Arial"/>
          <w:b/>
          <w:bCs/>
          <w:color w:val="4472C4" w:themeColor="accent1"/>
          <w:sz w:val="20"/>
          <w:szCs w:val="24"/>
        </w:rPr>
        <w:t>Revoca el acto impugnado</w:t>
      </w:r>
      <w:r w:rsidRPr="007F2742">
        <w:rPr>
          <w:rFonts w:eastAsia="Arial" w:cs="Arial"/>
          <w:color w:val="4472C4" w:themeColor="accent1"/>
          <w:sz w:val="20"/>
          <w:szCs w:val="24"/>
        </w:rPr>
        <w:t xml:space="preserve"> por los fundamentos y las razones desarrolladas en el considerando cuarto de la presente resolución.</w:t>
      </w:r>
    </w:p>
    <w:p w:rsidR="007F2742" w:rsidRPr="007F2742" w:rsidRDefault="007F2742" w:rsidP="007F2742">
      <w:pPr>
        <w:spacing w:after="0" w:line="360" w:lineRule="auto"/>
        <w:ind w:firstLine="709"/>
        <w:jc w:val="both"/>
        <w:rPr>
          <w:rFonts w:ascii="Arial" w:eastAsia="Arial" w:hAnsi="Arial" w:cs="Arial"/>
          <w:color w:val="4472C4" w:themeColor="accent1"/>
          <w:sz w:val="20"/>
          <w:szCs w:val="24"/>
        </w:rPr>
      </w:pPr>
    </w:p>
    <w:p w:rsidR="007F2742" w:rsidRPr="007F2742" w:rsidRDefault="007F2742" w:rsidP="007F2742">
      <w:pPr>
        <w:pStyle w:val="corte4fondo"/>
        <w:ind w:firstLine="708"/>
        <w:rPr>
          <w:rFonts w:eastAsia="Arial" w:cs="Arial"/>
          <w:color w:val="4472C4" w:themeColor="accent1"/>
          <w:sz w:val="20"/>
          <w:szCs w:val="24"/>
        </w:rPr>
      </w:pPr>
      <w:r w:rsidRPr="007F2742">
        <w:rPr>
          <w:rFonts w:eastAsia="Arial" w:cs="Arial"/>
          <w:color w:val="4472C4" w:themeColor="accent1"/>
          <w:sz w:val="20"/>
          <w:szCs w:val="24"/>
        </w:rPr>
        <w:t>Notifíquese; por oficio a las autoridades y a la recurrente por el medio que designó</w:t>
      </w:r>
      <w:r w:rsidRPr="007F2742">
        <w:rPr>
          <w:rFonts w:eastAsia="Arial" w:cs="Arial"/>
          <w:b/>
          <w:bCs/>
          <w:color w:val="4472C4" w:themeColor="accent1"/>
          <w:sz w:val="20"/>
          <w:szCs w:val="24"/>
        </w:rPr>
        <w:t>.</w:t>
      </w:r>
    </w:p>
    <w:p w:rsidR="007F2742" w:rsidRPr="007F2742" w:rsidRDefault="007F2742" w:rsidP="007F2742">
      <w:pPr>
        <w:spacing w:line="240" w:lineRule="auto"/>
        <w:ind w:firstLine="708"/>
        <w:jc w:val="both"/>
        <w:rPr>
          <w:rFonts w:ascii="Arial" w:eastAsia="Arial" w:hAnsi="Arial" w:cs="Arial"/>
          <w:color w:val="4472C4" w:themeColor="accent1"/>
          <w:sz w:val="20"/>
          <w:szCs w:val="24"/>
        </w:rPr>
      </w:pPr>
    </w:p>
    <w:p w:rsidR="007F2742" w:rsidRPr="007F2742" w:rsidRDefault="007F2742" w:rsidP="007F2742">
      <w:pPr>
        <w:pStyle w:val="corte4fondo"/>
        <w:spacing w:line="240" w:lineRule="auto"/>
        <w:ind w:firstLine="708"/>
        <w:rPr>
          <w:rFonts w:cs="Arial"/>
          <w:color w:val="4472C4" w:themeColor="accent1"/>
          <w:sz w:val="20"/>
          <w:szCs w:val="24"/>
        </w:rPr>
      </w:pPr>
      <w:r w:rsidRPr="007F2742">
        <w:rPr>
          <w:rFonts w:cs="Arial"/>
          <w:color w:val="4472C4" w:themeColor="accent1"/>
          <w:sz w:val="20"/>
          <w:szCs w:val="24"/>
        </w:rPr>
        <w:t xml:space="preserve">Así, por unanimidad de votos lo resolvió la Comisión Estatal de Garantía de Acceso a la Información Pública, integrada por los Comisionados Mariajosé González Zarzosa, Paulina Sánchez Pérez del Pozo, David Enrique Menchaca Zúñiga Presidente, siendo ponente la segunda de los nombrados, quienes, en unión de la Licenciada Rosa María Motilla García, Secretaria de Pleno que da fe, firman esta resolución.    </w:t>
      </w:r>
    </w:p>
    <w:p w:rsidR="00FE3FDC" w:rsidRDefault="00FE3FDC" w:rsidP="00073B3F">
      <w:pPr>
        <w:pStyle w:val="Sinespaciado"/>
        <w:jc w:val="both"/>
        <w:rPr>
          <w:rFonts w:ascii="Arial" w:eastAsia="Times New Roman" w:hAnsi="Arial" w:cs="Arial"/>
          <w:b/>
          <w:color w:val="4472C4" w:themeColor="accent1"/>
          <w:sz w:val="24"/>
          <w:szCs w:val="24"/>
          <w:lang w:val="x-none" w:eastAsia="es-MX"/>
        </w:rPr>
      </w:pPr>
    </w:p>
    <w:tbl>
      <w:tblPr>
        <w:tblW w:w="8897" w:type="dxa"/>
        <w:tblLook w:val="04A0" w:firstRow="1" w:lastRow="0" w:firstColumn="1" w:lastColumn="0" w:noHBand="0" w:noVBand="1"/>
      </w:tblPr>
      <w:tblGrid>
        <w:gridCol w:w="4219"/>
        <w:gridCol w:w="4678"/>
      </w:tblGrid>
      <w:tr w:rsidR="00073B3F" w:rsidRPr="00EA128D" w:rsidTr="008E77A8">
        <w:tc>
          <w:tcPr>
            <w:tcW w:w="4219" w:type="dxa"/>
          </w:tcPr>
          <w:p w:rsidR="00073B3F" w:rsidRPr="00EA128D" w:rsidRDefault="00073B3F" w:rsidP="008E77A8">
            <w:pPr>
              <w:spacing w:after="240" w:line="240" w:lineRule="auto"/>
              <w:jc w:val="center"/>
              <w:rPr>
                <w:rFonts w:ascii="Arial" w:eastAsia="Times New Roman" w:hAnsi="Arial" w:cs="Arial"/>
                <w:b/>
                <w:caps/>
                <w:sz w:val="24"/>
                <w:szCs w:val="24"/>
              </w:rPr>
            </w:pPr>
            <w:r w:rsidRPr="00EA128D">
              <w:rPr>
                <w:rFonts w:ascii="Arial" w:eastAsia="Times New Roman" w:hAnsi="Arial" w:cs="Arial"/>
                <w:b/>
                <w:caps/>
                <w:sz w:val="24"/>
                <w:szCs w:val="24"/>
              </w:rPr>
              <w:t>COMISIONADO PRESIDENTE</w:t>
            </w:r>
          </w:p>
          <w:p w:rsidR="00073B3F" w:rsidRPr="00EA128D" w:rsidRDefault="00073B3F" w:rsidP="008E77A8">
            <w:pPr>
              <w:spacing w:before="240" w:after="240" w:line="240" w:lineRule="auto"/>
              <w:jc w:val="center"/>
              <w:rPr>
                <w:rFonts w:ascii="Arial" w:eastAsia="Times New Roman" w:hAnsi="Arial" w:cs="Arial"/>
                <w:b/>
                <w:caps/>
                <w:sz w:val="24"/>
                <w:szCs w:val="24"/>
              </w:rPr>
            </w:pPr>
          </w:p>
          <w:p w:rsidR="00073B3F" w:rsidRPr="00EA128D" w:rsidRDefault="00073B3F" w:rsidP="008E77A8">
            <w:pPr>
              <w:spacing w:before="240" w:after="240" w:line="240" w:lineRule="auto"/>
              <w:jc w:val="center"/>
              <w:rPr>
                <w:rFonts w:ascii="Arial" w:eastAsia="Times New Roman" w:hAnsi="Arial" w:cs="Arial"/>
                <w:b/>
                <w:caps/>
                <w:sz w:val="24"/>
                <w:szCs w:val="24"/>
              </w:rPr>
            </w:pPr>
          </w:p>
          <w:p w:rsidR="00073B3F" w:rsidRPr="00EA128D" w:rsidRDefault="00073B3F" w:rsidP="008E77A8">
            <w:pPr>
              <w:spacing w:before="240" w:after="240" w:line="240" w:lineRule="auto"/>
              <w:jc w:val="center"/>
              <w:rPr>
                <w:rFonts w:ascii="Arial" w:eastAsia="Times New Roman" w:hAnsi="Arial" w:cs="Arial"/>
                <w:b/>
                <w:caps/>
                <w:sz w:val="24"/>
                <w:szCs w:val="24"/>
              </w:rPr>
            </w:pPr>
            <w:r w:rsidRPr="00EA128D">
              <w:rPr>
                <w:rFonts w:ascii="Arial" w:eastAsia="Times New Roman" w:hAnsi="Arial" w:cs="Arial"/>
                <w:b/>
                <w:caps/>
                <w:sz w:val="24"/>
                <w:szCs w:val="24"/>
              </w:rPr>
              <w:t>DAVID ENRIQUE MENCHACA Z</w:t>
            </w:r>
            <w:r>
              <w:rPr>
                <w:rFonts w:ascii="Arial" w:eastAsia="Times New Roman" w:hAnsi="Arial" w:cs="Arial"/>
                <w:b/>
                <w:caps/>
                <w:sz w:val="24"/>
                <w:szCs w:val="24"/>
              </w:rPr>
              <w:t>Ú</w:t>
            </w:r>
            <w:r w:rsidRPr="00EA128D">
              <w:rPr>
                <w:rFonts w:ascii="Arial" w:eastAsia="Times New Roman" w:hAnsi="Arial" w:cs="Arial"/>
                <w:b/>
                <w:caps/>
                <w:sz w:val="24"/>
                <w:szCs w:val="24"/>
              </w:rPr>
              <w:t>ÑIGA</w:t>
            </w:r>
          </w:p>
          <w:p w:rsidR="00073B3F" w:rsidRPr="00EA128D" w:rsidRDefault="00073B3F" w:rsidP="008E77A8">
            <w:pPr>
              <w:spacing w:before="240" w:after="240" w:line="240" w:lineRule="auto"/>
              <w:jc w:val="center"/>
              <w:rPr>
                <w:rFonts w:ascii="Arial" w:eastAsia="Times New Roman" w:hAnsi="Arial" w:cs="Arial"/>
                <w:b/>
                <w:caps/>
                <w:sz w:val="24"/>
                <w:szCs w:val="24"/>
              </w:rPr>
            </w:pPr>
          </w:p>
        </w:tc>
        <w:tc>
          <w:tcPr>
            <w:tcW w:w="4678" w:type="dxa"/>
          </w:tcPr>
          <w:p w:rsidR="00073B3F" w:rsidRPr="00EA128D" w:rsidRDefault="00073B3F" w:rsidP="008E77A8">
            <w:pPr>
              <w:spacing w:after="240" w:line="240" w:lineRule="auto"/>
              <w:ind w:left="48"/>
              <w:jc w:val="center"/>
              <w:rPr>
                <w:rFonts w:ascii="Arial" w:eastAsia="Times New Roman" w:hAnsi="Arial" w:cs="Arial"/>
                <w:b/>
                <w:caps/>
                <w:sz w:val="24"/>
                <w:szCs w:val="24"/>
              </w:rPr>
            </w:pPr>
            <w:r w:rsidRPr="00EA128D">
              <w:rPr>
                <w:rFonts w:ascii="Arial" w:eastAsia="Times New Roman" w:hAnsi="Arial" w:cs="Arial"/>
                <w:b/>
                <w:caps/>
                <w:sz w:val="24"/>
                <w:szCs w:val="24"/>
              </w:rPr>
              <w:t>COMISIONAD</w:t>
            </w:r>
            <w:r>
              <w:rPr>
                <w:rFonts w:ascii="Arial" w:eastAsia="Times New Roman" w:hAnsi="Arial" w:cs="Arial"/>
                <w:b/>
                <w:caps/>
                <w:sz w:val="24"/>
                <w:szCs w:val="24"/>
              </w:rPr>
              <w:t>A</w:t>
            </w:r>
          </w:p>
          <w:p w:rsidR="00073B3F" w:rsidRPr="00EA128D" w:rsidRDefault="00073B3F" w:rsidP="008E77A8">
            <w:pPr>
              <w:spacing w:before="240" w:after="240" w:line="240" w:lineRule="auto"/>
              <w:jc w:val="center"/>
              <w:rPr>
                <w:rFonts w:ascii="Arial" w:eastAsia="Times New Roman" w:hAnsi="Arial" w:cs="Arial"/>
                <w:b/>
                <w:caps/>
                <w:sz w:val="24"/>
                <w:szCs w:val="24"/>
              </w:rPr>
            </w:pPr>
          </w:p>
          <w:p w:rsidR="00073B3F" w:rsidRPr="00EA128D" w:rsidRDefault="00073B3F" w:rsidP="008E77A8">
            <w:pPr>
              <w:spacing w:before="240" w:after="240" w:line="240" w:lineRule="auto"/>
              <w:jc w:val="center"/>
              <w:rPr>
                <w:rFonts w:ascii="Arial" w:eastAsia="Times New Roman" w:hAnsi="Arial" w:cs="Arial"/>
                <w:b/>
                <w:caps/>
                <w:sz w:val="24"/>
                <w:szCs w:val="24"/>
              </w:rPr>
            </w:pPr>
          </w:p>
          <w:p w:rsidR="00073B3F" w:rsidRPr="00EA128D" w:rsidRDefault="00073B3F" w:rsidP="008E77A8">
            <w:pPr>
              <w:spacing w:before="240" w:after="240" w:line="240" w:lineRule="auto"/>
              <w:jc w:val="center"/>
              <w:rPr>
                <w:rFonts w:ascii="Arial" w:eastAsia="Times New Roman" w:hAnsi="Arial" w:cs="Arial"/>
                <w:b/>
                <w:caps/>
                <w:sz w:val="24"/>
                <w:szCs w:val="24"/>
              </w:rPr>
            </w:pPr>
            <w:r>
              <w:rPr>
                <w:rFonts w:ascii="Arial" w:eastAsia="Times New Roman" w:hAnsi="Arial" w:cs="Arial"/>
                <w:b/>
                <w:caps/>
                <w:sz w:val="24"/>
                <w:szCs w:val="24"/>
              </w:rPr>
              <w:t>MARIA JOSÉ GONZÁLEZ ZARZOSA</w:t>
            </w:r>
          </w:p>
          <w:p w:rsidR="00073B3F" w:rsidRPr="00EA128D" w:rsidRDefault="00073B3F" w:rsidP="008E77A8">
            <w:pPr>
              <w:spacing w:before="240" w:after="240" w:line="240" w:lineRule="auto"/>
              <w:jc w:val="center"/>
              <w:rPr>
                <w:rFonts w:ascii="Arial" w:eastAsia="Times New Roman" w:hAnsi="Arial" w:cs="Arial"/>
                <w:b/>
                <w:caps/>
                <w:sz w:val="24"/>
                <w:szCs w:val="24"/>
              </w:rPr>
            </w:pPr>
          </w:p>
          <w:p w:rsidR="00073B3F" w:rsidRPr="00EA128D" w:rsidRDefault="00073B3F" w:rsidP="008E77A8">
            <w:pPr>
              <w:spacing w:before="240" w:after="240" w:line="240" w:lineRule="auto"/>
              <w:jc w:val="center"/>
              <w:rPr>
                <w:rFonts w:ascii="Arial" w:eastAsia="Times New Roman" w:hAnsi="Arial" w:cs="Arial"/>
                <w:b/>
                <w:caps/>
                <w:sz w:val="24"/>
                <w:szCs w:val="24"/>
              </w:rPr>
            </w:pPr>
          </w:p>
        </w:tc>
      </w:tr>
      <w:tr w:rsidR="00073B3F" w:rsidRPr="00EA128D" w:rsidTr="008E77A8">
        <w:trPr>
          <w:trHeight w:val="2075"/>
        </w:trPr>
        <w:tc>
          <w:tcPr>
            <w:tcW w:w="4219" w:type="dxa"/>
          </w:tcPr>
          <w:p w:rsidR="00073B3F" w:rsidRPr="00EA128D" w:rsidRDefault="00073B3F" w:rsidP="008E77A8">
            <w:pPr>
              <w:spacing w:after="240" w:line="240" w:lineRule="auto"/>
              <w:jc w:val="center"/>
              <w:rPr>
                <w:rFonts w:ascii="Arial" w:eastAsia="Times New Roman" w:hAnsi="Arial" w:cs="Arial"/>
                <w:b/>
                <w:caps/>
                <w:sz w:val="24"/>
                <w:szCs w:val="24"/>
              </w:rPr>
            </w:pPr>
            <w:r w:rsidRPr="00EA128D">
              <w:rPr>
                <w:rFonts w:ascii="Arial" w:eastAsia="Times New Roman" w:hAnsi="Arial" w:cs="Arial"/>
                <w:b/>
                <w:caps/>
                <w:sz w:val="24"/>
                <w:szCs w:val="24"/>
              </w:rPr>
              <w:t>COMISIONADA</w:t>
            </w:r>
          </w:p>
          <w:p w:rsidR="00073B3F" w:rsidRPr="00EA128D" w:rsidRDefault="00073B3F" w:rsidP="008E77A8">
            <w:pPr>
              <w:spacing w:line="240" w:lineRule="auto"/>
              <w:rPr>
                <w:rFonts w:ascii="Arial" w:eastAsia="Times New Roman" w:hAnsi="Arial" w:cs="Arial"/>
                <w:b/>
                <w:caps/>
                <w:sz w:val="24"/>
                <w:szCs w:val="24"/>
              </w:rPr>
            </w:pPr>
          </w:p>
          <w:p w:rsidR="00073B3F" w:rsidRDefault="00073B3F" w:rsidP="008E77A8">
            <w:pPr>
              <w:spacing w:line="240" w:lineRule="auto"/>
              <w:rPr>
                <w:rFonts w:ascii="Arial" w:eastAsia="Times New Roman" w:hAnsi="Arial" w:cs="Arial"/>
                <w:b/>
                <w:caps/>
                <w:sz w:val="24"/>
                <w:szCs w:val="24"/>
              </w:rPr>
            </w:pPr>
          </w:p>
          <w:p w:rsidR="00073B3F" w:rsidRPr="00EA128D" w:rsidRDefault="00073B3F" w:rsidP="008E77A8">
            <w:pPr>
              <w:spacing w:line="240" w:lineRule="auto"/>
              <w:rPr>
                <w:rFonts w:ascii="Arial" w:eastAsia="Times New Roman" w:hAnsi="Arial" w:cs="Arial"/>
                <w:b/>
                <w:caps/>
                <w:sz w:val="24"/>
                <w:szCs w:val="24"/>
              </w:rPr>
            </w:pPr>
          </w:p>
          <w:p w:rsidR="00073B3F" w:rsidRPr="00EA128D" w:rsidRDefault="00073B3F" w:rsidP="008E77A8">
            <w:pPr>
              <w:spacing w:line="240" w:lineRule="auto"/>
              <w:jc w:val="center"/>
              <w:rPr>
                <w:rFonts w:ascii="Arial" w:eastAsia="Times New Roman" w:hAnsi="Arial" w:cs="Arial"/>
                <w:b/>
                <w:caps/>
                <w:sz w:val="24"/>
                <w:szCs w:val="24"/>
              </w:rPr>
            </w:pPr>
            <w:r>
              <w:rPr>
                <w:rFonts w:ascii="Arial" w:eastAsia="Times New Roman" w:hAnsi="Arial" w:cs="Arial"/>
                <w:b/>
                <w:caps/>
                <w:sz w:val="24"/>
                <w:szCs w:val="24"/>
              </w:rPr>
              <w:t>LIC. PAULINA SÁNCHEZ PÉREZ DEL POZO</w:t>
            </w:r>
            <w:bookmarkStart w:id="1" w:name="_GoBack"/>
            <w:bookmarkEnd w:id="1"/>
          </w:p>
          <w:p w:rsidR="00073B3F" w:rsidRPr="00EA128D" w:rsidRDefault="00073B3F" w:rsidP="008E77A8">
            <w:pPr>
              <w:spacing w:before="240" w:after="240" w:line="240" w:lineRule="auto"/>
              <w:jc w:val="center"/>
              <w:rPr>
                <w:rFonts w:ascii="Arial" w:eastAsia="Times New Roman" w:hAnsi="Arial" w:cs="Arial"/>
                <w:b/>
                <w:caps/>
                <w:sz w:val="24"/>
                <w:szCs w:val="24"/>
              </w:rPr>
            </w:pPr>
          </w:p>
        </w:tc>
        <w:tc>
          <w:tcPr>
            <w:tcW w:w="4678" w:type="dxa"/>
          </w:tcPr>
          <w:p w:rsidR="00073B3F" w:rsidRPr="00EA128D" w:rsidRDefault="00073B3F" w:rsidP="008E77A8">
            <w:pPr>
              <w:spacing w:line="240" w:lineRule="auto"/>
              <w:ind w:left="48" w:firstLine="2"/>
              <w:jc w:val="center"/>
              <w:rPr>
                <w:rFonts w:ascii="Arial" w:eastAsia="Times New Roman" w:hAnsi="Arial" w:cs="Arial"/>
                <w:b/>
                <w:caps/>
                <w:sz w:val="24"/>
                <w:szCs w:val="24"/>
              </w:rPr>
            </w:pPr>
            <w:r w:rsidRPr="00EA128D">
              <w:rPr>
                <w:rFonts w:ascii="Arial" w:eastAsia="Times New Roman" w:hAnsi="Arial" w:cs="Arial"/>
                <w:b/>
                <w:caps/>
                <w:sz w:val="24"/>
                <w:szCs w:val="24"/>
              </w:rPr>
              <w:t>SECRETARIA DE PLENO</w:t>
            </w:r>
          </w:p>
          <w:p w:rsidR="00073B3F" w:rsidRPr="00EA128D" w:rsidRDefault="00073B3F" w:rsidP="008E77A8">
            <w:pPr>
              <w:spacing w:line="240" w:lineRule="auto"/>
              <w:ind w:left="48"/>
              <w:jc w:val="center"/>
              <w:rPr>
                <w:rFonts w:ascii="Arial" w:eastAsia="Times New Roman" w:hAnsi="Arial" w:cs="Arial"/>
                <w:b/>
                <w:caps/>
                <w:sz w:val="24"/>
                <w:szCs w:val="24"/>
              </w:rPr>
            </w:pPr>
          </w:p>
          <w:p w:rsidR="00073B3F" w:rsidRPr="00EA128D" w:rsidRDefault="00073B3F" w:rsidP="008E77A8">
            <w:pPr>
              <w:spacing w:before="240" w:line="240" w:lineRule="auto"/>
              <w:rPr>
                <w:rFonts w:ascii="Arial" w:eastAsia="Times New Roman" w:hAnsi="Arial" w:cs="Arial"/>
                <w:b/>
                <w:caps/>
                <w:sz w:val="24"/>
                <w:szCs w:val="24"/>
              </w:rPr>
            </w:pPr>
          </w:p>
          <w:p w:rsidR="00073B3F" w:rsidRPr="00EA128D" w:rsidRDefault="00073B3F" w:rsidP="008E77A8">
            <w:pPr>
              <w:spacing w:before="240" w:line="240" w:lineRule="auto"/>
              <w:rPr>
                <w:rFonts w:ascii="Arial" w:eastAsia="Times New Roman" w:hAnsi="Arial" w:cs="Arial"/>
                <w:b/>
                <w:caps/>
                <w:sz w:val="24"/>
                <w:szCs w:val="24"/>
              </w:rPr>
            </w:pPr>
          </w:p>
          <w:p w:rsidR="00073B3F" w:rsidRPr="00EA128D" w:rsidRDefault="00073B3F" w:rsidP="008E77A8">
            <w:pPr>
              <w:spacing w:line="240" w:lineRule="auto"/>
              <w:ind w:left="48"/>
              <w:jc w:val="center"/>
              <w:rPr>
                <w:rFonts w:ascii="Arial" w:eastAsia="Times New Roman" w:hAnsi="Arial" w:cs="Arial"/>
                <w:b/>
                <w:caps/>
                <w:sz w:val="24"/>
                <w:szCs w:val="24"/>
              </w:rPr>
            </w:pPr>
            <w:r w:rsidRPr="00EA128D">
              <w:rPr>
                <w:rFonts w:ascii="Arial" w:eastAsia="Times New Roman" w:hAnsi="Arial" w:cs="Arial"/>
                <w:b/>
                <w:caps/>
                <w:sz w:val="24"/>
                <w:szCs w:val="24"/>
              </w:rPr>
              <w:t>ROSA MARÍA MOTILLA GARCÍA</w:t>
            </w:r>
          </w:p>
        </w:tc>
      </w:tr>
    </w:tbl>
    <w:p w:rsidR="00073B3F" w:rsidRDefault="00073B3F" w:rsidP="00073B3F">
      <w:pPr>
        <w:pStyle w:val="Sinespaciado"/>
        <w:jc w:val="both"/>
        <w:rPr>
          <w:rFonts w:ascii="Arial" w:hAnsi="Arial" w:cs="Arial"/>
          <w:b/>
          <w:color w:val="595959" w:themeColor="text1" w:themeTint="A6"/>
        </w:rPr>
      </w:pPr>
    </w:p>
    <w:sectPr w:rsidR="00073B3F" w:rsidSect="00A44614">
      <w:headerReference w:type="default" r:id="rId12"/>
      <w:pgSz w:w="12240" w:h="20160" w:code="5"/>
      <w:pgMar w:top="2438" w:right="1701" w:bottom="3005"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877B4" w:rsidRDefault="006877B4" w:rsidP="004173D6">
      <w:pPr>
        <w:spacing w:after="0" w:line="240" w:lineRule="auto"/>
      </w:pPr>
      <w:r>
        <w:separator/>
      </w:r>
    </w:p>
  </w:endnote>
  <w:endnote w:type="continuationSeparator" w:id="0">
    <w:p w:rsidR="006877B4" w:rsidRDefault="006877B4" w:rsidP="004173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IDFont+F3">
    <w:altName w:val="Calibri"/>
    <w:panose1 w:val="00000000000000000000"/>
    <w:charset w:val="00"/>
    <w:family w:val="auto"/>
    <w:notTrueType/>
    <w:pitch w:val="default"/>
    <w:sig w:usb0="00000003" w:usb1="00000000" w:usb2="00000000" w:usb3="00000000" w:csb0="00000001" w:csb1="00000000"/>
  </w:font>
  <w:font w:name="CIDFont+F1">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877B4" w:rsidRDefault="006877B4" w:rsidP="004173D6">
      <w:pPr>
        <w:spacing w:after="0" w:line="240" w:lineRule="auto"/>
      </w:pPr>
      <w:r>
        <w:separator/>
      </w:r>
    </w:p>
  </w:footnote>
  <w:footnote w:type="continuationSeparator" w:id="0">
    <w:p w:rsidR="006877B4" w:rsidRDefault="006877B4" w:rsidP="004173D6">
      <w:pPr>
        <w:spacing w:after="0" w:line="240" w:lineRule="auto"/>
      </w:pPr>
      <w:r>
        <w:continuationSeparator/>
      </w:r>
    </w:p>
  </w:footnote>
  <w:footnote w:id="1">
    <w:p w:rsidR="007F2742" w:rsidRDefault="007F2742" w:rsidP="007F2742">
      <w:pPr>
        <w:pStyle w:val="Textonotapie"/>
        <w:jc w:val="both"/>
        <w:rPr>
          <w:rFonts w:cstheme="minorBidi"/>
        </w:rPr>
      </w:pPr>
      <w:r>
        <w:rPr>
          <w:rStyle w:val="Refdenotaalpie"/>
        </w:rPr>
        <w:footnoteRef/>
      </w:r>
      <w:r>
        <w:t xml:space="preserve"> Cuarto. Para clasificar la información como reservada o confidencial, de manera total o parcial, el titular del área del sujeto obligado deberá atender lo dispuesto por el Título Sexto de la Ley General, en relación con las disposiciones contenidas en los presentes lineamientos, así como en aquellas disposiciones legales aplicables a la materia en el ámbito de sus respectivas competencias, en tanto estas últimas no contravengan lo dispuesto en la Ley General.</w:t>
      </w:r>
    </w:p>
    <w:p w:rsidR="007F2742" w:rsidRDefault="007F2742" w:rsidP="007F2742">
      <w:pPr>
        <w:pStyle w:val="Textonotapie"/>
        <w:jc w:val="both"/>
        <w:rPr>
          <w:lang w:val="es-ES"/>
        </w:rPr>
      </w:pPr>
      <w:r>
        <w:t>Los sujetos obligados deberán aplicar, de manera estricta, las excepciones al derecho de acceso a la información y sólo podrán invocarlas cuando acrediten su procedencia.</w:t>
      </w:r>
    </w:p>
  </w:footnote>
  <w:footnote w:id="2">
    <w:p w:rsidR="007F2742" w:rsidRDefault="007F2742" w:rsidP="007F2742">
      <w:pPr>
        <w:autoSpaceDE w:val="0"/>
        <w:autoSpaceDN w:val="0"/>
        <w:adjustRightInd w:val="0"/>
        <w:spacing w:after="0" w:line="240" w:lineRule="auto"/>
        <w:jc w:val="both"/>
        <w:rPr>
          <w:rFonts w:ascii="CIDFont+F3" w:hAnsi="CIDFont+F3" w:cs="CIDFont+F3"/>
          <w:sz w:val="18"/>
          <w:szCs w:val="18"/>
        </w:rPr>
      </w:pPr>
      <w:r>
        <w:rPr>
          <w:rStyle w:val="Refdenotaalpie"/>
        </w:rPr>
        <w:footnoteRef/>
      </w:r>
      <w:r>
        <w:t xml:space="preserve"> </w:t>
      </w:r>
      <w:r>
        <w:rPr>
          <w:rFonts w:ascii="CIDFont+F1" w:hAnsi="CIDFont+F1" w:cs="CIDFont+F1"/>
          <w:sz w:val="18"/>
          <w:szCs w:val="18"/>
        </w:rPr>
        <w:t xml:space="preserve">Octavo. </w:t>
      </w:r>
      <w:r>
        <w:rPr>
          <w:rFonts w:ascii="CIDFont+F3" w:hAnsi="CIDFont+F3" w:cs="CIDFont+F3"/>
          <w:sz w:val="18"/>
          <w:szCs w:val="18"/>
        </w:rPr>
        <w:t>Para fundar la clasificación de la información se debe señalar el artículo, fracción, inciso, párrafo o numeral de la ley o tratado internacional suscrito por el Estado mexicano que expresamente le otorga el carácter de reservada o confidencial. Para motivar la clasificación se deberán señalar las razones o circunstancias especiales que lo llevaron a concluir que el caso particular se ajusta al supuesto previsto por la norma legal invocada como fundamento. En caso de referirse a información reservada, la motivación de la clasificación también deberá comprender las circunstancias que justifican el establecimiento de determinado plazo de reserva. Tratándose de información clasificada como confidencial respecto de la cual se haya determinado su conservación permanente por tener valor histórico, ésta conservará tal carácter de conformidad con la normativa aplicable en materia de archivos.</w:t>
      </w:r>
    </w:p>
    <w:p w:rsidR="007F2742" w:rsidRDefault="007F2742" w:rsidP="007F2742">
      <w:pPr>
        <w:autoSpaceDE w:val="0"/>
        <w:autoSpaceDN w:val="0"/>
        <w:adjustRightInd w:val="0"/>
        <w:spacing w:after="0" w:line="240" w:lineRule="auto"/>
        <w:jc w:val="both"/>
        <w:rPr>
          <w:rFonts w:ascii="CIDFont+F3" w:hAnsi="CIDFont+F3" w:cs="CIDFont+F3"/>
          <w:sz w:val="18"/>
          <w:szCs w:val="18"/>
        </w:rPr>
      </w:pPr>
      <w:r>
        <w:rPr>
          <w:rFonts w:ascii="CIDFont+F3" w:hAnsi="CIDFont+F3" w:cs="CIDFont+F3"/>
          <w:sz w:val="18"/>
          <w:szCs w:val="18"/>
        </w:rPr>
        <w:t>Los documentos contenidos en los archivos históricos y los identificados como históricos confidenciales no serán susceptibles de clasificación como reservados</w:t>
      </w:r>
    </w:p>
  </w:footnote>
  <w:footnote w:id="3">
    <w:p w:rsidR="007F2742" w:rsidRDefault="007F2742" w:rsidP="007F2742">
      <w:pPr>
        <w:autoSpaceDE w:val="0"/>
        <w:autoSpaceDN w:val="0"/>
        <w:adjustRightInd w:val="0"/>
        <w:spacing w:after="0" w:line="240" w:lineRule="auto"/>
        <w:rPr>
          <w:rFonts w:ascii="CIDFont+F3" w:hAnsi="CIDFont+F3" w:cs="CIDFont+F3"/>
          <w:sz w:val="18"/>
          <w:szCs w:val="18"/>
        </w:rPr>
      </w:pPr>
      <w:r>
        <w:rPr>
          <w:rStyle w:val="Refdenotaalpie"/>
        </w:rPr>
        <w:footnoteRef/>
      </w:r>
      <w:r>
        <w:t xml:space="preserve"> </w:t>
      </w:r>
      <w:r>
        <w:rPr>
          <w:rFonts w:ascii="CIDFont+F1" w:hAnsi="CIDFont+F1" w:cs="CIDFont+F1"/>
          <w:sz w:val="18"/>
          <w:szCs w:val="18"/>
        </w:rPr>
        <w:t xml:space="preserve">Trigésimo octavo. </w:t>
      </w:r>
      <w:r>
        <w:rPr>
          <w:rFonts w:ascii="CIDFont+F3" w:hAnsi="CIDFont+F3" w:cs="CIDFont+F3"/>
          <w:sz w:val="18"/>
          <w:szCs w:val="18"/>
        </w:rPr>
        <w:t>Se considera información confidencial:</w:t>
      </w:r>
    </w:p>
    <w:p w:rsidR="007F2742" w:rsidRDefault="007F2742" w:rsidP="007F2742">
      <w:pPr>
        <w:autoSpaceDE w:val="0"/>
        <w:autoSpaceDN w:val="0"/>
        <w:adjustRightInd w:val="0"/>
        <w:spacing w:after="0" w:line="240" w:lineRule="auto"/>
        <w:rPr>
          <w:rFonts w:ascii="CIDFont+F3" w:hAnsi="CIDFont+F3" w:cs="CIDFont+F3"/>
          <w:sz w:val="18"/>
          <w:szCs w:val="18"/>
        </w:rPr>
      </w:pPr>
      <w:r>
        <w:rPr>
          <w:rFonts w:ascii="CIDFont+F1" w:hAnsi="CIDFont+F1" w:cs="CIDFont+F1"/>
          <w:sz w:val="18"/>
          <w:szCs w:val="18"/>
        </w:rPr>
        <w:t xml:space="preserve">I. </w:t>
      </w:r>
      <w:r>
        <w:rPr>
          <w:rFonts w:ascii="CIDFont+F3" w:hAnsi="CIDFont+F3" w:cs="CIDFont+F3"/>
          <w:sz w:val="18"/>
          <w:szCs w:val="18"/>
        </w:rPr>
        <w:t>Los datos personales en los términos de la norma aplicable;</w:t>
      </w:r>
    </w:p>
    <w:p w:rsidR="007F2742" w:rsidRDefault="007F2742" w:rsidP="007F2742">
      <w:pPr>
        <w:autoSpaceDE w:val="0"/>
        <w:autoSpaceDN w:val="0"/>
        <w:adjustRightInd w:val="0"/>
        <w:spacing w:after="0" w:line="240" w:lineRule="auto"/>
        <w:rPr>
          <w:rFonts w:ascii="CIDFont+F3" w:hAnsi="CIDFont+F3" w:cs="CIDFont+F3"/>
          <w:sz w:val="18"/>
          <w:szCs w:val="18"/>
        </w:rPr>
      </w:pPr>
      <w:r>
        <w:rPr>
          <w:rFonts w:ascii="CIDFont+F1" w:hAnsi="CIDFont+F1" w:cs="CIDFont+F1"/>
          <w:sz w:val="18"/>
          <w:szCs w:val="18"/>
        </w:rPr>
        <w:t xml:space="preserve">II. </w:t>
      </w:r>
      <w:r>
        <w:rPr>
          <w:rFonts w:ascii="CIDFont+F3" w:hAnsi="CIDFont+F3" w:cs="CIDFont+F3"/>
          <w:sz w:val="18"/>
          <w:szCs w:val="18"/>
        </w:rPr>
        <w:t>La que se entregue con tal carácter por los particulares a los sujetos obligados, siempre y cuando tengan el derecho de entregar con dicho carácter la información, de conformidad con lo dispuesto en las leyes o en los Tratados Internacionales de los que el Estado mexicano sea parte, y</w:t>
      </w:r>
    </w:p>
    <w:p w:rsidR="007F2742" w:rsidRDefault="007F2742" w:rsidP="007F2742">
      <w:pPr>
        <w:autoSpaceDE w:val="0"/>
        <w:autoSpaceDN w:val="0"/>
        <w:adjustRightInd w:val="0"/>
        <w:spacing w:after="0" w:line="240" w:lineRule="auto"/>
        <w:rPr>
          <w:rFonts w:ascii="CIDFont+F3" w:hAnsi="CIDFont+F3" w:cs="CIDFont+F3"/>
          <w:sz w:val="18"/>
          <w:szCs w:val="18"/>
        </w:rPr>
      </w:pPr>
      <w:r>
        <w:rPr>
          <w:rFonts w:ascii="CIDFont+F1" w:hAnsi="CIDFont+F1" w:cs="CIDFont+F1"/>
          <w:sz w:val="18"/>
          <w:szCs w:val="18"/>
        </w:rPr>
        <w:t xml:space="preserve">III. </w:t>
      </w:r>
      <w:r>
        <w:rPr>
          <w:rFonts w:ascii="CIDFont+F3" w:hAnsi="CIDFont+F3" w:cs="CIDFont+F3"/>
          <w:sz w:val="18"/>
          <w:szCs w:val="18"/>
        </w:rPr>
        <w:t>Los secretos bancario, fiduciario, industrial, comercial, fiscal, bursátil y postal cuya titularidad corresponda a particulares, sujetos de derecho internacional o a sujetos obligados cuando no involucren el ejercicio de recursos públicos.</w:t>
      </w:r>
    </w:p>
    <w:p w:rsidR="007F2742" w:rsidRDefault="007F2742" w:rsidP="007F2742">
      <w:pPr>
        <w:autoSpaceDE w:val="0"/>
        <w:autoSpaceDN w:val="0"/>
        <w:adjustRightInd w:val="0"/>
        <w:spacing w:after="0" w:line="240" w:lineRule="auto"/>
        <w:rPr>
          <w:rFonts w:asciiTheme="minorHAnsi" w:hAnsiTheme="minorHAnsi" w:cstheme="minorBidi"/>
          <w:lang w:val="es-ES"/>
        </w:rPr>
      </w:pPr>
      <w:r>
        <w:rPr>
          <w:rFonts w:ascii="CIDFont+F3" w:hAnsi="CIDFont+F3" w:cs="CIDFont+F3"/>
          <w:sz w:val="18"/>
          <w:szCs w:val="18"/>
        </w:rPr>
        <w:t>La información confidencial no estará sujeta a temporalidad alguna y sólo podrán tener acceso a ella los titulares de la misma, sus representantes y los servidores públicos facultados para ello.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84156632"/>
      <w:docPartObj>
        <w:docPartGallery w:val="Page Numbers (Top of Page)"/>
        <w:docPartUnique/>
      </w:docPartObj>
    </w:sdtPr>
    <w:sdtEndPr/>
    <w:sdtContent>
      <w:p w:rsidR="0065491F" w:rsidRDefault="004173D6">
        <w:pPr>
          <w:pStyle w:val="Encabezado"/>
          <w:jc w:val="center"/>
        </w:pPr>
        <w:r>
          <w:fldChar w:fldCharType="begin"/>
        </w:r>
        <w:r>
          <w:instrText>PAGE   \* MERGEFORMAT</w:instrText>
        </w:r>
        <w:r>
          <w:fldChar w:fldCharType="separate"/>
        </w:r>
        <w:r w:rsidR="00073B3F" w:rsidRPr="00073B3F">
          <w:rPr>
            <w:noProof/>
            <w:lang w:val="es-ES"/>
          </w:rPr>
          <w:t>16</w:t>
        </w:r>
        <w:r>
          <w:fldChar w:fldCharType="end"/>
        </w:r>
      </w:p>
    </w:sdtContent>
  </w:sdt>
  <w:p w:rsidR="0065491F" w:rsidRDefault="006877B4">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940E1"/>
    <w:multiLevelType w:val="hybridMultilevel"/>
    <w:tmpl w:val="9F3A1CC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4916B7C"/>
    <w:multiLevelType w:val="hybridMultilevel"/>
    <w:tmpl w:val="67EC60DC"/>
    <w:lvl w:ilvl="0" w:tplc="080A0001">
      <w:start w:val="1"/>
      <w:numFmt w:val="bullet"/>
      <w:lvlText w:val=""/>
      <w:lvlJc w:val="left"/>
      <w:pPr>
        <w:ind w:left="2204" w:hanging="360"/>
      </w:pPr>
      <w:rPr>
        <w:rFonts w:ascii="Symbol" w:hAnsi="Symbol" w:hint="default"/>
      </w:rPr>
    </w:lvl>
    <w:lvl w:ilvl="1" w:tplc="080A0003">
      <w:start w:val="1"/>
      <w:numFmt w:val="bullet"/>
      <w:lvlText w:val="o"/>
      <w:lvlJc w:val="left"/>
      <w:pPr>
        <w:ind w:left="2924" w:hanging="360"/>
      </w:pPr>
      <w:rPr>
        <w:rFonts w:ascii="Courier New" w:hAnsi="Courier New" w:cs="Courier New" w:hint="default"/>
      </w:rPr>
    </w:lvl>
    <w:lvl w:ilvl="2" w:tplc="080A0005">
      <w:start w:val="1"/>
      <w:numFmt w:val="bullet"/>
      <w:lvlText w:val=""/>
      <w:lvlJc w:val="left"/>
      <w:pPr>
        <w:ind w:left="3644" w:hanging="360"/>
      </w:pPr>
      <w:rPr>
        <w:rFonts w:ascii="Wingdings" w:hAnsi="Wingdings" w:hint="default"/>
      </w:rPr>
    </w:lvl>
    <w:lvl w:ilvl="3" w:tplc="080A0001">
      <w:start w:val="1"/>
      <w:numFmt w:val="bullet"/>
      <w:lvlText w:val=""/>
      <w:lvlJc w:val="left"/>
      <w:pPr>
        <w:ind w:left="4364" w:hanging="360"/>
      </w:pPr>
      <w:rPr>
        <w:rFonts w:ascii="Symbol" w:hAnsi="Symbol" w:hint="default"/>
      </w:rPr>
    </w:lvl>
    <w:lvl w:ilvl="4" w:tplc="080A0003">
      <w:start w:val="1"/>
      <w:numFmt w:val="bullet"/>
      <w:lvlText w:val="o"/>
      <w:lvlJc w:val="left"/>
      <w:pPr>
        <w:ind w:left="5084" w:hanging="360"/>
      </w:pPr>
      <w:rPr>
        <w:rFonts w:ascii="Courier New" w:hAnsi="Courier New" w:cs="Courier New" w:hint="default"/>
      </w:rPr>
    </w:lvl>
    <w:lvl w:ilvl="5" w:tplc="080A0005">
      <w:start w:val="1"/>
      <w:numFmt w:val="bullet"/>
      <w:lvlText w:val=""/>
      <w:lvlJc w:val="left"/>
      <w:pPr>
        <w:ind w:left="5804" w:hanging="360"/>
      </w:pPr>
      <w:rPr>
        <w:rFonts w:ascii="Wingdings" w:hAnsi="Wingdings" w:hint="default"/>
      </w:rPr>
    </w:lvl>
    <w:lvl w:ilvl="6" w:tplc="080A0001">
      <w:start w:val="1"/>
      <w:numFmt w:val="bullet"/>
      <w:lvlText w:val=""/>
      <w:lvlJc w:val="left"/>
      <w:pPr>
        <w:ind w:left="6524" w:hanging="360"/>
      </w:pPr>
      <w:rPr>
        <w:rFonts w:ascii="Symbol" w:hAnsi="Symbol" w:hint="default"/>
      </w:rPr>
    </w:lvl>
    <w:lvl w:ilvl="7" w:tplc="080A0003">
      <w:start w:val="1"/>
      <w:numFmt w:val="bullet"/>
      <w:lvlText w:val="o"/>
      <w:lvlJc w:val="left"/>
      <w:pPr>
        <w:ind w:left="7244" w:hanging="360"/>
      </w:pPr>
      <w:rPr>
        <w:rFonts w:ascii="Courier New" w:hAnsi="Courier New" w:cs="Courier New" w:hint="default"/>
      </w:rPr>
    </w:lvl>
    <w:lvl w:ilvl="8" w:tplc="080A0005">
      <w:start w:val="1"/>
      <w:numFmt w:val="bullet"/>
      <w:lvlText w:val=""/>
      <w:lvlJc w:val="left"/>
      <w:pPr>
        <w:ind w:left="7964" w:hanging="360"/>
      </w:pPr>
      <w:rPr>
        <w:rFonts w:ascii="Wingdings" w:hAnsi="Wingdings" w:hint="default"/>
      </w:rPr>
    </w:lvl>
  </w:abstractNum>
  <w:abstractNum w:abstractNumId="2" w15:restartNumberingAfterBreak="0">
    <w:nsid w:val="068B23B0"/>
    <w:multiLevelType w:val="hybridMultilevel"/>
    <w:tmpl w:val="4300E878"/>
    <w:lvl w:ilvl="0" w:tplc="BB4E33CA">
      <w:start w:val="1"/>
      <w:numFmt w:val="decimal"/>
      <w:lvlText w:val="%1."/>
      <w:lvlJc w:val="left"/>
      <w:pPr>
        <w:ind w:left="1788" w:hanging="360"/>
      </w:pPr>
      <w:rPr>
        <w:i/>
      </w:rPr>
    </w:lvl>
    <w:lvl w:ilvl="1" w:tplc="080A0019">
      <w:start w:val="1"/>
      <w:numFmt w:val="lowerLetter"/>
      <w:lvlText w:val="%2."/>
      <w:lvlJc w:val="left"/>
      <w:pPr>
        <w:ind w:left="2508" w:hanging="360"/>
      </w:pPr>
    </w:lvl>
    <w:lvl w:ilvl="2" w:tplc="080A001B">
      <w:start w:val="1"/>
      <w:numFmt w:val="lowerRoman"/>
      <w:lvlText w:val="%3."/>
      <w:lvlJc w:val="right"/>
      <w:pPr>
        <w:ind w:left="3228" w:hanging="180"/>
      </w:pPr>
    </w:lvl>
    <w:lvl w:ilvl="3" w:tplc="080A000F">
      <w:start w:val="1"/>
      <w:numFmt w:val="decimal"/>
      <w:lvlText w:val="%4."/>
      <w:lvlJc w:val="left"/>
      <w:pPr>
        <w:ind w:left="3948" w:hanging="360"/>
      </w:pPr>
    </w:lvl>
    <w:lvl w:ilvl="4" w:tplc="080A0019">
      <w:start w:val="1"/>
      <w:numFmt w:val="lowerLetter"/>
      <w:lvlText w:val="%5."/>
      <w:lvlJc w:val="left"/>
      <w:pPr>
        <w:ind w:left="4668" w:hanging="360"/>
      </w:pPr>
    </w:lvl>
    <w:lvl w:ilvl="5" w:tplc="080A001B">
      <w:start w:val="1"/>
      <w:numFmt w:val="lowerRoman"/>
      <w:lvlText w:val="%6."/>
      <w:lvlJc w:val="right"/>
      <w:pPr>
        <w:ind w:left="5388" w:hanging="180"/>
      </w:pPr>
    </w:lvl>
    <w:lvl w:ilvl="6" w:tplc="080A000F">
      <w:start w:val="1"/>
      <w:numFmt w:val="decimal"/>
      <w:lvlText w:val="%7."/>
      <w:lvlJc w:val="left"/>
      <w:pPr>
        <w:ind w:left="6108" w:hanging="360"/>
      </w:pPr>
    </w:lvl>
    <w:lvl w:ilvl="7" w:tplc="080A0019">
      <w:start w:val="1"/>
      <w:numFmt w:val="lowerLetter"/>
      <w:lvlText w:val="%8."/>
      <w:lvlJc w:val="left"/>
      <w:pPr>
        <w:ind w:left="6828" w:hanging="360"/>
      </w:pPr>
    </w:lvl>
    <w:lvl w:ilvl="8" w:tplc="080A001B">
      <w:start w:val="1"/>
      <w:numFmt w:val="lowerRoman"/>
      <w:lvlText w:val="%9."/>
      <w:lvlJc w:val="right"/>
      <w:pPr>
        <w:ind w:left="7548" w:hanging="180"/>
      </w:pPr>
    </w:lvl>
  </w:abstractNum>
  <w:abstractNum w:abstractNumId="3" w15:restartNumberingAfterBreak="0">
    <w:nsid w:val="15662BF1"/>
    <w:multiLevelType w:val="hybridMultilevel"/>
    <w:tmpl w:val="5CDCD6E4"/>
    <w:lvl w:ilvl="0" w:tplc="A8B85034">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19725C3F"/>
    <w:multiLevelType w:val="hybridMultilevel"/>
    <w:tmpl w:val="4606C748"/>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EAB3044"/>
    <w:multiLevelType w:val="hybridMultilevel"/>
    <w:tmpl w:val="3BD6D2F6"/>
    <w:lvl w:ilvl="0" w:tplc="4D483902">
      <w:start w:val="1"/>
      <w:numFmt w:val="bullet"/>
      <w:lvlText w:val=""/>
      <w:lvlJc w:val="left"/>
      <w:pPr>
        <w:ind w:left="720" w:hanging="360"/>
      </w:pPr>
      <w:rPr>
        <w:rFonts w:ascii="Symbol" w:hAnsi="Symbol" w:hint="default"/>
      </w:rPr>
    </w:lvl>
    <w:lvl w:ilvl="1" w:tplc="6836648E">
      <w:start w:val="1"/>
      <w:numFmt w:val="bullet"/>
      <w:lvlText w:val="o"/>
      <w:lvlJc w:val="left"/>
      <w:pPr>
        <w:ind w:left="1440" w:hanging="360"/>
      </w:pPr>
      <w:rPr>
        <w:rFonts w:ascii="Courier New" w:hAnsi="Courier New" w:cs="Times New Roman" w:hint="default"/>
      </w:rPr>
    </w:lvl>
    <w:lvl w:ilvl="2" w:tplc="F8125576">
      <w:start w:val="1"/>
      <w:numFmt w:val="bullet"/>
      <w:lvlText w:val=""/>
      <w:lvlJc w:val="left"/>
      <w:pPr>
        <w:ind w:left="2160" w:hanging="360"/>
      </w:pPr>
      <w:rPr>
        <w:rFonts w:ascii="Wingdings" w:hAnsi="Wingdings" w:hint="default"/>
      </w:rPr>
    </w:lvl>
    <w:lvl w:ilvl="3" w:tplc="E3DE3974">
      <w:start w:val="1"/>
      <w:numFmt w:val="bullet"/>
      <w:lvlText w:val=""/>
      <w:lvlJc w:val="left"/>
      <w:pPr>
        <w:ind w:left="2880" w:hanging="360"/>
      </w:pPr>
      <w:rPr>
        <w:rFonts w:ascii="Symbol" w:hAnsi="Symbol" w:hint="default"/>
      </w:rPr>
    </w:lvl>
    <w:lvl w:ilvl="4" w:tplc="7C7AD66E">
      <w:start w:val="1"/>
      <w:numFmt w:val="bullet"/>
      <w:lvlText w:val="o"/>
      <w:lvlJc w:val="left"/>
      <w:pPr>
        <w:ind w:left="3600" w:hanging="360"/>
      </w:pPr>
      <w:rPr>
        <w:rFonts w:ascii="Courier New" w:hAnsi="Courier New" w:cs="Times New Roman" w:hint="default"/>
      </w:rPr>
    </w:lvl>
    <w:lvl w:ilvl="5" w:tplc="BF7A6720">
      <w:start w:val="1"/>
      <w:numFmt w:val="bullet"/>
      <w:lvlText w:val=""/>
      <w:lvlJc w:val="left"/>
      <w:pPr>
        <w:ind w:left="4320" w:hanging="360"/>
      </w:pPr>
      <w:rPr>
        <w:rFonts w:ascii="Wingdings" w:hAnsi="Wingdings" w:hint="default"/>
      </w:rPr>
    </w:lvl>
    <w:lvl w:ilvl="6" w:tplc="C21A1C72">
      <w:start w:val="1"/>
      <w:numFmt w:val="bullet"/>
      <w:lvlText w:val=""/>
      <w:lvlJc w:val="left"/>
      <w:pPr>
        <w:ind w:left="5040" w:hanging="360"/>
      </w:pPr>
      <w:rPr>
        <w:rFonts w:ascii="Symbol" w:hAnsi="Symbol" w:hint="default"/>
      </w:rPr>
    </w:lvl>
    <w:lvl w:ilvl="7" w:tplc="8CB8E80A">
      <w:start w:val="1"/>
      <w:numFmt w:val="bullet"/>
      <w:lvlText w:val="o"/>
      <w:lvlJc w:val="left"/>
      <w:pPr>
        <w:ind w:left="5760" w:hanging="360"/>
      </w:pPr>
      <w:rPr>
        <w:rFonts w:ascii="Courier New" w:hAnsi="Courier New" w:cs="Times New Roman" w:hint="default"/>
      </w:rPr>
    </w:lvl>
    <w:lvl w:ilvl="8" w:tplc="8DBE239E">
      <w:start w:val="1"/>
      <w:numFmt w:val="bullet"/>
      <w:lvlText w:val=""/>
      <w:lvlJc w:val="left"/>
      <w:pPr>
        <w:ind w:left="6480" w:hanging="360"/>
      </w:pPr>
      <w:rPr>
        <w:rFonts w:ascii="Wingdings" w:hAnsi="Wingdings" w:hint="default"/>
      </w:rPr>
    </w:lvl>
  </w:abstractNum>
  <w:abstractNum w:abstractNumId="6" w15:restartNumberingAfterBreak="0">
    <w:nsid w:val="20814002"/>
    <w:multiLevelType w:val="hybridMultilevel"/>
    <w:tmpl w:val="B1D0E7B0"/>
    <w:lvl w:ilvl="0" w:tplc="F1C251C6">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22CE00C6"/>
    <w:multiLevelType w:val="hybridMultilevel"/>
    <w:tmpl w:val="82767B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AEF495D"/>
    <w:multiLevelType w:val="hybridMultilevel"/>
    <w:tmpl w:val="68A29296"/>
    <w:lvl w:ilvl="0" w:tplc="080A0001">
      <w:start w:val="1"/>
      <w:numFmt w:val="bullet"/>
      <w:lvlText w:val=""/>
      <w:lvlJc w:val="left"/>
      <w:pPr>
        <w:ind w:left="1428" w:hanging="360"/>
      </w:pPr>
      <w:rPr>
        <w:rFonts w:ascii="Symbol" w:hAnsi="Symbol" w:hint="default"/>
      </w:rPr>
    </w:lvl>
    <w:lvl w:ilvl="1" w:tplc="080A0003">
      <w:start w:val="1"/>
      <w:numFmt w:val="bullet"/>
      <w:lvlText w:val="o"/>
      <w:lvlJc w:val="left"/>
      <w:pPr>
        <w:ind w:left="2148" w:hanging="360"/>
      </w:pPr>
      <w:rPr>
        <w:rFonts w:ascii="Courier New" w:hAnsi="Courier New" w:cs="Courier New" w:hint="default"/>
      </w:rPr>
    </w:lvl>
    <w:lvl w:ilvl="2" w:tplc="080A0005">
      <w:start w:val="1"/>
      <w:numFmt w:val="bullet"/>
      <w:lvlText w:val=""/>
      <w:lvlJc w:val="left"/>
      <w:pPr>
        <w:ind w:left="2868" w:hanging="360"/>
      </w:pPr>
      <w:rPr>
        <w:rFonts w:ascii="Wingdings" w:hAnsi="Wingdings" w:hint="default"/>
      </w:rPr>
    </w:lvl>
    <w:lvl w:ilvl="3" w:tplc="080A0001">
      <w:start w:val="1"/>
      <w:numFmt w:val="bullet"/>
      <w:lvlText w:val=""/>
      <w:lvlJc w:val="left"/>
      <w:pPr>
        <w:ind w:left="3588" w:hanging="360"/>
      </w:pPr>
      <w:rPr>
        <w:rFonts w:ascii="Symbol" w:hAnsi="Symbol" w:hint="default"/>
      </w:rPr>
    </w:lvl>
    <w:lvl w:ilvl="4" w:tplc="080A0003">
      <w:start w:val="1"/>
      <w:numFmt w:val="bullet"/>
      <w:lvlText w:val="o"/>
      <w:lvlJc w:val="left"/>
      <w:pPr>
        <w:ind w:left="4308" w:hanging="360"/>
      </w:pPr>
      <w:rPr>
        <w:rFonts w:ascii="Courier New" w:hAnsi="Courier New" w:cs="Courier New" w:hint="default"/>
      </w:rPr>
    </w:lvl>
    <w:lvl w:ilvl="5" w:tplc="080A0005">
      <w:start w:val="1"/>
      <w:numFmt w:val="bullet"/>
      <w:lvlText w:val=""/>
      <w:lvlJc w:val="left"/>
      <w:pPr>
        <w:ind w:left="5028" w:hanging="360"/>
      </w:pPr>
      <w:rPr>
        <w:rFonts w:ascii="Wingdings" w:hAnsi="Wingdings" w:hint="default"/>
      </w:rPr>
    </w:lvl>
    <w:lvl w:ilvl="6" w:tplc="080A0001">
      <w:start w:val="1"/>
      <w:numFmt w:val="bullet"/>
      <w:lvlText w:val=""/>
      <w:lvlJc w:val="left"/>
      <w:pPr>
        <w:ind w:left="5748" w:hanging="360"/>
      </w:pPr>
      <w:rPr>
        <w:rFonts w:ascii="Symbol" w:hAnsi="Symbol" w:hint="default"/>
      </w:rPr>
    </w:lvl>
    <w:lvl w:ilvl="7" w:tplc="080A0003">
      <w:start w:val="1"/>
      <w:numFmt w:val="bullet"/>
      <w:lvlText w:val="o"/>
      <w:lvlJc w:val="left"/>
      <w:pPr>
        <w:ind w:left="6468" w:hanging="360"/>
      </w:pPr>
      <w:rPr>
        <w:rFonts w:ascii="Courier New" w:hAnsi="Courier New" w:cs="Courier New" w:hint="default"/>
      </w:rPr>
    </w:lvl>
    <w:lvl w:ilvl="8" w:tplc="080A0005">
      <w:start w:val="1"/>
      <w:numFmt w:val="bullet"/>
      <w:lvlText w:val=""/>
      <w:lvlJc w:val="left"/>
      <w:pPr>
        <w:ind w:left="7188" w:hanging="360"/>
      </w:pPr>
      <w:rPr>
        <w:rFonts w:ascii="Wingdings" w:hAnsi="Wingdings" w:hint="default"/>
      </w:rPr>
    </w:lvl>
  </w:abstractNum>
  <w:abstractNum w:abstractNumId="9" w15:restartNumberingAfterBreak="0">
    <w:nsid w:val="2B3259B6"/>
    <w:multiLevelType w:val="hybridMultilevel"/>
    <w:tmpl w:val="8DD47A5A"/>
    <w:lvl w:ilvl="0" w:tplc="DFE874BA">
      <w:start w:val="1"/>
      <w:numFmt w:val="upperRoman"/>
      <w:lvlText w:val="%1."/>
      <w:lvlJc w:val="left"/>
      <w:pPr>
        <w:ind w:left="780" w:hanging="720"/>
      </w:pPr>
    </w:lvl>
    <w:lvl w:ilvl="1" w:tplc="080A0019">
      <w:start w:val="1"/>
      <w:numFmt w:val="lowerLetter"/>
      <w:lvlText w:val="%2."/>
      <w:lvlJc w:val="left"/>
      <w:pPr>
        <w:ind w:left="1140" w:hanging="360"/>
      </w:pPr>
    </w:lvl>
    <w:lvl w:ilvl="2" w:tplc="080A001B">
      <w:start w:val="1"/>
      <w:numFmt w:val="lowerRoman"/>
      <w:lvlText w:val="%3."/>
      <w:lvlJc w:val="right"/>
      <w:pPr>
        <w:ind w:left="1860" w:hanging="180"/>
      </w:pPr>
    </w:lvl>
    <w:lvl w:ilvl="3" w:tplc="080A000F">
      <w:start w:val="1"/>
      <w:numFmt w:val="decimal"/>
      <w:lvlText w:val="%4."/>
      <w:lvlJc w:val="left"/>
      <w:pPr>
        <w:ind w:left="2580" w:hanging="360"/>
      </w:pPr>
    </w:lvl>
    <w:lvl w:ilvl="4" w:tplc="080A0019">
      <w:start w:val="1"/>
      <w:numFmt w:val="lowerLetter"/>
      <w:lvlText w:val="%5."/>
      <w:lvlJc w:val="left"/>
      <w:pPr>
        <w:ind w:left="3300" w:hanging="360"/>
      </w:pPr>
    </w:lvl>
    <w:lvl w:ilvl="5" w:tplc="080A001B">
      <w:start w:val="1"/>
      <w:numFmt w:val="lowerRoman"/>
      <w:lvlText w:val="%6."/>
      <w:lvlJc w:val="right"/>
      <w:pPr>
        <w:ind w:left="4020" w:hanging="180"/>
      </w:pPr>
    </w:lvl>
    <w:lvl w:ilvl="6" w:tplc="080A000F">
      <w:start w:val="1"/>
      <w:numFmt w:val="decimal"/>
      <w:lvlText w:val="%7."/>
      <w:lvlJc w:val="left"/>
      <w:pPr>
        <w:ind w:left="4740" w:hanging="360"/>
      </w:pPr>
    </w:lvl>
    <w:lvl w:ilvl="7" w:tplc="080A0019">
      <w:start w:val="1"/>
      <w:numFmt w:val="lowerLetter"/>
      <w:lvlText w:val="%8."/>
      <w:lvlJc w:val="left"/>
      <w:pPr>
        <w:ind w:left="5460" w:hanging="360"/>
      </w:pPr>
    </w:lvl>
    <w:lvl w:ilvl="8" w:tplc="080A001B">
      <w:start w:val="1"/>
      <w:numFmt w:val="lowerRoman"/>
      <w:lvlText w:val="%9."/>
      <w:lvlJc w:val="right"/>
      <w:pPr>
        <w:ind w:left="6180" w:hanging="180"/>
      </w:pPr>
    </w:lvl>
  </w:abstractNum>
  <w:abstractNum w:abstractNumId="10" w15:restartNumberingAfterBreak="0">
    <w:nsid w:val="33F80079"/>
    <w:multiLevelType w:val="hybridMultilevel"/>
    <w:tmpl w:val="C5001CD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FDD362F"/>
    <w:multiLevelType w:val="hybridMultilevel"/>
    <w:tmpl w:val="E796E9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441D42C5"/>
    <w:multiLevelType w:val="hybridMultilevel"/>
    <w:tmpl w:val="72DE2BF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4D713629"/>
    <w:multiLevelType w:val="hybridMultilevel"/>
    <w:tmpl w:val="E86E75FE"/>
    <w:lvl w:ilvl="0" w:tplc="94C83028">
      <w:start w:val="1"/>
      <w:numFmt w:val="upperRoman"/>
      <w:lvlText w:val="%1."/>
      <w:lvlJc w:val="left"/>
      <w:pPr>
        <w:ind w:left="1428" w:hanging="720"/>
      </w:p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14" w15:restartNumberingAfterBreak="0">
    <w:nsid w:val="4E055011"/>
    <w:multiLevelType w:val="hybridMultilevel"/>
    <w:tmpl w:val="C5303E18"/>
    <w:lvl w:ilvl="0" w:tplc="6842131E">
      <w:start w:val="1"/>
      <w:numFmt w:val="decimal"/>
      <w:lvlText w:val="%1."/>
      <w:lvlJc w:val="left"/>
      <w:pPr>
        <w:ind w:left="1069" w:hanging="360"/>
      </w:pPr>
      <w:rPr>
        <w:rFonts w:hint="default"/>
        <w:i w:val="0"/>
        <w:sz w:val="24"/>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15:restartNumberingAfterBreak="0">
    <w:nsid w:val="54AC032B"/>
    <w:multiLevelType w:val="hybridMultilevel"/>
    <w:tmpl w:val="5FDE56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563F6D31"/>
    <w:multiLevelType w:val="hybridMultilevel"/>
    <w:tmpl w:val="67AEE0E0"/>
    <w:lvl w:ilvl="0" w:tplc="080A0001">
      <w:start w:val="1"/>
      <w:numFmt w:val="bullet"/>
      <w:lvlText w:val=""/>
      <w:lvlJc w:val="left"/>
      <w:pPr>
        <w:ind w:left="1484" w:hanging="360"/>
      </w:pPr>
      <w:rPr>
        <w:rFonts w:ascii="Symbol" w:hAnsi="Symbol" w:hint="default"/>
      </w:rPr>
    </w:lvl>
    <w:lvl w:ilvl="1" w:tplc="080A0003" w:tentative="1">
      <w:start w:val="1"/>
      <w:numFmt w:val="bullet"/>
      <w:lvlText w:val="o"/>
      <w:lvlJc w:val="left"/>
      <w:pPr>
        <w:ind w:left="2204" w:hanging="360"/>
      </w:pPr>
      <w:rPr>
        <w:rFonts w:ascii="Courier New" w:hAnsi="Courier New" w:cs="Courier New" w:hint="default"/>
      </w:rPr>
    </w:lvl>
    <w:lvl w:ilvl="2" w:tplc="080A0005" w:tentative="1">
      <w:start w:val="1"/>
      <w:numFmt w:val="bullet"/>
      <w:lvlText w:val=""/>
      <w:lvlJc w:val="left"/>
      <w:pPr>
        <w:ind w:left="2924" w:hanging="360"/>
      </w:pPr>
      <w:rPr>
        <w:rFonts w:ascii="Wingdings" w:hAnsi="Wingdings" w:hint="default"/>
      </w:rPr>
    </w:lvl>
    <w:lvl w:ilvl="3" w:tplc="080A0001" w:tentative="1">
      <w:start w:val="1"/>
      <w:numFmt w:val="bullet"/>
      <w:lvlText w:val=""/>
      <w:lvlJc w:val="left"/>
      <w:pPr>
        <w:ind w:left="3644" w:hanging="360"/>
      </w:pPr>
      <w:rPr>
        <w:rFonts w:ascii="Symbol" w:hAnsi="Symbol" w:hint="default"/>
      </w:rPr>
    </w:lvl>
    <w:lvl w:ilvl="4" w:tplc="080A0003" w:tentative="1">
      <w:start w:val="1"/>
      <w:numFmt w:val="bullet"/>
      <w:lvlText w:val="o"/>
      <w:lvlJc w:val="left"/>
      <w:pPr>
        <w:ind w:left="4364" w:hanging="360"/>
      </w:pPr>
      <w:rPr>
        <w:rFonts w:ascii="Courier New" w:hAnsi="Courier New" w:cs="Courier New" w:hint="default"/>
      </w:rPr>
    </w:lvl>
    <w:lvl w:ilvl="5" w:tplc="080A0005" w:tentative="1">
      <w:start w:val="1"/>
      <w:numFmt w:val="bullet"/>
      <w:lvlText w:val=""/>
      <w:lvlJc w:val="left"/>
      <w:pPr>
        <w:ind w:left="5084" w:hanging="360"/>
      </w:pPr>
      <w:rPr>
        <w:rFonts w:ascii="Wingdings" w:hAnsi="Wingdings" w:hint="default"/>
      </w:rPr>
    </w:lvl>
    <w:lvl w:ilvl="6" w:tplc="080A0001" w:tentative="1">
      <w:start w:val="1"/>
      <w:numFmt w:val="bullet"/>
      <w:lvlText w:val=""/>
      <w:lvlJc w:val="left"/>
      <w:pPr>
        <w:ind w:left="5804" w:hanging="360"/>
      </w:pPr>
      <w:rPr>
        <w:rFonts w:ascii="Symbol" w:hAnsi="Symbol" w:hint="default"/>
      </w:rPr>
    </w:lvl>
    <w:lvl w:ilvl="7" w:tplc="080A0003" w:tentative="1">
      <w:start w:val="1"/>
      <w:numFmt w:val="bullet"/>
      <w:lvlText w:val="o"/>
      <w:lvlJc w:val="left"/>
      <w:pPr>
        <w:ind w:left="6524" w:hanging="360"/>
      </w:pPr>
      <w:rPr>
        <w:rFonts w:ascii="Courier New" w:hAnsi="Courier New" w:cs="Courier New" w:hint="default"/>
      </w:rPr>
    </w:lvl>
    <w:lvl w:ilvl="8" w:tplc="080A0005" w:tentative="1">
      <w:start w:val="1"/>
      <w:numFmt w:val="bullet"/>
      <w:lvlText w:val=""/>
      <w:lvlJc w:val="left"/>
      <w:pPr>
        <w:ind w:left="7244" w:hanging="360"/>
      </w:pPr>
      <w:rPr>
        <w:rFonts w:ascii="Wingdings" w:hAnsi="Wingdings" w:hint="default"/>
      </w:rPr>
    </w:lvl>
  </w:abstractNum>
  <w:abstractNum w:abstractNumId="17" w15:restartNumberingAfterBreak="0">
    <w:nsid w:val="5BDE1055"/>
    <w:multiLevelType w:val="hybridMultilevel"/>
    <w:tmpl w:val="6DCEDD76"/>
    <w:lvl w:ilvl="0" w:tplc="080A0001">
      <w:start w:val="1"/>
      <w:numFmt w:val="bullet"/>
      <w:lvlText w:val=""/>
      <w:lvlJc w:val="left"/>
      <w:pPr>
        <w:ind w:left="1144" w:hanging="360"/>
      </w:pPr>
      <w:rPr>
        <w:rFonts w:ascii="Symbol" w:hAnsi="Symbol" w:hint="default"/>
      </w:rPr>
    </w:lvl>
    <w:lvl w:ilvl="1" w:tplc="080A0003" w:tentative="1">
      <w:start w:val="1"/>
      <w:numFmt w:val="bullet"/>
      <w:lvlText w:val="o"/>
      <w:lvlJc w:val="left"/>
      <w:pPr>
        <w:ind w:left="1864" w:hanging="360"/>
      </w:pPr>
      <w:rPr>
        <w:rFonts w:ascii="Courier New" w:hAnsi="Courier New" w:cs="Courier New" w:hint="default"/>
      </w:rPr>
    </w:lvl>
    <w:lvl w:ilvl="2" w:tplc="080A0005" w:tentative="1">
      <w:start w:val="1"/>
      <w:numFmt w:val="bullet"/>
      <w:lvlText w:val=""/>
      <w:lvlJc w:val="left"/>
      <w:pPr>
        <w:ind w:left="2584" w:hanging="360"/>
      </w:pPr>
      <w:rPr>
        <w:rFonts w:ascii="Wingdings" w:hAnsi="Wingdings" w:hint="default"/>
      </w:rPr>
    </w:lvl>
    <w:lvl w:ilvl="3" w:tplc="080A0001" w:tentative="1">
      <w:start w:val="1"/>
      <w:numFmt w:val="bullet"/>
      <w:lvlText w:val=""/>
      <w:lvlJc w:val="left"/>
      <w:pPr>
        <w:ind w:left="3304" w:hanging="360"/>
      </w:pPr>
      <w:rPr>
        <w:rFonts w:ascii="Symbol" w:hAnsi="Symbol" w:hint="default"/>
      </w:rPr>
    </w:lvl>
    <w:lvl w:ilvl="4" w:tplc="080A0003" w:tentative="1">
      <w:start w:val="1"/>
      <w:numFmt w:val="bullet"/>
      <w:lvlText w:val="o"/>
      <w:lvlJc w:val="left"/>
      <w:pPr>
        <w:ind w:left="4024" w:hanging="360"/>
      </w:pPr>
      <w:rPr>
        <w:rFonts w:ascii="Courier New" w:hAnsi="Courier New" w:cs="Courier New" w:hint="default"/>
      </w:rPr>
    </w:lvl>
    <w:lvl w:ilvl="5" w:tplc="080A0005" w:tentative="1">
      <w:start w:val="1"/>
      <w:numFmt w:val="bullet"/>
      <w:lvlText w:val=""/>
      <w:lvlJc w:val="left"/>
      <w:pPr>
        <w:ind w:left="4744" w:hanging="360"/>
      </w:pPr>
      <w:rPr>
        <w:rFonts w:ascii="Wingdings" w:hAnsi="Wingdings" w:hint="default"/>
      </w:rPr>
    </w:lvl>
    <w:lvl w:ilvl="6" w:tplc="080A0001" w:tentative="1">
      <w:start w:val="1"/>
      <w:numFmt w:val="bullet"/>
      <w:lvlText w:val=""/>
      <w:lvlJc w:val="left"/>
      <w:pPr>
        <w:ind w:left="5464" w:hanging="360"/>
      </w:pPr>
      <w:rPr>
        <w:rFonts w:ascii="Symbol" w:hAnsi="Symbol" w:hint="default"/>
      </w:rPr>
    </w:lvl>
    <w:lvl w:ilvl="7" w:tplc="080A0003" w:tentative="1">
      <w:start w:val="1"/>
      <w:numFmt w:val="bullet"/>
      <w:lvlText w:val="o"/>
      <w:lvlJc w:val="left"/>
      <w:pPr>
        <w:ind w:left="6184" w:hanging="360"/>
      </w:pPr>
      <w:rPr>
        <w:rFonts w:ascii="Courier New" w:hAnsi="Courier New" w:cs="Courier New" w:hint="default"/>
      </w:rPr>
    </w:lvl>
    <w:lvl w:ilvl="8" w:tplc="080A0005" w:tentative="1">
      <w:start w:val="1"/>
      <w:numFmt w:val="bullet"/>
      <w:lvlText w:val=""/>
      <w:lvlJc w:val="left"/>
      <w:pPr>
        <w:ind w:left="6904" w:hanging="360"/>
      </w:pPr>
      <w:rPr>
        <w:rFonts w:ascii="Wingdings" w:hAnsi="Wingdings" w:hint="default"/>
      </w:rPr>
    </w:lvl>
  </w:abstractNum>
  <w:abstractNum w:abstractNumId="18" w15:restartNumberingAfterBreak="0">
    <w:nsid w:val="5ED01343"/>
    <w:multiLevelType w:val="hybridMultilevel"/>
    <w:tmpl w:val="4BB4AF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F56221C"/>
    <w:multiLevelType w:val="hybridMultilevel"/>
    <w:tmpl w:val="6B866C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67016768"/>
    <w:multiLevelType w:val="hybridMultilevel"/>
    <w:tmpl w:val="71A432F2"/>
    <w:lvl w:ilvl="0" w:tplc="90684F88">
      <w:start w:val="1"/>
      <w:numFmt w:val="lowerLetter"/>
      <w:lvlText w:val="%1)"/>
      <w:lvlJc w:val="left"/>
      <w:pPr>
        <w:ind w:left="2582" w:hanging="360"/>
      </w:pPr>
      <w:rPr>
        <w:i w:val="0"/>
      </w:rPr>
    </w:lvl>
    <w:lvl w:ilvl="1" w:tplc="080A0019">
      <w:start w:val="1"/>
      <w:numFmt w:val="lowerLetter"/>
      <w:lvlText w:val="%2."/>
      <w:lvlJc w:val="left"/>
      <w:pPr>
        <w:ind w:left="3302" w:hanging="360"/>
      </w:pPr>
    </w:lvl>
    <w:lvl w:ilvl="2" w:tplc="080A001B">
      <w:start w:val="1"/>
      <w:numFmt w:val="lowerRoman"/>
      <w:lvlText w:val="%3."/>
      <w:lvlJc w:val="right"/>
      <w:pPr>
        <w:ind w:left="4022" w:hanging="180"/>
      </w:pPr>
    </w:lvl>
    <w:lvl w:ilvl="3" w:tplc="080A000F">
      <w:start w:val="1"/>
      <w:numFmt w:val="decimal"/>
      <w:lvlText w:val="%4."/>
      <w:lvlJc w:val="left"/>
      <w:pPr>
        <w:ind w:left="4742" w:hanging="360"/>
      </w:pPr>
    </w:lvl>
    <w:lvl w:ilvl="4" w:tplc="080A0019">
      <w:start w:val="1"/>
      <w:numFmt w:val="lowerLetter"/>
      <w:lvlText w:val="%5."/>
      <w:lvlJc w:val="left"/>
      <w:pPr>
        <w:ind w:left="5462" w:hanging="360"/>
      </w:pPr>
    </w:lvl>
    <w:lvl w:ilvl="5" w:tplc="080A001B">
      <w:start w:val="1"/>
      <w:numFmt w:val="lowerRoman"/>
      <w:lvlText w:val="%6."/>
      <w:lvlJc w:val="right"/>
      <w:pPr>
        <w:ind w:left="6182" w:hanging="180"/>
      </w:pPr>
    </w:lvl>
    <w:lvl w:ilvl="6" w:tplc="080A000F">
      <w:start w:val="1"/>
      <w:numFmt w:val="decimal"/>
      <w:lvlText w:val="%7."/>
      <w:lvlJc w:val="left"/>
      <w:pPr>
        <w:ind w:left="6902" w:hanging="360"/>
      </w:pPr>
    </w:lvl>
    <w:lvl w:ilvl="7" w:tplc="080A0019">
      <w:start w:val="1"/>
      <w:numFmt w:val="lowerLetter"/>
      <w:lvlText w:val="%8."/>
      <w:lvlJc w:val="left"/>
      <w:pPr>
        <w:ind w:left="7622" w:hanging="360"/>
      </w:pPr>
    </w:lvl>
    <w:lvl w:ilvl="8" w:tplc="080A001B">
      <w:start w:val="1"/>
      <w:numFmt w:val="lowerRoman"/>
      <w:lvlText w:val="%9."/>
      <w:lvlJc w:val="right"/>
      <w:pPr>
        <w:ind w:left="8342" w:hanging="180"/>
      </w:pPr>
    </w:lvl>
  </w:abstractNum>
  <w:abstractNum w:abstractNumId="21" w15:restartNumberingAfterBreak="0">
    <w:nsid w:val="6B1B310D"/>
    <w:multiLevelType w:val="hybridMultilevel"/>
    <w:tmpl w:val="BF64EEB8"/>
    <w:lvl w:ilvl="0" w:tplc="B9346FC8">
      <w:start w:val="1"/>
      <w:numFmt w:val="upperRoman"/>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2" w15:restartNumberingAfterBreak="0">
    <w:nsid w:val="6DC1591D"/>
    <w:multiLevelType w:val="hybridMultilevel"/>
    <w:tmpl w:val="0888A72C"/>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3" w15:restartNumberingAfterBreak="0">
    <w:nsid w:val="6DE00563"/>
    <w:multiLevelType w:val="hybridMultilevel"/>
    <w:tmpl w:val="7AA802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78761F4D"/>
    <w:multiLevelType w:val="hybridMultilevel"/>
    <w:tmpl w:val="FC7A5CC0"/>
    <w:lvl w:ilvl="0" w:tplc="080A0001">
      <w:start w:val="1"/>
      <w:numFmt w:val="bullet"/>
      <w:lvlText w:val=""/>
      <w:lvlJc w:val="left"/>
      <w:pPr>
        <w:ind w:left="1144" w:hanging="360"/>
      </w:pPr>
      <w:rPr>
        <w:rFonts w:ascii="Symbol" w:hAnsi="Symbol" w:hint="default"/>
      </w:rPr>
    </w:lvl>
    <w:lvl w:ilvl="1" w:tplc="080A0003">
      <w:start w:val="1"/>
      <w:numFmt w:val="bullet"/>
      <w:lvlText w:val="o"/>
      <w:lvlJc w:val="left"/>
      <w:pPr>
        <w:ind w:left="1864" w:hanging="360"/>
      </w:pPr>
      <w:rPr>
        <w:rFonts w:ascii="Courier New" w:hAnsi="Courier New" w:cs="Courier New" w:hint="default"/>
      </w:rPr>
    </w:lvl>
    <w:lvl w:ilvl="2" w:tplc="080A0005">
      <w:start w:val="1"/>
      <w:numFmt w:val="bullet"/>
      <w:lvlText w:val=""/>
      <w:lvlJc w:val="left"/>
      <w:pPr>
        <w:ind w:left="2584" w:hanging="360"/>
      </w:pPr>
      <w:rPr>
        <w:rFonts w:ascii="Wingdings" w:hAnsi="Wingdings" w:hint="default"/>
      </w:rPr>
    </w:lvl>
    <w:lvl w:ilvl="3" w:tplc="080A0001">
      <w:start w:val="1"/>
      <w:numFmt w:val="bullet"/>
      <w:lvlText w:val=""/>
      <w:lvlJc w:val="left"/>
      <w:pPr>
        <w:ind w:left="3304" w:hanging="360"/>
      </w:pPr>
      <w:rPr>
        <w:rFonts w:ascii="Symbol" w:hAnsi="Symbol" w:hint="default"/>
      </w:rPr>
    </w:lvl>
    <w:lvl w:ilvl="4" w:tplc="080A0003">
      <w:start w:val="1"/>
      <w:numFmt w:val="bullet"/>
      <w:lvlText w:val="o"/>
      <w:lvlJc w:val="left"/>
      <w:pPr>
        <w:ind w:left="4024" w:hanging="360"/>
      </w:pPr>
      <w:rPr>
        <w:rFonts w:ascii="Courier New" w:hAnsi="Courier New" w:cs="Courier New" w:hint="default"/>
      </w:rPr>
    </w:lvl>
    <w:lvl w:ilvl="5" w:tplc="080A0005">
      <w:start w:val="1"/>
      <w:numFmt w:val="bullet"/>
      <w:lvlText w:val=""/>
      <w:lvlJc w:val="left"/>
      <w:pPr>
        <w:ind w:left="4744" w:hanging="360"/>
      </w:pPr>
      <w:rPr>
        <w:rFonts w:ascii="Wingdings" w:hAnsi="Wingdings" w:hint="default"/>
      </w:rPr>
    </w:lvl>
    <w:lvl w:ilvl="6" w:tplc="080A0001">
      <w:start w:val="1"/>
      <w:numFmt w:val="bullet"/>
      <w:lvlText w:val=""/>
      <w:lvlJc w:val="left"/>
      <w:pPr>
        <w:ind w:left="5464" w:hanging="360"/>
      </w:pPr>
      <w:rPr>
        <w:rFonts w:ascii="Symbol" w:hAnsi="Symbol" w:hint="default"/>
      </w:rPr>
    </w:lvl>
    <w:lvl w:ilvl="7" w:tplc="080A0003">
      <w:start w:val="1"/>
      <w:numFmt w:val="bullet"/>
      <w:lvlText w:val="o"/>
      <w:lvlJc w:val="left"/>
      <w:pPr>
        <w:ind w:left="6184" w:hanging="360"/>
      </w:pPr>
      <w:rPr>
        <w:rFonts w:ascii="Courier New" w:hAnsi="Courier New" w:cs="Courier New" w:hint="default"/>
      </w:rPr>
    </w:lvl>
    <w:lvl w:ilvl="8" w:tplc="080A0005">
      <w:start w:val="1"/>
      <w:numFmt w:val="bullet"/>
      <w:lvlText w:val=""/>
      <w:lvlJc w:val="left"/>
      <w:pPr>
        <w:ind w:left="6904" w:hanging="360"/>
      </w:pPr>
      <w:rPr>
        <w:rFonts w:ascii="Wingdings" w:hAnsi="Wingdings" w:hint="default"/>
      </w:rPr>
    </w:lvl>
  </w:abstractNum>
  <w:abstractNum w:abstractNumId="25" w15:restartNumberingAfterBreak="0">
    <w:nsid w:val="7D090604"/>
    <w:multiLevelType w:val="hybridMultilevel"/>
    <w:tmpl w:val="CCDCD198"/>
    <w:lvl w:ilvl="0" w:tplc="080A0001">
      <w:start w:val="1"/>
      <w:numFmt w:val="bullet"/>
      <w:lvlText w:val=""/>
      <w:lvlJc w:val="left"/>
      <w:pPr>
        <w:ind w:left="1634" w:hanging="360"/>
      </w:pPr>
      <w:rPr>
        <w:rFonts w:ascii="Symbol" w:hAnsi="Symbol" w:hint="default"/>
      </w:rPr>
    </w:lvl>
    <w:lvl w:ilvl="1" w:tplc="080A0003" w:tentative="1">
      <w:start w:val="1"/>
      <w:numFmt w:val="bullet"/>
      <w:lvlText w:val="o"/>
      <w:lvlJc w:val="left"/>
      <w:pPr>
        <w:ind w:left="2354" w:hanging="360"/>
      </w:pPr>
      <w:rPr>
        <w:rFonts w:ascii="Courier New" w:hAnsi="Courier New" w:cs="Courier New" w:hint="default"/>
      </w:rPr>
    </w:lvl>
    <w:lvl w:ilvl="2" w:tplc="080A0005" w:tentative="1">
      <w:start w:val="1"/>
      <w:numFmt w:val="bullet"/>
      <w:lvlText w:val=""/>
      <w:lvlJc w:val="left"/>
      <w:pPr>
        <w:ind w:left="3074" w:hanging="360"/>
      </w:pPr>
      <w:rPr>
        <w:rFonts w:ascii="Wingdings" w:hAnsi="Wingdings" w:hint="default"/>
      </w:rPr>
    </w:lvl>
    <w:lvl w:ilvl="3" w:tplc="080A0001" w:tentative="1">
      <w:start w:val="1"/>
      <w:numFmt w:val="bullet"/>
      <w:lvlText w:val=""/>
      <w:lvlJc w:val="left"/>
      <w:pPr>
        <w:ind w:left="3794" w:hanging="360"/>
      </w:pPr>
      <w:rPr>
        <w:rFonts w:ascii="Symbol" w:hAnsi="Symbol" w:hint="default"/>
      </w:rPr>
    </w:lvl>
    <w:lvl w:ilvl="4" w:tplc="080A0003" w:tentative="1">
      <w:start w:val="1"/>
      <w:numFmt w:val="bullet"/>
      <w:lvlText w:val="o"/>
      <w:lvlJc w:val="left"/>
      <w:pPr>
        <w:ind w:left="4514" w:hanging="360"/>
      </w:pPr>
      <w:rPr>
        <w:rFonts w:ascii="Courier New" w:hAnsi="Courier New" w:cs="Courier New" w:hint="default"/>
      </w:rPr>
    </w:lvl>
    <w:lvl w:ilvl="5" w:tplc="080A0005" w:tentative="1">
      <w:start w:val="1"/>
      <w:numFmt w:val="bullet"/>
      <w:lvlText w:val=""/>
      <w:lvlJc w:val="left"/>
      <w:pPr>
        <w:ind w:left="5234" w:hanging="360"/>
      </w:pPr>
      <w:rPr>
        <w:rFonts w:ascii="Wingdings" w:hAnsi="Wingdings" w:hint="default"/>
      </w:rPr>
    </w:lvl>
    <w:lvl w:ilvl="6" w:tplc="080A0001" w:tentative="1">
      <w:start w:val="1"/>
      <w:numFmt w:val="bullet"/>
      <w:lvlText w:val=""/>
      <w:lvlJc w:val="left"/>
      <w:pPr>
        <w:ind w:left="5954" w:hanging="360"/>
      </w:pPr>
      <w:rPr>
        <w:rFonts w:ascii="Symbol" w:hAnsi="Symbol" w:hint="default"/>
      </w:rPr>
    </w:lvl>
    <w:lvl w:ilvl="7" w:tplc="080A0003" w:tentative="1">
      <w:start w:val="1"/>
      <w:numFmt w:val="bullet"/>
      <w:lvlText w:val="o"/>
      <w:lvlJc w:val="left"/>
      <w:pPr>
        <w:ind w:left="6674" w:hanging="360"/>
      </w:pPr>
      <w:rPr>
        <w:rFonts w:ascii="Courier New" w:hAnsi="Courier New" w:cs="Courier New" w:hint="default"/>
      </w:rPr>
    </w:lvl>
    <w:lvl w:ilvl="8" w:tplc="080A0005" w:tentative="1">
      <w:start w:val="1"/>
      <w:numFmt w:val="bullet"/>
      <w:lvlText w:val=""/>
      <w:lvlJc w:val="left"/>
      <w:pPr>
        <w:ind w:left="7394" w:hanging="360"/>
      </w:pPr>
      <w:rPr>
        <w:rFonts w:ascii="Wingdings" w:hAnsi="Wingdings" w:hint="default"/>
      </w:rPr>
    </w:lvl>
  </w:abstractNum>
  <w:abstractNum w:abstractNumId="26" w15:restartNumberingAfterBreak="0">
    <w:nsid w:val="7DD4710E"/>
    <w:multiLevelType w:val="hybridMultilevel"/>
    <w:tmpl w:val="D10A122A"/>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EB822F5"/>
    <w:multiLevelType w:val="hybridMultilevel"/>
    <w:tmpl w:val="76D6862A"/>
    <w:lvl w:ilvl="0" w:tplc="080A000F">
      <w:start w:val="1"/>
      <w:numFmt w:val="decimal"/>
      <w:lvlText w:val="%1."/>
      <w:lvlJc w:val="left"/>
      <w:pPr>
        <w:ind w:left="1287" w:hanging="360"/>
      </w:pPr>
    </w:lvl>
    <w:lvl w:ilvl="1" w:tplc="080A0019">
      <w:start w:val="1"/>
      <w:numFmt w:val="lowerLetter"/>
      <w:lvlText w:val="%2."/>
      <w:lvlJc w:val="left"/>
      <w:pPr>
        <w:ind w:left="2007" w:hanging="360"/>
      </w:pPr>
    </w:lvl>
    <w:lvl w:ilvl="2" w:tplc="080A001B">
      <w:start w:val="1"/>
      <w:numFmt w:val="lowerRoman"/>
      <w:lvlText w:val="%3."/>
      <w:lvlJc w:val="right"/>
      <w:pPr>
        <w:ind w:left="2727" w:hanging="180"/>
      </w:pPr>
    </w:lvl>
    <w:lvl w:ilvl="3" w:tplc="080A000F">
      <w:start w:val="1"/>
      <w:numFmt w:val="decimal"/>
      <w:lvlText w:val="%4."/>
      <w:lvlJc w:val="left"/>
      <w:pPr>
        <w:ind w:left="3447" w:hanging="360"/>
      </w:pPr>
    </w:lvl>
    <w:lvl w:ilvl="4" w:tplc="080A0019">
      <w:start w:val="1"/>
      <w:numFmt w:val="lowerLetter"/>
      <w:lvlText w:val="%5."/>
      <w:lvlJc w:val="left"/>
      <w:pPr>
        <w:ind w:left="4167" w:hanging="360"/>
      </w:pPr>
    </w:lvl>
    <w:lvl w:ilvl="5" w:tplc="080A001B">
      <w:start w:val="1"/>
      <w:numFmt w:val="lowerRoman"/>
      <w:lvlText w:val="%6."/>
      <w:lvlJc w:val="right"/>
      <w:pPr>
        <w:ind w:left="4887" w:hanging="180"/>
      </w:pPr>
    </w:lvl>
    <w:lvl w:ilvl="6" w:tplc="080A000F">
      <w:start w:val="1"/>
      <w:numFmt w:val="decimal"/>
      <w:lvlText w:val="%7."/>
      <w:lvlJc w:val="left"/>
      <w:pPr>
        <w:ind w:left="5607" w:hanging="360"/>
      </w:pPr>
    </w:lvl>
    <w:lvl w:ilvl="7" w:tplc="080A0019">
      <w:start w:val="1"/>
      <w:numFmt w:val="lowerLetter"/>
      <w:lvlText w:val="%8."/>
      <w:lvlJc w:val="left"/>
      <w:pPr>
        <w:ind w:left="6327" w:hanging="360"/>
      </w:pPr>
    </w:lvl>
    <w:lvl w:ilvl="8" w:tplc="080A001B">
      <w:start w:val="1"/>
      <w:numFmt w:val="lowerRoman"/>
      <w:lvlText w:val="%9."/>
      <w:lvlJc w:val="right"/>
      <w:pPr>
        <w:ind w:left="7047" w:hanging="180"/>
      </w:pPr>
    </w:lvl>
  </w:abstractNum>
  <w:num w:numId="1">
    <w:abstractNumId w:val="1"/>
  </w:num>
  <w:num w:numId="2">
    <w:abstractNumId w:val="8"/>
  </w:num>
  <w:num w:numId="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11"/>
  </w:num>
  <w:num w:numId="6">
    <w:abstractNumId w:val="16"/>
  </w:num>
  <w:num w:numId="7">
    <w:abstractNumId w:val="12"/>
  </w:num>
  <w:num w:numId="8">
    <w:abstractNumId w:val="4"/>
  </w:num>
  <w:num w:numId="9">
    <w:abstractNumId w:val="26"/>
  </w:num>
  <w:num w:numId="10">
    <w:abstractNumId w:val="19"/>
  </w:num>
  <w:num w:numId="11">
    <w:abstractNumId w:val="14"/>
  </w:num>
  <w:num w:numId="12">
    <w:abstractNumId w:val="6"/>
  </w:num>
  <w:num w:numId="13">
    <w:abstractNumId w:val="18"/>
  </w:num>
  <w:num w:numId="14">
    <w:abstractNumId w:val="23"/>
  </w:num>
  <w:num w:numId="15">
    <w:abstractNumId w:val="25"/>
  </w:num>
  <w:num w:numId="16">
    <w:abstractNumId w:val="15"/>
  </w:num>
  <w:num w:numId="17">
    <w:abstractNumId w:val="20"/>
  </w:num>
  <w:num w:numId="18">
    <w:abstractNumId w:val="22"/>
  </w:num>
  <w:num w:numId="19">
    <w:abstractNumId w:val="10"/>
  </w:num>
  <w:num w:numId="20">
    <w:abstractNumId w:val="24"/>
  </w:num>
  <w:num w:numId="21">
    <w:abstractNumId w:val="16"/>
  </w:num>
  <w:num w:numId="2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8"/>
  </w:num>
  <w:num w:numId="24">
    <w:abstractNumId w:val="22"/>
  </w:num>
  <w:num w:numId="2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7"/>
  </w:num>
  <w:num w:numId="27">
    <w:abstractNumId w:val="7"/>
  </w:num>
  <w:num w:numId="28">
    <w:abstractNumId w:val="21"/>
  </w:num>
  <w:num w:numId="29">
    <w:abstractNumId w:val="0"/>
  </w:num>
  <w:num w:numId="3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73D6"/>
    <w:rsid w:val="00001864"/>
    <w:rsid w:val="00004044"/>
    <w:rsid w:val="000052D1"/>
    <w:rsid w:val="00007186"/>
    <w:rsid w:val="00015962"/>
    <w:rsid w:val="0003548F"/>
    <w:rsid w:val="00045923"/>
    <w:rsid w:val="00047E2D"/>
    <w:rsid w:val="00050E56"/>
    <w:rsid w:val="00052DF9"/>
    <w:rsid w:val="00053358"/>
    <w:rsid w:val="00055859"/>
    <w:rsid w:val="00056ED4"/>
    <w:rsid w:val="00061EDC"/>
    <w:rsid w:val="00065E35"/>
    <w:rsid w:val="00073B3F"/>
    <w:rsid w:val="00074234"/>
    <w:rsid w:val="00095A42"/>
    <w:rsid w:val="000A1D86"/>
    <w:rsid w:val="000A40D5"/>
    <w:rsid w:val="000C3CEA"/>
    <w:rsid w:val="000E0719"/>
    <w:rsid w:val="000F7310"/>
    <w:rsid w:val="001111C0"/>
    <w:rsid w:val="0011540B"/>
    <w:rsid w:val="00120774"/>
    <w:rsid w:val="00127140"/>
    <w:rsid w:val="0013036E"/>
    <w:rsid w:val="00131163"/>
    <w:rsid w:val="00135F42"/>
    <w:rsid w:val="0014317C"/>
    <w:rsid w:val="00143983"/>
    <w:rsid w:val="001449DF"/>
    <w:rsid w:val="00157903"/>
    <w:rsid w:val="00173CE6"/>
    <w:rsid w:val="00181CE4"/>
    <w:rsid w:val="0019121B"/>
    <w:rsid w:val="00195037"/>
    <w:rsid w:val="001961AC"/>
    <w:rsid w:val="00197380"/>
    <w:rsid w:val="001B5189"/>
    <w:rsid w:val="001D0213"/>
    <w:rsid w:val="001D7F63"/>
    <w:rsid w:val="001E1209"/>
    <w:rsid w:val="001E51E0"/>
    <w:rsid w:val="001E7686"/>
    <w:rsid w:val="00204B24"/>
    <w:rsid w:val="00220490"/>
    <w:rsid w:val="00221836"/>
    <w:rsid w:val="002267A7"/>
    <w:rsid w:val="002268E3"/>
    <w:rsid w:val="00230025"/>
    <w:rsid w:val="00232E80"/>
    <w:rsid w:val="00245379"/>
    <w:rsid w:val="002470F5"/>
    <w:rsid w:val="0025117D"/>
    <w:rsid w:val="002623F9"/>
    <w:rsid w:val="00263191"/>
    <w:rsid w:val="00267BAD"/>
    <w:rsid w:val="00273A42"/>
    <w:rsid w:val="00282989"/>
    <w:rsid w:val="002912B8"/>
    <w:rsid w:val="002C6173"/>
    <w:rsid w:val="002D1DC4"/>
    <w:rsid w:val="002D60C0"/>
    <w:rsid w:val="002D72D9"/>
    <w:rsid w:val="002F26AB"/>
    <w:rsid w:val="00300D3F"/>
    <w:rsid w:val="00334F3F"/>
    <w:rsid w:val="00341DF0"/>
    <w:rsid w:val="00347E9D"/>
    <w:rsid w:val="003555CC"/>
    <w:rsid w:val="003575B8"/>
    <w:rsid w:val="00367761"/>
    <w:rsid w:val="00377A47"/>
    <w:rsid w:val="00377CFA"/>
    <w:rsid w:val="00383BD5"/>
    <w:rsid w:val="00391CAD"/>
    <w:rsid w:val="003C1E39"/>
    <w:rsid w:val="003D265F"/>
    <w:rsid w:val="003E1A40"/>
    <w:rsid w:val="00404610"/>
    <w:rsid w:val="00407ADB"/>
    <w:rsid w:val="00411EB9"/>
    <w:rsid w:val="004173D6"/>
    <w:rsid w:val="0042237B"/>
    <w:rsid w:val="00447511"/>
    <w:rsid w:val="00453FDC"/>
    <w:rsid w:val="00462DDD"/>
    <w:rsid w:val="00487AA8"/>
    <w:rsid w:val="00491683"/>
    <w:rsid w:val="004921BD"/>
    <w:rsid w:val="004A1882"/>
    <w:rsid w:val="004A3E28"/>
    <w:rsid w:val="004B31A1"/>
    <w:rsid w:val="004C0F6A"/>
    <w:rsid w:val="004C5CD4"/>
    <w:rsid w:val="004C75B1"/>
    <w:rsid w:val="004D0939"/>
    <w:rsid w:val="004D58D3"/>
    <w:rsid w:val="004D758A"/>
    <w:rsid w:val="004F0343"/>
    <w:rsid w:val="00502CEC"/>
    <w:rsid w:val="0052191C"/>
    <w:rsid w:val="00531273"/>
    <w:rsid w:val="0053150B"/>
    <w:rsid w:val="0057208C"/>
    <w:rsid w:val="00580678"/>
    <w:rsid w:val="0059313C"/>
    <w:rsid w:val="005B28DD"/>
    <w:rsid w:val="005B40BE"/>
    <w:rsid w:val="005C4975"/>
    <w:rsid w:val="005C6FA1"/>
    <w:rsid w:val="005E66D5"/>
    <w:rsid w:val="005F00E0"/>
    <w:rsid w:val="005F44E9"/>
    <w:rsid w:val="005F4C1C"/>
    <w:rsid w:val="006008F1"/>
    <w:rsid w:val="0063206D"/>
    <w:rsid w:val="00634AFF"/>
    <w:rsid w:val="006459D3"/>
    <w:rsid w:val="006706F5"/>
    <w:rsid w:val="00674A8E"/>
    <w:rsid w:val="006765D6"/>
    <w:rsid w:val="006824DE"/>
    <w:rsid w:val="006841B7"/>
    <w:rsid w:val="006877B4"/>
    <w:rsid w:val="0069436E"/>
    <w:rsid w:val="0069457D"/>
    <w:rsid w:val="006A35F7"/>
    <w:rsid w:val="006B0C4B"/>
    <w:rsid w:val="006C239F"/>
    <w:rsid w:val="006D2336"/>
    <w:rsid w:val="006E6446"/>
    <w:rsid w:val="006F4003"/>
    <w:rsid w:val="00705A83"/>
    <w:rsid w:val="00716F3D"/>
    <w:rsid w:val="00725F66"/>
    <w:rsid w:val="00737462"/>
    <w:rsid w:val="00780B82"/>
    <w:rsid w:val="00783690"/>
    <w:rsid w:val="007906FD"/>
    <w:rsid w:val="00791C4C"/>
    <w:rsid w:val="007B0998"/>
    <w:rsid w:val="007D3646"/>
    <w:rsid w:val="007E4EF3"/>
    <w:rsid w:val="007F2742"/>
    <w:rsid w:val="00801358"/>
    <w:rsid w:val="00830251"/>
    <w:rsid w:val="00836FC8"/>
    <w:rsid w:val="00847E58"/>
    <w:rsid w:val="008964FD"/>
    <w:rsid w:val="00897DAD"/>
    <w:rsid w:val="008B10E4"/>
    <w:rsid w:val="008B213E"/>
    <w:rsid w:val="008C47A4"/>
    <w:rsid w:val="008D05D2"/>
    <w:rsid w:val="008E0605"/>
    <w:rsid w:val="008F1079"/>
    <w:rsid w:val="00921DC9"/>
    <w:rsid w:val="00931C75"/>
    <w:rsid w:val="00933502"/>
    <w:rsid w:val="00952B48"/>
    <w:rsid w:val="00975705"/>
    <w:rsid w:val="009776CA"/>
    <w:rsid w:val="0099033F"/>
    <w:rsid w:val="009A34CD"/>
    <w:rsid w:val="009B3215"/>
    <w:rsid w:val="009B45A7"/>
    <w:rsid w:val="009C107A"/>
    <w:rsid w:val="009C71B7"/>
    <w:rsid w:val="009E4E05"/>
    <w:rsid w:val="009F1583"/>
    <w:rsid w:val="00A0438A"/>
    <w:rsid w:val="00A07B72"/>
    <w:rsid w:val="00A24518"/>
    <w:rsid w:val="00A36679"/>
    <w:rsid w:val="00A44614"/>
    <w:rsid w:val="00A46A53"/>
    <w:rsid w:val="00A5040F"/>
    <w:rsid w:val="00A577DF"/>
    <w:rsid w:val="00A60F76"/>
    <w:rsid w:val="00A66FFA"/>
    <w:rsid w:val="00A72100"/>
    <w:rsid w:val="00AA044C"/>
    <w:rsid w:val="00AA1380"/>
    <w:rsid w:val="00AD3BAF"/>
    <w:rsid w:val="00AF2720"/>
    <w:rsid w:val="00AF3DA0"/>
    <w:rsid w:val="00AF6445"/>
    <w:rsid w:val="00B0283A"/>
    <w:rsid w:val="00B15043"/>
    <w:rsid w:val="00B52DEA"/>
    <w:rsid w:val="00B55D73"/>
    <w:rsid w:val="00B661A3"/>
    <w:rsid w:val="00B67888"/>
    <w:rsid w:val="00B71641"/>
    <w:rsid w:val="00B75F0F"/>
    <w:rsid w:val="00B763D6"/>
    <w:rsid w:val="00B87B2E"/>
    <w:rsid w:val="00B96231"/>
    <w:rsid w:val="00BA0B34"/>
    <w:rsid w:val="00BB1AE0"/>
    <w:rsid w:val="00BC289E"/>
    <w:rsid w:val="00BF1E9E"/>
    <w:rsid w:val="00BF54D2"/>
    <w:rsid w:val="00BF56C9"/>
    <w:rsid w:val="00C23C94"/>
    <w:rsid w:val="00C27DE2"/>
    <w:rsid w:val="00C320DA"/>
    <w:rsid w:val="00C328CE"/>
    <w:rsid w:val="00C400F5"/>
    <w:rsid w:val="00C63F43"/>
    <w:rsid w:val="00C63F67"/>
    <w:rsid w:val="00C9219A"/>
    <w:rsid w:val="00C92B06"/>
    <w:rsid w:val="00CA33D6"/>
    <w:rsid w:val="00CA7E6F"/>
    <w:rsid w:val="00CC65CC"/>
    <w:rsid w:val="00CD2A5C"/>
    <w:rsid w:val="00CF4217"/>
    <w:rsid w:val="00D03AF3"/>
    <w:rsid w:val="00D12A50"/>
    <w:rsid w:val="00D16D92"/>
    <w:rsid w:val="00D31D4B"/>
    <w:rsid w:val="00D352FB"/>
    <w:rsid w:val="00D35EB6"/>
    <w:rsid w:val="00D3622C"/>
    <w:rsid w:val="00D45F59"/>
    <w:rsid w:val="00D50BFD"/>
    <w:rsid w:val="00D613B8"/>
    <w:rsid w:val="00D619C5"/>
    <w:rsid w:val="00D64DB9"/>
    <w:rsid w:val="00D97EE6"/>
    <w:rsid w:val="00DB4AB1"/>
    <w:rsid w:val="00DB79C9"/>
    <w:rsid w:val="00DC25E4"/>
    <w:rsid w:val="00DD3B2C"/>
    <w:rsid w:val="00DD7014"/>
    <w:rsid w:val="00DD7CCE"/>
    <w:rsid w:val="00DF1CD6"/>
    <w:rsid w:val="00E036BF"/>
    <w:rsid w:val="00E06DC1"/>
    <w:rsid w:val="00E1233C"/>
    <w:rsid w:val="00E15412"/>
    <w:rsid w:val="00E21EBE"/>
    <w:rsid w:val="00E22C57"/>
    <w:rsid w:val="00E260D7"/>
    <w:rsid w:val="00E27F4A"/>
    <w:rsid w:val="00E30071"/>
    <w:rsid w:val="00E32B45"/>
    <w:rsid w:val="00E33759"/>
    <w:rsid w:val="00E3624F"/>
    <w:rsid w:val="00E430FA"/>
    <w:rsid w:val="00E45A6C"/>
    <w:rsid w:val="00E47BB2"/>
    <w:rsid w:val="00E51DE7"/>
    <w:rsid w:val="00E53A0B"/>
    <w:rsid w:val="00E65504"/>
    <w:rsid w:val="00E926F9"/>
    <w:rsid w:val="00EA1B9E"/>
    <w:rsid w:val="00EE1408"/>
    <w:rsid w:val="00EF42A5"/>
    <w:rsid w:val="00F031F5"/>
    <w:rsid w:val="00F043D7"/>
    <w:rsid w:val="00F1367C"/>
    <w:rsid w:val="00F37A52"/>
    <w:rsid w:val="00F45D02"/>
    <w:rsid w:val="00F545AE"/>
    <w:rsid w:val="00F57765"/>
    <w:rsid w:val="00F73878"/>
    <w:rsid w:val="00F90ABB"/>
    <w:rsid w:val="00FA2BEC"/>
    <w:rsid w:val="00FB422F"/>
    <w:rsid w:val="00FB5017"/>
    <w:rsid w:val="00FE3FDC"/>
    <w:rsid w:val="00FE4CE8"/>
    <w:rsid w:val="00FF7C1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1A8C2"/>
  <w15:docId w15:val="{02281437-FEB2-47B5-9962-BD6829F2F2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73D6"/>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callout"/>
    <w:basedOn w:val="Fuentedeprrafopredeter"/>
    <w:uiPriority w:val="99"/>
    <w:unhideWhenUsed/>
    <w:qFormat/>
    <w:rsid w:val="004173D6"/>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4173D6"/>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4173D6"/>
    <w:rPr>
      <w:rFonts w:ascii="Calibri" w:eastAsia="Calibri" w:hAnsi="Calibri" w:cs="Times New Roman"/>
      <w:sz w:val="20"/>
      <w:szCs w:val="20"/>
    </w:rPr>
  </w:style>
  <w:style w:type="paragraph" w:styleId="Encabezado">
    <w:name w:val="header"/>
    <w:basedOn w:val="Normal"/>
    <w:link w:val="EncabezadoCar"/>
    <w:uiPriority w:val="99"/>
    <w:unhideWhenUsed/>
    <w:rsid w:val="004173D6"/>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rsid w:val="004173D6"/>
  </w:style>
  <w:style w:type="paragraph" w:styleId="Textodeglobo">
    <w:name w:val="Balloon Text"/>
    <w:basedOn w:val="Normal"/>
    <w:link w:val="TextodegloboCar"/>
    <w:uiPriority w:val="99"/>
    <w:semiHidden/>
    <w:unhideWhenUsed/>
    <w:rsid w:val="004C5CD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C5CD4"/>
    <w:rPr>
      <w:rFonts w:ascii="Segoe UI" w:eastAsia="Calibri" w:hAnsi="Segoe UI" w:cs="Segoe UI"/>
      <w:sz w:val="18"/>
      <w:szCs w:val="18"/>
    </w:rPr>
  </w:style>
  <w:style w:type="paragraph" w:customStyle="1" w:styleId="corte4fondo">
    <w:name w:val="corte4 fondo"/>
    <w:basedOn w:val="Normal"/>
    <w:link w:val="corte4fondoCar1"/>
    <w:qFormat/>
    <w:rsid w:val="00E22C57"/>
    <w:pPr>
      <w:spacing w:after="0" w:line="360" w:lineRule="auto"/>
      <w:ind w:firstLine="709"/>
      <w:jc w:val="both"/>
    </w:pPr>
    <w:rPr>
      <w:rFonts w:ascii="Arial" w:eastAsia="Times New Roman" w:hAnsi="Arial"/>
      <w:sz w:val="30"/>
      <w:szCs w:val="20"/>
      <w:lang w:val="x-none" w:eastAsia="es-MX"/>
    </w:rPr>
  </w:style>
  <w:style w:type="character" w:customStyle="1" w:styleId="corte4fondoCar1">
    <w:name w:val="corte4 fondo Car1"/>
    <w:link w:val="corte4fondo"/>
    <w:rsid w:val="00E22C57"/>
    <w:rPr>
      <w:rFonts w:ascii="Arial" w:eastAsia="Times New Roman" w:hAnsi="Arial" w:cs="Times New Roman"/>
      <w:sz w:val="30"/>
      <w:szCs w:val="20"/>
      <w:lang w:val="x-none" w:eastAsia="es-MX"/>
    </w:rPr>
  </w:style>
  <w:style w:type="paragraph" w:customStyle="1" w:styleId="Default">
    <w:name w:val="Default"/>
    <w:qFormat/>
    <w:rsid w:val="00E22C57"/>
    <w:pPr>
      <w:autoSpaceDE w:val="0"/>
      <w:autoSpaceDN w:val="0"/>
      <w:adjustRightInd w:val="0"/>
      <w:spacing w:after="0" w:line="240" w:lineRule="auto"/>
    </w:pPr>
    <w:rPr>
      <w:rFonts w:ascii="Arial" w:eastAsia="Calibri" w:hAnsi="Arial" w:cs="Arial"/>
      <w:color w:val="000000"/>
      <w:sz w:val="24"/>
      <w:szCs w:val="24"/>
      <w:lang w:eastAsia="es-MX"/>
    </w:rPr>
  </w:style>
  <w:style w:type="paragraph" w:styleId="NormalWeb">
    <w:name w:val="Normal (Web)"/>
    <w:basedOn w:val="Normal"/>
    <w:rsid w:val="00E22C57"/>
    <w:pPr>
      <w:spacing w:before="100" w:beforeAutospacing="1" w:after="100" w:afterAutospacing="1" w:line="240" w:lineRule="auto"/>
    </w:pPr>
    <w:rPr>
      <w:rFonts w:ascii="Times New Roman" w:eastAsia="Times New Roman" w:hAnsi="Times New Roman"/>
      <w:sz w:val="24"/>
      <w:szCs w:val="24"/>
      <w:lang w:val="es-ES" w:eastAsia="es-ES"/>
    </w:rPr>
  </w:style>
  <w:style w:type="paragraph" w:customStyle="1" w:styleId="xmsonormal">
    <w:name w:val="x_msonormal"/>
    <w:basedOn w:val="Normal"/>
    <w:rsid w:val="00E22C57"/>
    <w:pPr>
      <w:spacing w:before="100" w:beforeAutospacing="1" w:after="100" w:afterAutospacing="1" w:line="240" w:lineRule="auto"/>
    </w:pPr>
    <w:rPr>
      <w:rFonts w:ascii="Times New Roman" w:eastAsia="Times New Roman" w:hAnsi="Times New Roman"/>
      <w:sz w:val="24"/>
      <w:szCs w:val="24"/>
      <w:lang w:eastAsia="es-MX"/>
    </w:rPr>
  </w:style>
  <w:style w:type="paragraph" w:styleId="Sinespaciado">
    <w:name w:val="No Spacing"/>
    <w:uiPriority w:val="1"/>
    <w:qFormat/>
    <w:rsid w:val="00334F3F"/>
    <w:pPr>
      <w:spacing w:after="0" w:line="240" w:lineRule="auto"/>
    </w:pPr>
  </w:style>
  <w:style w:type="paragraph" w:styleId="Prrafodelista">
    <w:name w:val="List Paragraph"/>
    <w:basedOn w:val="Normal"/>
    <w:uiPriority w:val="34"/>
    <w:qFormat/>
    <w:rsid w:val="00E53A0B"/>
    <w:pPr>
      <w:ind w:left="720"/>
      <w:contextualSpacing/>
    </w:pPr>
  </w:style>
  <w:style w:type="character" w:styleId="Hipervnculo">
    <w:name w:val="Hyperlink"/>
    <w:basedOn w:val="Fuentedeprrafopredeter"/>
    <w:uiPriority w:val="99"/>
    <w:semiHidden/>
    <w:unhideWhenUsed/>
    <w:rsid w:val="002912B8"/>
    <w:rPr>
      <w:color w:val="0563C1" w:themeColor="hyperlink"/>
      <w:u w:val="single"/>
    </w:rPr>
  </w:style>
  <w:style w:type="table" w:styleId="Tabladecuadrcula4-nfasis1">
    <w:name w:val="Grid Table 4 Accent 1"/>
    <w:basedOn w:val="Tablanormal"/>
    <w:uiPriority w:val="49"/>
    <w:rsid w:val="007F2742"/>
    <w:pPr>
      <w:spacing w:after="0" w:line="240" w:lineRule="auto"/>
    </w:pPr>
    <w:tblPr>
      <w:tblStyleRowBandSize w:val="1"/>
      <w:tblStyleColBandSize w:val="1"/>
      <w:tblInd w:w="0" w:type="nil"/>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customStyle="1" w:styleId="corte1datos">
    <w:name w:val="corte1 datos"/>
    <w:basedOn w:val="Normal"/>
    <w:link w:val="corte1datosCar"/>
    <w:qFormat/>
    <w:rsid w:val="00195037"/>
    <w:pPr>
      <w:spacing w:after="0" w:line="240" w:lineRule="auto"/>
      <w:ind w:left="2552"/>
    </w:pPr>
    <w:rPr>
      <w:rFonts w:ascii="Arial" w:eastAsia="Times New Roman" w:hAnsi="Arial"/>
      <w:b/>
      <w:caps/>
      <w:sz w:val="30"/>
      <w:szCs w:val="20"/>
      <w:lang w:val="x-none" w:eastAsia="es-MX"/>
    </w:rPr>
  </w:style>
  <w:style w:type="paragraph" w:customStyle="1" w:styleId="corte2ponente">
    <w:name w:val="corte2 ponente"/>
    <w:basedOn w:val="Normal"/>
    <w:link w:val="corte2ponenteCar"/>
    <w:uiPriority w:val="99"/>
    <w:rsid w:val="00195037"/>
    <w:pPr>
      <w:spacing w:after="0" w:line="240" w:lineRule="auto"/>
    </w:pPr>
    <w:rPr>
      <w:rFonts w:ascii="Arial" w:eastAsia="Times New Roman" w:hAnsi="Arial"/>
      <w:b/>
      <w:caps/>
      <w:sz w:val="30"/>
      <w:szCs w:val="20"/>
      <w:lang w:val="x-none" w:eastAsia="es-MX"/>
    </w:rPr>
  </w:style>
  <w:style w:type="character" w:customStyle="1" w:styleId="corte2ponenteCar">
    <w:name w:val="corte2 ponente Car"/>
    <w:link w:val="corte2ponente"/>
    <w:uiPriority w:val="99"/>
    <w:rsid w:val="00195037"/>
    <w:rPr>
      <w:rFonts w:ascii="Arial" w:eastAsia="Times New Roman" w:hAnsi="Arial" w:cs="Times New Roman"/>
      <w:b/>
      <w:caps/>
      <w:sz w:val="30"/>
      <w:szCs w:val="20"/>
      <w:lang w:val="x-none" w:eastAsia="es-MX"/>
    </w:rPr>
  </w:style>
  <w:style w:type="character" w:customStyle="1" w:styleId="corte1datosCar">
    <w:name w:val="corte1 datos Car"/>
    <w:link w:val="corte1datos"/>
    <w:rsid w:val="00195037"/>
    <w:rPr>
      <w:rFonts w:ascii="Arial" w:eastAsia="Times New Roman" w:hAnsi="Arial" w:cs="Times New Roman"/>
      <w:b/>
      <w:caps/>
      <w:sz w:val="30"/>
      <w:szCs w:val="20"/>
      <w:lang w:val="x-none"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051484">
      <w:bodyDiv w:val="1"/>
      <w:marLeft w:val="0"/>
      <w:marRight w:val="0"/>
      <w:marTop w:val="0"/>
      <w:marBottom w:val="0"/>
      <w:divBdr>
        <w:top w:val="none" w:sz="0" w:space="0" w:color="auto"/>
        <w:left w:val="none" w:sz="0" w:space="0" w:color="auto"/>
        <w:bottom w:val="none" w:sz="0" w:space="0" w:color="auto"/>
        <w:right w:val="none" w:sz="0" w:space="0" w:color="auto"/>
      </w:divBdr>
    </w:div>
    <w:div w:id="191382098">
      <w:bodyDiv w:val="1"/>
      <w:marLeft w:val="0"/>
      <w:marRight w:val="0"/>
      <w:marTop w:val="0"/>
      <w:marBottom w:val="0"/>
      <w:divBdr>
        <w:top w:val="none" w:sz="0" w:space="0" w:color="auto"/>
        <w:left w:val="none" w:sz="0" w:space="0" w:color="auto"/>
        <w:bottom w:val="none" w:sz="0" w:space="0" w:color="auto"/>
        <w:right w:val="none" w:sz="0" w:space="0" w:color="auto"/>
      </w:divBdr>
    </w:div>
    <w:div w:id="203754151">
      <w:bodyDiv w:val="1"/>
      <w:marLeft w:val="0"/>
      <w:marRight w:val="0"/>
      <w:marTop w:val="0"/>
      <w:marBottom w:val="0"/>
      <w:divBdr>
        <w:top w:val="none" w:sz="0" w:space="0" w:color="auto"/>
        <w:left w:val="none" w:sz="0" w:space="0" w:color="auto"/>
        <w:bottom w:val="none" w:sz="0" w:space="0" w:color="auto"/>
        <w:right w:val="none" w:sz="0" w:space="0" w:color="auto"/>
      </w:divBdr>
    </w:div>
    <w:div w:id="259025618">
      <w:bodyDiv w:val="1"/>
      <w:marLeft w:val="0"/>
      <w:marRight w:val="0"/>
      <w:marTop w:val="0"/>
      <w:marBottom w:val="0"/>
      <w:divBdr>
        <w:top w:val="none" w:sz="0" w:space="0" w:color="auto"/>
        <w:left w:val="none" w:sz="0" w:space="0" w:color="auto"/>
        <w:bottom w:val="none" w:sz="0" w:space="0" w:color="auto"/>
        <w:right w:val="none" w:sz="0" w:space="0" w:color="auto"/>
      </w:divBdr>
    </w:div>
    <w:div w:id="347105592">
      <w:bodyDiv w:val="1"/>
      <w:marLeft w:val="0"/>
      <w:marRight w:val="0"/>
      <w:marTop w:val="0"/>
      <w:marBottom w:val="0"/>
      <w:divBdr>
        <w:top w:val="none" w:sz="0" w:space="0" w:color="auto"/>
        <w:left w:val="none" w:sz="0" w:space="0" w:color="auto"/>
        <w:bottom w:val="none" w:sz="0" w:space="0" w:color="auto"/>
        <w:right w:val="none" w:sz="0" w:space="0" w:color="auto"/>
      </w:divBdr>
    </w:div>
    <w:div w:id="663977597">
      <w:bodyDiv w:val="1"/>
      <w:marLeft w:val="0"/>
      <w:marRight w:val="0"/>
      <w:marTop w:val="0"/>
      <w:marBottom w:val="0"/>
      <w:divBdr>
        <w:top w:val="none" w:sz="0" w:space="0" w:color="auto"/>
        <w:left w:val="none" w:sz="0" w:space="0" w:color="auto"/>
        <w:bottom w:val="none" w:sz="0" w:space="0" w:color="auto"/>
        <w:right w:val="none" w:sz="0" w:space="0" w:color="auto"/>
      </w:divBdr>
    </w:div>
    <w:div w:id="767312351">
      <w:bodyDiv w:val="1"/>
      <w:marLeft w:val="0"/>
      <w:marRight w:val="0"/>
      <w:marTop w:val="0"/>
      <w:marBottom w:val="0"/>
      <w:divBdr>
        <w:top w:val="none" w:sz="0" w:space="0" w:color="auto"/>
        <w:left w:val="none" w:sz="0" w:space="0" w:color="auto"/>
        <w:bottom w:val="none" w:sz="0" w:space="0" w:color="auto"/>
        <w:right w:val="none" w:sz="0" w:space="0" w:color="auto"/>
      </w:divBdr>
    </w:div>
    <w:div w:id="780998933">
      <w:bodyDiv w:val="1"/>
      <w:marLeft w:val="0"/>
      <w:marRight w:val="0"/>
      <w:marTop w:val="0"/>
      <w:marBottom w:val="0"/>
      <w:divBdr>
        <w:top w:val="none" w:sz="0" w:space="0" w:color="auto"/>
        <w:left w:val="none" w:sz="0" w:space="0" w:color="auto"/>
        <w:bottom w:val="none" w:sz="0" w:space="0" w:color="auto"/>
        <w:right w:val="none" w:sz="0" w:space="0" w:color="auto"/>
      </w:divBdr>
    </w:div>
    <w:div w:id="844319930">
      <w:bodyDiv w:val="1"/>
      <w:marLeft w:val="0"/>
      <w:marRight w:val="0"/>
      <w:marTop w:val="0"/>
      <w:marBottom w:val="0"/>
      <w:divBdr>
        <w:top w:val="none" w:sz="0" w:space="0" w:color="auto"/>
        <w:left w:val="none" w:sz="0" w:space="0" w:color="auto"/>
        <w:bottom w:val="none" w:sz="0" w:space="0" w:color="auto"/>
        <w:right w:val="none" w:sz="0" w:space="0" w:color="auto"/>
      </w:divBdr>
    </w:div>
    <w:div w:id="1053506460">
      <w:bodyDiv w:val="1"/>
      <w:marLeft w:val="0"/>
      <w:marRight w:val="0"/>
      <w:marTop w:val="0"/>
      <w:marBottom w:val="0"/>
      <w:divBdr>
        <w:top w:val="none" w:sz="0" w:space="0" w:color="auto"/>
        <w:left w:val="none" w:sz="0" w:space="0" w:color="auto"/>
        <w:bottom w:val="none" w:sz="0" w:space="0" w:color="auto"/>
        <w:right w:val="none" w:sz="0" w:space="0" w:color="auto"/>
      </w:divBdr>
    </w:div>
    <w:div w:id="1124735208">
      <w:bodyDiv w:val="1"/>
      <w:marLeft w:val="0"/>
      <w:marRight w:val="0"/>
      <w:marTop w:val="0"/>
      <w:marBottom w:val="0"/>
      <w:divBdr>
        <w:top w:val="none" w:sz="0" w:space="0" w:color="auto"/>
        <w:left w:val="none" w:sz="0" w:space="0" w:color="auto"/>
        <w:bottom w:val="none" w:sz="0" w:space="0" w:color="auto"/>
        <w:right w:val="none" w:sz="0" w:space="0" w:color="auto"/>
      </w:divBdr>
    </w:div>
    <w:div w:id="1168865339">
      <w:bodyDiv w:val="1"/>
      <w:marLeft w:val="0"/>
      <w:marRight w:val="0"/>
      <w:marTop w:val="0"/>
      <w:marBottom w:val="0"/>
      <w:divBdr>
        <w:top w:val="none" w:sz="0" w:space="0" w:color="auto"/>
        <w:left w:val="none" w:sz="0" w:space="0" w:color="auto"/>
        <w:bottom w:val="none" w:sz="0" w:space="0" w:color="auto"/>
        <w:right w:val="none" w:sz="0" w:space="0" w:color="auto"/>
      </w:divBdr>
    </w:div>
    <w:div w:id="1261331591">
      <w:bodyDiv w:val="1"/>
      <w:marLeft w:val="0"/>
      <w:marRight w:val="0"/>
      <w:marTop w:val="0"/>
      <w:marBottom w:val="0"/>
      <w:divBdr>
        <w:top w:val="none" w:sz="0" w:space="0" w:color="auto"/>
        <w:left w:val="none" w:sz="0" w:space="0" w:color="auto"/>
        <w:bottom w:val="none" w:sz="0" w:space="0" w:color="auto"/>
        <w:right w:val="none" w:sz="0" w:space="0" w:color="auto"/>
      </w:divBdr>
    </w:div>
    <w:div w:id="1345283937">
      <w:bodyDiv w:val="1"/>
      <w:marLeft w:val="0"/>
      <w:marRight w:val="0"/>
      <w:marTop w:val="0"/>
      <w:marBottom w:val="0"/>
      <w:divBdr>
        <w:top w:val="none" w:sz="0" w:space="0" w:color="auto"/>
        <w:left w:val="none" w:sz="0" w:space="0" w:color="auto"/>
        <w:bottom w:val="none" w:sz="0" w:space="0" w:color="auto"/>
        <w:right w:val="none" w:sz="0" w:space="0" w:color="auto"/>
      </w:divBdr>
    </w:div>
    <w:div w:id="1350714368">
      <w:bodyDiv w:val="1"/>
      <w:marLeft w:val="0"/>
      <w:marRight w:val="0"/>
      <w:marTop w:val="0"/>
      <w:marBottom w:val="0"/>
      <w:divBdr>
        <w:top w:val="none" w:sz="0" w:space="0" w:color="auto"/>
        <w:left w:val="none" w:sz="0" w:space="0" w:color="auto"/>
        <w:bottom w:val="none" w:sz="0" w:space="0" w:color="auto"/>
        <w:right w:val="none" w:sz="0" w:space="0" w:color="auto"/>
      </w:divBdr>
    </w:div>
    <w:div w:id="1355958626">
      <w:bodyDiv w:val="1"/>
      <w:marLeft w:val="0"/>
      <w:marRight w:val="0"/>
      <w:marTop w:val="0"/>
      <w:marBottom w:val="0"/>
      <w:divBdr>
        <w:top w:val="none" w:sz="0" w:space="0" w:color="auto"/>
        <w:left w:val="none" w:sz="0" w:space="0" w:color="auto"/>
        <w:bottom w:val="none" w:sz="0" w:space="0" w:color="auto"/>
        <w:right w:val="none" w:sz="0" w:space="0" w:color="auto"/>
      </w:divBdr>
    </w:div>
    <w:div w:id="1670792833">
      <w:bodyDiv w:val="1"/>
      <w:marLeft w:val="0"/>
      <w:marRight w:val="0"/>
      <w:marTop w:val="0"/>
      <w:marBottom w:val="0"/>
      <w:divBdr>
        <w:top w:val="none" w:sz="0" w:space="0" w:color="auto"/>
        <w:left w:val="none" w:sz="0" w:space="0" w:color="auto"/>
        <w:bottom w:val="none" w:sz="0" w:space="0" w:color="auto"/>
        <w:right w:val="none" w:sz="0" w:space="0" w:color="auto"/>
      </w:divBdr>
    </w:div>
    <w:div w:id="1693072706">
      <w:bodyDiv w:val="1"/>
      <w:marLeft w:val="0"/>
      <w:marRight w:val="0"/>
      <w:marTop w:val="0"/>
      <w:marBottom w:val="0"/>
      <w:divBdr>
        <w:top w:val="none" w:sz="0" w:space="0" w:color="auto"/>
        <w:left w:val="none" w:sz="0" w:space="0" w:color="auto"/>
        <w:bottom w:val="none" w:sz="0" w:space="0" w:color="auto"/>
        <w:right w:val="none" w:sz="0" w:space="0" w:color="auto"/>
      </w:divBdr>
    </w:div>
    <w:div w:id="1811243898">
      <w:bodyDiv w:val="1"/>
      <w:marLeft w:val="0"/>
      <w:marRight w:val="0"/>
      <w:marTop w:val="0"/>
      <w:marBottom w:val="0"/>
      <w:divBdr>
        <w:top w:val="none" w:sz="0" w:space="0" w:color="auto"/>
        <w:left w:val="none" w:sz="0" w:space="0" w:color="auto"/>
        <w:bottom w:val="none" w:sz="0" w:space="0" w:color="auto"/>
        <w:right w:val="none" w:sz="0" w:space="0" w:color="auto"/>
      </w:divBdr>
    </w:div>
    <w:div w:id="1839690727">
      <w:bodyDiv w:val="1"/>
      <w:marLeft w:val="0"/>
      <w:marRight w:val="0"/>
      <w:marTop w:val="0"/>
      <w:marBottom w:val="0"/>
      <w:divBdr>
        <w:top w:val="none" w:sz="0" w:space="0" w:color="auto"/>
        <w:left w:val="none" w:sz="0" w:space="0" w:color="auto"/>
        <w:bottom w:val="none" w:sz="0" w:space="0" w:color="auto"/>
        <w:right w:val="none" w:sz="0" w:space="0" w:color="auto"/>
      </w:divBdr>
    </w:div>
    <w:div w:id="2115440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F68796-1063-4693-9262-ED8F43B1FB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16</Pages>
  <Words>8447</Words>
  <Characters>46461</Characters>
  <Application>Microsoft Office Word</Application>
  <DocSecurity>0</DocSecurity>
  <Lines>387</Lines>
  <Paragraphs>109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54799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cegaip</dc:creator>
  <cp:lastModifiedBy>cegaip</cp:lastModifiedBy>
  <cp:revision>4</cp:revision>
  <cp:lastPrinted>2021-11-23T00:30:00Z</cp:lastPrinted>
  <dcterms:created xsi:type="dcterms:W3CDTF">2022-01-07T16:55:00Z</dcterms:created>
  <dcterms:modified xsi:type="dcterms:W3CDTF">2024-11-26T19:50:00Z</dcterms:modified>
</cp:coreProperties>
</file>