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93012" w:rsidRPr="00993012">
        <w:rPr>
          <w:rFonts w:ascii="Arial" w:hAnsi="Arial" w:cs="Arial"/>
          <w:b/>
        </w:rPr>
        <w:t>seis</w:t>
      </w:r>
      <w:r w:rsidR="007F24DE">
        <w:rPr>
          <w:rFonts w:ascii="Arial" w:hAnsi="Arial" w:cs="Arial"/>
        </w:rPr>
        <w:t xml:space="preserve"> días del mes de </w:t>
      </w:r>
      <w:r w:rsidR="00032961">
        <w:rPr>
          <w:rFonts w:ascii="Arial" w:hAnsi="Arial" w:cs="Arial"/>
          <w:b/>
        </w:rPr>
        <w:t>marzo</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032961">
        <w:rPr>
          <w:rFonts w:ascii="Arial" w:hAnsi="Arial" w:cs="Arial"/>
          <w:b/>
        </w:rPr>
        <w:t>tercera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8830C5" w:rsidRDefault="009819AE" w:rsidP="008830C5">
      <w:pPr>
        <w:pStyle w:val="Prrafodelista"/>
        <w:numPr>
          <w:ilvl w:val="0"/>
          <w:numId w:val="11"/>
        </w:numPr>
        <w:ind w:left="284" w:hanging="295"/>
        <w:jc w:val="both"/>
        <w:rPr>
          <w:rFonts w:ascii="Arial" w:hAnsi="Arial" w:cs="Arial"/>
        </w:rPr>
      </w:pPr>
      <w:r w:rsidRPr="008830C5">
        <w:rPr>
          <w:rFonts w:ascii="Arial" w:hAnsi="Arial" w:cs="Arial"/>
        </w:rPr>
        <w:t>El</w:t>
      </w:r>
      <w:r w:rsidR="008D7FD6" w:rsidRPr="008830C5">
        <w:rPr>
          <w:rFonts w:ascii="Arial" w:hAnsi="Arial" w:cs="Arial"/>
        </w:rPr>
        <w:t xml:space="preserve"> contador público Cesar Isidro Cruz, director </w:t>
      </w:r>
      <w:r w:rsidR="00F824BC" w:rsidRPr="008830C5">
        <w:rPr>
          <w:rFonts w:ascii="Arial" w:hAnsi="Arial" w:cs="Arial"/>
        </w:rPr>
        <w:t>G</w:t>
      </w:r>
      <w:r w:rsidR="008D7FD6" w:rsidRPr="008830C5">
        <w:rPr>
          <w:rFonts w:ascii="Arial" w:hAnsi="Arial" w:cs="Arial"/>
        </w:rPr>
        <w:t xml:space="preserve">eneral de </w:t>
      </w:r>
      <w:r w:rsidR="00F824BC" w:rsidRPr="008830C5">
        <w:rPr>
          <w:rFonts w:ascii="Arial" w:hAnsi="Arial" w:cs="Arial"/>
        </w:rPr>
        <w:t>A</w:t>
      </w:r>
      <w:r w:rsidR="008D7FD6" w:rsidRPr="008830C5">
        <w:rPr>
          <w:rFonts w:ascii="Arial" w:hAnsi="Arial" w:cs="Arial"/>
        </w:rPr>
        <w:t>dministración</w:t>
      </w:r>
      <w:r w:rsidR="00376B01" w:rsidRPr="008830C5">
        <w:rPr>
          <w:rFonts w:ascii="Arial" w:hAnsi="Arial" w:cs="Arial"/>
        </w:rPr>
        <w:t>,</w:t>
      </w:r>
      <w:r w:rsidRPr="008830C5">
        <w:rPr>
          <w:rFonts w:ascii="Arial" w:hAnsi="Arial" w:cs="Arial"/>
        </w:rPr>
        <w:t xml:space="preserve"> mediante oficio </w:t>
      </w:r>
      <w:r w:rsidR="00032961" w:rsidRPr="008830C5">
        <w:rPr>
          <w:rFonts w:ascii="Arial" w:hAnsi="Arial" w:cs="Arial"/>
          <w:b/>
        </w:rPr>
        <w:t>DGA/</w:t>
      </w:r>
      <w:r w:rsidR="00E91B4D" w:rsidRPr="008830C5">
        <w:rPr>
          <w:rFonts w:ascii="Arial" w:hAnsi="Arial" w:cs="Arial"/>
          <w:b/>
        </w:rPr>
        <w:t>DRH/</w:t>
      </w:r>
      <w:r w:rsidR="00032961" w:rsidRPr="008830C5">
        <w:rPr>
          <w:rFonts w:ascii="Arial" w:hAnsi="Arial" w:cs="Arial"/>
          <w:b/>
        </w:rPr>
        <w:t>0</w:t>
      </w:r>
      <w:r w:rsidR="00ED0691">
        <w:rPr>
          <w:rFonts w:ascii="Arial" w:hAnsi="Arial" w:cs="Arial"/>
          <w:b/>
        </w:rPr>
        <w:t>719</w:t>
      </w:r>
      <w:r w:rsidR="00032961" w:rsidRPr="008830C5">
        <w:rPr>
          <w:rFonts w:ascii="Arial" w:hAnsi="Arial" w:cs="Arial"/>
          <w:b/>
        </w:rPr>
        <w:t>/2025</w:t>
      </w:r>
      <w:r w:rsidRPr="008830C5">
        <w:rPr>
          <w:rFonts w:ascii="Arial" w:hAnsi="Arial" w:cs="Arial"/>
        </w:rPr>
        <w:t xml:space="preserve"> manifiesta </w:t>
      </w:r>
      <w:r w:rsidR="00E22117" w:rsidRPr="008830C5">
        <w:rPr>
          <w:rFonts w:ascii="Arial" w:hAnsi="Arial" w:cs="Arial"/>
        </w:rPr>
        <w:t>adjuntar el acuerdo de reserva</w:t>
      </w:r>
      <w:r w:rsidR="00E91B4D" w:rsidRPr="008830C5">
        <w:rPr>
          <w:rFonts w:ascii="Arial" w:hAnsi="Arial" w:cs="Arial"/>
        </w:rPr>
        <w:t xml:space="preserve"> </w:t>
      </w:r>
      <w:r w:rsidR="008830C5" w:rsidRPr="008830C5">
        <w:rPr>
          <w:rFonts w:ascii="Arial" w:hAnsi="Arial" w:cs="Arial"/>
          <w:b/>
        </w:rPr>
        <w:t xml:space="preserve">total </w:t>
      </w:r>
      <w:r w:rsidR="00E91B4D" w:rsidRPr="008830C5">
        <w:rPr>
          <w:rFonts w:ascii="Arial" w:hAnsi="Arial" w:cs="Arial"/>
          <w:b/>
        </w:rPr>
        <w:t>AR/01</w:t>
      </w:r>
      <w:r w:rsidR="00ED0691">
        <w:rPr>
          <w:rFonts w:ascii="Arial" w:hAnsi="Arial" w:cs="Arial"/>
          <w:b/>
        </w:rPr>
        <w:t>1</w:t>
      </w:r>
      <w:r w:rsidR="00E91B4D" w:rsidRPr="008830C5">
        <w:rPr>
          <w:rFonts w:ascii="Arial" w:hAnsi="Arial" w:cs="Arial"/>
          <w:b/>
        </w:rPr>
        <w:t>/2025</w:t>
      </w:r>
      <w:r w:rsidR="00E91B4D" w:rsidRPr="008830C5">
        <w:rPr>
          <w:rFonts w:ascii="Arial" w:hAnsi="Arial" w:cs="Arial"/>
        </w:rPr>
        <w:t xml:space="preserve"> </w:t>
      </w:r>
      <w:r w:rsidR="00E22117" w:rsidRPr="008830C5">
        <w:rPr>
          <w:rFonts w:ascii="Arial" w:hAnsi="Arial" w:cs="Arial"/>
        </w:rPr>
        <w:t xml:space="preserve">que emite por </w:t>
      </w:r>
      <w:r w:rsidRPr="008830C5">
        <w:rPr>
          <w:rFonts w:ascii="Arial" w:hAnsi="Arial" w:cs="Arial"/>
        </w:rPr>
        <w:t xml:space="preserve">encontrarse en el supuesto del artículo </w:t>
      </w:r>
      <w:r w:rsidR="00376B01" w:rsidRPr="008830C5">
        <w:rPr>
          <w:rFonts w:ascii="Arial" w:hAnsi="Arial" w:cs="Arial"/>
        </w:rPr>
        <w:t>120</w:t>
      </w:r>
      <w:r w:rsidRPr="008830C5">
        <w:rPr>
          <w:rFonts w:ascii="Arial" w:hAnsi="Arial" w:cs="Arial"/>
        </w:rPr>
        <w:t xml:space="preserve"> fracción</w:t>
      </w:r>
      <w:r w:rsidR="00376B01" w:rsidRPr="008830C5">
        <w:rPr>
          <w:rFonts w:ascii="Arial" w:hAnsi="Arial" w:cs="Arial"/>
        </w:rPr>
        <w:t xml:space="preserve"> </w:t>
      </w:r>
      <w:r w:rsidR="0017048A" w:rsidRPr="008830C5">
        <w:rPr>
          <w:rFonts w:ascii="Arial" w:hAnsi="Arial" w:cs="Arial"/>
        </w:rPr>
        <w:t>I</w:t>
      </w:r>
      <w:r w:rsidRPr="008830C5">
        <w:rPr>
          <w:rFonts w:ascii="Arial" w:hAnsi="Arial" w:cs="Arial"/>
        </w:rPr>
        <w:t xml:space="preserve"> de la LTAIPSLP, es decir,</w:t>
      </w:r>
      <w:r w:rsidR="008830C5" w:rsidRPr="008830C5">
        <w:rPr>
          <w:rFonts w:ascii="Arial" w:hAnsi="Arial" w:cs="Arial"/>
        </w:rPr>
        <w:t xml:space="preserve"> recibió la solicitud de información número UT-SI-P-</w:t>
      </w:r>
      <w:r w:rsidR="00ED0691">
        <w:rPr>
          <w:rFonts w:ascii="Arial" w:hAnsi="Arial" w:cs="Arial"/>
        </w:rPr>
        <w:t>109</w:t>
      </w:r>
      <w:r w:rsidR="008830C5" w:rsidRPr="008830C5">
        <w:rPr>
          <w:rFonts w:ascii="Arial" w:hAnsi="Arial" w:cs="Arial"/>
        </w:rPr>
        <w:t>-240469825000</w:t>
      </w:r>
      <w:r w:rsidR="00ED0691">
        <w:rPr>
          <w:rFonts w:ascii="Arial" w:hAnsi="Arial" w:cs="Arial"/>
        </w:rPr>
        <w:t>109</w:t>
      </w:r>
      <w:r w:rsidR="008830C5" w:rsidRPr="008830C5">
        <w:rPr>
          <w:rFonts w:ascii="Arial" w:hAnsi="Arial" w:cs="Arial"/>
        </w:rPr>
        <w:t xml:space="preserve">-2025, realizada por el usuario </w:t>
      </w:r>
      <w:r w:rsidR="00ED0691">
        <w:rPr>
          <w:rFonts w:ascii="Arial" w:hAnsi="Arial" w:cs="Arial"/>
          <w:b/>
        </w:rPr>
        <w:t>IMPUNIDAD CERO</w:t>
      </w:r>
      <w:r w:rsidR="008830C5" w:rsidRPr="008830C5">
        <w:rPr>
          <w:rFonts w:ascii="Arial" w:hAnsi="Arial" w:cs="Arial"/>
        </w:rPr>
        <w:t>.</w:t>
      </w:r>
    </w:p>
    <w:p w:rsidR="005D6470" w:rsidRDefault="005D6470" w:rsidP="005D6470">
      <w:pPr>
        <w:jc w:val="both"/>
        <w:rPr>
          <w:rFonts w:ascii="Arial" w:hAnsi="Arial" w:cs="Arial"/>
        </w:rPr>
      </w:pPr>
    </w:p>
    <w:p w:rsidR="00BF3665" w:rsidRDefault="009819AE" w:rsidP="00C57509">
      <w:pPr>
        <w:jc w:val="both"/>
        <w:rPr>
          <w:rFonts w:ascii="Arial" w:hAnsi="Arial" w:cs="Arial"/>
        </w:rPr>
      </w:pPr>
      <w:r>
        <w:rPr>
          <w:rFonts w:ascii="Arial" w:hAnsi="Arial" w:cs="Arial"/>
          <w:b/>
        </w:rPr>
        <w:t>II.</w:t>
      </w:r>
      <w:r>
        <w:rPr>
          <w:rFonts w:ascii="Arial" w:hAnsi="Arial" w:cs="Arial"/>
        </w:rPr>
        <w:t xml:space="preserve"> </w:t>
      </w:r>
      <w:r w:rsidR="007E2C1E">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 I</w:t>
      </w:r>
      <w:r w:rsidR="007E2C1E">
        <w:rPr>
          <w:rFonts w:ascii="Arial" w:hAnsi="Arial" w:cs="Arial"/>
        </w:rPr>
        <w:t>, y XII</w:t>
      </w:r>
      <w:r>
        <w:rPr>
          <w:rFonts w:ascii="Arial" w:hAnsi="Arial" w:cs="Arial"/>
        </w:rPr>
        <w:t xml:space="preserve"> de la LTAIPSLP.</w:t>
      </w:r>
    </w:p>
    <w:p w:rsidR="00B51013" w:rsidRPr="00D90F51" w:rsidRDefault="00B51013" w:rsidP="00C57509">
      <w:pPr>
        <w:jc w:val="both"/>
        <w:rPr>
          <w:rFonts w:ascii="Arial" w:hAnsi="Arial" w:cs="Arial"/>
        </w:rPr>
      </w:pPr>
    </w:p>
    <w:p w:rsidR="00BF3665" w:rsidRPr="00044847" w:rsidRDefault="009819AE" w:rsidP="00C57509">
      <w:pPr>
        <w:jc w:val="both"/>
        <w:rPr>
          <w:rFonts w:ascii="Arial" w:hAnsi="Arial" w:cs="Arial"/>
        </w:rPr>
      </w:pPr>
      <w:r w:rsidRPr="00D90F51">
        <w:rPr>
          <w:rFonts w:ascii="Arial" w:hAnsi="Arial" w:cs="Arial"/>
          <w:b/>
        </w:rPr>
        <w:t>III.</w:t>
      </w:r>
      <w:r w:rsidRPr="00D90F51">
        <w:rPr>
          <w:rFonts w:ascii="Arial" w:hAnsi="Arial" w:cs="Arial"/>
        </w:rPr>
        <w:t xml:space="preserve"> </w:t>
      </w:r>
      <w:r w:rsidR="007E2C1E">
        <w:rPr>
          <w:rFonts w:ascii="Arial" w:hAnsi="Arial" w:cs="Arial"/>
        </w:rPr>
        <w:t>El contador público Cesar Isidro Cruz, director General de Administración</w:t>
      </w:r>
      <w:r w:rsidR="00376B01">
        <w:rPr>
          <w:rFonts w:ascii="Arial" w:hAnsi="Arial" w:cs="Arial"/>
        </w:rPr>
        <w:t xml:space="preserve">, emite el acuerdo de reserva </w:t>
      </w:r>
      <w:r w:rsidR="008830C5">
        <w:rPr>
          <w:rFonts w:ascii="Arial" w:hAnsi="Arial" w:cs="Arial"/>
          <w:b/>
        </w:rPr>
        <w:t>total</w:t>
      </w:r>
      <w:r w:rsidR="005D6470">
        <w:rPr>
          <w:rFonts w:ascii="Arial" w:hAnsi="Arial" w:cs="Arial"/>
          <w:b/>
        </w:rPr>
        <w:t xml:space="preserve"> </w:t>
      </w:r>
      <w:r w:rsidR="00376B01">
        <w:rPr>
          <w:rFonts w:ascii="Arial" w:hAnsi="Arial" w:cs="Arial"/>
        </w:rPr>
        <w:t xml:space="preserve">número </w:t>
      </w:r>
      <w:r w:rsidR="008D7FD6" w:rsidRPr="00EC019A">
        <w:rPr>
          <w:rFonts w:ascii="Arial" w:hAnsi="Arial" w:cs="Arial"/>
          <w:b/>
        </w:rPr>
        <w:t>AR/</w:t>
      </w:r>
      <w:r w:rsidR="008830C5">
        <w:rPr>
          <w:rFonts w:ascii="Arial" w:hAnsi="Arial" w:cs="Arial"/>
          <w:b/>
        </w:rPr>
        <w:t>01</w:t>
      </w:r>
      <w:r w:rsidR="00ED0691">
        <w:rPr>
          <w:rFonts w:ascii="Arial" w:hAnsi="Arial" w:cs="Arial"/>
          <w:b/>
        </w:rPr>
        <w:t>1</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830C5">
        <w:rPr>
          <w:rFonts w:ascii="Arial" w:hAnsi="Arial" w:cs="Arial"/>
          <w:b/>
        </w:rPr>
        <w:t>total</w:t>
      </w:r>
      <w:r>
        <w:rPr>
          <w:rFonts w:ascii="Arial" w:hAnsi="Arial" w:cs="Arial"/>
        </w:rPr>
        <w:t xml:space="preserve"> número </w:t>
      </w:r>
      <w:r w:rsidR="006F7D0F">
        <w:rPr>
          <w:rFonts w:ascii="Arial" w:hAnsi="Arial" w:cs="Arial"/>
          <w:b/>
        </w:rPr>
        <w:t>AR/</w:t>
      </w:r>
      <w:r w:rsidR="008830C5">
        <w:rPr>
          <w:rFonts w:ascii="Arial" w:hAnsi="Arial" w:cs="Arial"/>
          <w:b/>
        </w:rPr>
        <w:t>01</w:t>
      </w:r>
      <w:r w:rsidR="00ED0691">
        <w:rPr>
          <w:rFonts w:ascii="Arial" w:hAnsi="Arial" w:cs="Arial"/>
          <w:b/>
        </w:rPr>
        <w:t>1</w:t>
      </w:r>
      <w:r w:rsidR="008830C5">
        <w:rPr>
          <w:rFonts w:ascii="Arial" w:hAnsi="Arial" w:cs="Arial"/>
          <w:b/>
        </w:rPr>
        <w:t>/</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830C5">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830C5">
        <w:rPr>
          <w:rFonts w:ascii="Arial" w:hAnsi="Arial" w:cs="Arial"/>
          <w:b/>
        </w:rPr>
        <w:t>1</w:t>
      </w:r>
      <w:r w:rsidR="00ED0691">
        <w:rPr>
          <w:rFonts w:ascii="Arial" w:hAnsi="Arial" w:cs="Arial"/>
          <w:b/>
        </w:rPr>
        <w:t>1</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E22117" w:rsidRDefault="00E22117"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D0691" w:rsidRDefault="007E2C1E" w:rsidP="00ED0691">
      <w:pPr>
        <w:pStyle w:val="Default"/>
        <w:jc w:val="both"/>
      </w:pPr>
      <w:r>
        <w:t>El contador público Cesar Isidro Cruz, director General de Administración</w:t>
      </w:r>
      <w:r w:rsidR="00E22117" w:rsidRPr="00E22117">
        <w:rPr>
          <w:rFonts w:eastAsiaTheme="minorEastAsia"/>
          <w:color w:val="auto"/>
          <w:lang w:eastAsia="es-ES"/>
        </w:rPr>
        <w:t xml:space="preserve">, determina que resulta procedente la Reserva </w:t>
      </w:r>
      <w:r w:rsidR="008830C5">
        <w:rPr>
          <w:rFonts w:eastAsiaTheme="minorEastAsia"/>
          <w:b/>
          <w:color w:val="auto"/>
          <w:lang w:eastAsia="es-ES"/>
        </w:rPr>
        <w:t xml:space="preserve">total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bookmarkEnd w:id="2"/>
      <w:r w:rsidR="00ED0691">
        <w:t xml:space="preserve">del periodo del 01 de enero al 31 de diciembre del año 2024: </w:t>
      </w:r>
    </w:p>
    <w:p w:rsidR="00ED0691" w:rsidRDefault="00ED0691" w:rsidP="00ED0691">
      <w:pPr>
        <w:pStyle w:val="Default"/>
        <w:jc w:val="both"/>
      </w:pPr>
    </w:p>
    <w:p w:rsidR="00ED0691" w:rsidRDefault="00ED0691" w:rsidP="00ED0691">
      <w:pPr>
        <w:pStyle w:val="Default"/>
        <w:jc w:val="both"/>
      </w:pPr>
      <w:r>
        <w:t>46. Número total de ministerios públicos que ejercieron el cargo durante 2024, por género, función (administrativos y operativos) y jerarquía</w:t>
      </w:r>
    </w:p>
    <w:p w:rsidR="00ED0691" w:rsidRDefault="00ED0691" w:rsidP="00ED0691">
      <w:pPr>
        <w:pStyle w:val="Default"/>
        <w:jc w:val="both"/>
      </w:pPr>
      <w:r>
        <w:t xml:space="preserve">47. Número total de policías de investigación que ejercieron el cargo durante 2024, por género, función (administrativos y operativos) y jerarquía </w:t>
      </w:r>
    </w:p>
    <w:p w:rsidR="00ED0691" w:rsidRDefault="00ED0691" w:rsidP="00ED0691">
      <w:pPr>
        <w:pStyle w:val="Default"/>
        <w:jc w:val="both"/>
      </w:pPr>
      <w:r>
        <w:t>48. Número total de peritos que ejercieron el cargo durante 2024, por género, función (administrativos y operativos) y jerarquía</w:t>
      </w:r>
    </w:p>
    <w:p w:rsidR="00ED0691" w:rsidRDefault="00ED0691" w:rsidP="00ED0691">
      <w:pPr>
        <w:pStyle w:val="Default"/>
        <w:jc w:val="both"/>
      </w:pPr>
      <w:r>
        <w:t>…</w:t>
      </w:r>
    </w:p>
    <w:p w:rsidR="00ED0691" w:rsidRDefault="00ED0691" w:rsidP="00ED0691">
      <w:pPr>
        <w:pStyle w:val="Default"/>
        <w:jc w:val="both"/>
      </w:pPr>
      <w:r>
        <w:t>57. Número de ministerios públicos con acceso a seguro médico durante 2024</w:t>
      </w:r>
    </w:p>
    <w:p w:rsidR="00ED0691" w:rsidRDefault="00ED0691" w:rsidP="00ED0691">
      <w:pPr>
        <w:pStyle w:val="Default"/>
        <w:jc w:val="both"/>
      </w:pPr>
      <w:r>
        <w:t>58. Número de peritos con acceso a seguro médico durante 2024</w:t>
      </w:r>
    </w:p>
    <w:p w:rsidR="00ED0691" w:rsidRDefault="00ED0691" w:rsidP="00ED0691">
      <w:pPr>
        <w:pStyle w:val="Default"/>
        <w:jc w:val="both"/>
      </w:pPr>
      <w:r>
        <w:t>59. Número de policías de investigación con acceso a seguro médico durante 2024</w:t>
      </w:r>
    </w:p>
    <w:p w:rsidR="00ED0691" w:rsidRDefault="00ED0691" w:rsidP="00ED0691">
      <w:pPr>
        <w:pStyle w:val="Default"/>
        <w:jc w:val="both"/>
      </w:pPr>
    </w:p>
    <w:p w:rsidR="008830C5" w:rsidRDefault="008830C5" w:rsidP="008830C5">
      <w:pPr>
        <w:autoSpaceDE w:val="0"/>
        <w:autoSpaceDN w:val="0"/>
        <w:adjustRightInd w:val="0"/>
        <w:jc w:val="both"/>
        <w:rPr>
          <w:rFonts w:ascii="Arial" w:hAnsi="Arial" w:cs="Arial"/>
        </w:rPr>
      </w:pPr>
    </w:p>
    <w:p w:rsidR="00ED0691" w:rsidRPr="00ED0691" w:rsidRDefault="007336C3" w:rsidP="00ED0691">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ED0691">
        <w:rPr>
          <w:rFonts w:ascii="Arial" w:hAnsi="Arial" w:cs="Arial"/>
        </w:rPr>
        <w:t>E</w:t>
      </w:r>
      <w:r w:rsidR="00ED0691" w:rsidRPr="00ED0691">
        <w:rPr>
          <w:rFonts w:ascii="Arial" w:hAnsi="Arial" w:cs="Arial"/>
        </w:rPr>
        <w:t>l darla a conocer contraviene lo dispuesto en el Artículo 129 fracciones I y XII, de la Ley de Transparencia y Acceso a la Información Pública del Estado, en el que se considera: “Articulo 129. Como información reservada podrá clasificarse aquella cuya publicación, I. Comprometa la seguridad pública y cuente con un propósito genuino y un efecto demostrable; y XII. Las que por disposición expresa de una ley tengan tal carácter, siempre que sean acordes con las bases, principios y disposiciones establecidos en esta Ley y no la contravengan; así como las previstas en tratados internacionales.”</w:t>
      </w: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lastRenderedPageBreak/>
        <w:t xml:space="preserve">La revelación de información respecto a, del periodo del 01 de enero al 31 de diciembre del año 2024: </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46. Número total de ministerios públicos que ejercieron el cargo durante 2024, por género, función (administrativos y operativos) y jerarquía</w:t>
      </w: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 xml:space="preserve">47. Número total de policías de investigación que ejercieron el cargo durante 2024, por género, función (administrativos y operativos) y jerarquía </w:t>
      </w: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48. Número total de peritos que ejercieron el cargo durante 2024, por género, función (administrativos y operativos) y jerarquía</w:t>
      </w: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w:t>
      </w: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57. Número de ministerios públicos con acceso a seguro médico durante 2024</w:t>
      </w: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58. Número de peritos con acceso a seguro médico durante 2024</w:t>
      </w: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59. Número de policías de investigación con acceso a seguro médico durante 2024</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profundamente, se reconoce como una precondición fundacional de los estados modernos y, la base esencial, sobre la cual pueden ejercerse la totalidad de los derechos.</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De lo cual se desprende que la Fiscalía General del Estado de San Luis Potosí, de conformidad con lo señalado en el numeral 21 de nuestra Carta Magna y 3° de la Ley del Sistema de Seguridad Pública del Estado de San Luis Potosí, integra al Sistema Nacional de Seguridad Pública; método único que por mandato constitucional, tiene por objeto para su integración, organización y funcionamiento, establecer una clara distribución de competencias y bases de coordinación entre la Federación, el Estado y los municipios, que se regula en esta Ley con las atribuciones de las instancias a nivel estatal y municipal que habrán de establecer los instrumentos, políticas, acciones y servicios tendientes a cumplir los fines de dicho tópico.</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lastRenderedPageBreak/>
        <w:t>En este sentido, a mayor vigilancia y propuesta ciudadana, los gobiernos están sujetos a tener que cumplir sus funciones con menos posibilidades de corrupción, o violación de derechos humanos.</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Siendo así, uno de los principales objetivos de la transparencia el poder generar confianza por parte del ciudadano hacia el sistema gubernamental, ya que al participar, escuchar, analizar y exigir a la autoridad, se genera y nutre un círculo virtuoso, es decir, si el gobierno informa a la ciudadanía sobre todas las actividades del quehacer gubernamental y como se ejercen los recursos públicos, dando como resultado una mayor confianza entre la ciudadanía, favoreciendo así el pago de impuestos, ya que los ciudadanos saben el destino y buen uso de esos recursos públicos.</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Sin embargo, la entrega de información de interés deja al descubierto de la delincuencia organizada la capacidad de reacción de la Fiscalía General del Estado, al revelar el total de sus elementos y las funciones que realizan dentro de la estructura, es de observar la relevancia de los asuntos que atienden, de acuerdo a lo consagrado en la propia Ley Orgánica</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 xml:space="preserve">“• Atribuciones de la institución. </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Se establece, entre otras, que las atribuciones de la Fiscalía General será el actuar con base en la buena fe, de forma única, indivisible y funcionalmente independiente. A la Fiscalía General corresponderá la conducción jurídica de la investigación que será realizada por los cuerpos policiales, y la persecución ante los tribunales, de los delitos de su competencia. De igual forma, velará por la legalidad y participará en el diseño, implementación y evaluación de la política Criminal del Estado, de esta forma se fortalecerá el Estado democrático de Derecho, lo que conllevará a la percepción de una institución con un componente relevante enfocado en la planeación, así como el agente social que contribuya a concebir los cambios ordenados y previstos, a través de estas adecuaciones en la legislación estatal que continúen la consolidación del nuevo sistema de justicia que contribuya a abatir la impunidad, esclarecer los hechos delictivos, proteger al inocente, y reparar los daños causados por el delito” (sic)</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t>Catálogo de atribuciones que establece la naturaleza y conocimiento de los hechos que tiene el personal que compone a la Fiscalía General del Estado, instancia que a través de las áreas que conforman la estructura táctico operativa conoce de hechos que la ley señala como delitos o causales de responsabilidad entre otras, atendiendo de forma directa víctimas directas o indirectas, asesores jurídicos, el conocimiento del hecho delictivo, los medios y datos de pruebas ofrecidas por esta Fiscalía, siendo servidores públicos estratégicos de la construcción de la Teoría del Delito que se plantea de acuerdo a la naturaleza de la noticia criminal, así como las personas a las que se formula imputación y sus defensores jurídicos.</w:t>
      </w:r>
    </w:p>
    <w:p w:rsidR="00ED0691" w:rsidRPr="00ED0691" w:rsidRDefault="00ED0691" w:rsidP="00ED0691">
      <w:pPr>
        <w:autoSpaceDE w:val="0"/>
        <w:autoSpaceDN w:val="0"/>
        <w:adjustRightInd w:val="0"/>
        <w:jc w:val="both"/>
        <w:rPr>
          <w:rFonts w:ascii="Arial" w:hAnsi="Arial" w:cs="Arial"/>
        </w:rPr>
      </w:pPr>
    </w:p>
    <w:p w:rsidR="00ED0691" w:rsidRPr="00ED0691" w:rsidRDefault="00ED0691" w:rsidP="00ED0691">
      <w:pPr>
        <w:autoSpaceDE w:val="0"/>
        <w:autoSpaceDN w:val="0"/>
        <w:adjustRightInd w:val="0"/>
        <w:jc w:val="both"/>
        <w:rPr>
          <w:rFonts w:ascii="Arial" w:hAnsi="Arial" w:cs="Arial"/>
        </w:rPr>
      </w:pPr>
      <w:r w:rsidRPr="00ED0691">
        <w:rPr>
          <w:rFonts w:ascii="Arial" w:hAnsi="Arial" w:cs="Arial"/>
        </w:rPr>
        <w:lastRenderedPageBreak/>
        <w:t xml:space="preserve">Es por ello, que a sabiendas que la información de interés, la función pública a la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ED0691" w:rsidRPr="00ED0691" w:rsidRDefault="00ED0691" w:rsidP="00ED0691">
      <w:pPr>
        <w:autoSpaceDE w:val="0"/>
        <w:autoSpaceDN w:val="0"/>
        <w:adjustRightInd w:val="0"/>
        <w:jc w:val="both"/>
        <w:rPr>
          <w:rFonts w:ascii="Arial" w:hAnsi="Arial" w:cs="Arial"/>
        </w:rPr>
      </w:pPr>
    </w:p>
    <w:p w:rsidR="008830C5" w:rsidRDefault="00ED0691" w:rsidP="00ED0691">
      <w:pPr>
        <w:autoSpaceDE w:val="0"/>
        <w:autoSpaceDN w:val="0"/>
        <w:adjustRightInd w:val="0"/>
        <w:jc w:val="both"/>
        <w:rPr>
          <w:rFonts w:ascii="Arial" w:hAnsi="Arial" w:cs="Arial"/>
        </w:rPr>
      </w:pPr>
      <w:r w:rsidRPr="00ED0691">
        <w:rPr>
          <w:rFonts w:ascii="Arial" w:hAnsi="Arial" w:cs="Arial"/>
        </w:rPr>
        <w:t>Esta razón es que el brindar la información de interés, bajo el conocimiento de que la estructura orgánica de las Unidades Administrativas estarán conformadas por los titulares respectivos, Directores de Área y demás servidores públicos que resulten necesarios para el desempeño de sus funciones y que se autoricen de conformidad con la disponibilidad presupuestal y la normatividad aplicable, quienes ejercerán sus funciones y atribuciones, de conformidad con las disposiciones jurídicas aplicables, sujetándose a los procedimientos, lineamientos, normas y políticas internas que fije el Fiscal General y a las que, en su caso, establezcan en el ámbito de su competencia, otras Instituciones, Organismos y Entidades de la Administración Pública Estatal o Federal para el logro de los objetivos en el combate a la delincuencia y actos delictivos, datos que dejan al descubierto información que hacen identificables a quienes participan como parte funcional de la Fiscalía y de forma análoga es información que establece como reservada los artículos 3°, 5° 56 fracción XXVI, 93, 93 bis,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la Resolución de la Suprema Corte de Justicia de la Nación emitida dentro de la Controversia Constitucional Numero 325/2019;</w:t>
      </w:r>
    </w:p>
    <w:p w:rsidR="008830C5" w:rsidRDefault="008830C5" w:rsidP="008830C5">
      <w:pPr>
        <w:autoSpaceDE w:val="0"/>
        <w:autoSpaceDN w:val="0"/>
        <w:adjustRightInd w:val="0"/>
        <w:jc w:val="both"/>
        <w:rPr>
          <w:rFonts w:ascii="Arial" w:hAnsi="Arial" w:cs="Arial"/>
        </w:rPr>
      </w:pPr>
    </w:p>
    <w:p w:rsid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FRACCIÓN </w:t>
      </w:r>
      <w:r w:rsidR="0066700B">
        <w:rPr>
          <w:rFonts w:ascii="Arial" w:hAnsi="Arial" w:cs="Arial"/>
        </w:rPr>
        <w:t>I</w:t>
      </w:r>
      <w:r w:rsidR="006060DC">
        <w:rPr>
          <w:rFonts w:ascii="Arial" w:hAnsi="Arial" w:cs="Arial"/>
        </w:rPr>
        <w:t xml:space="preserve">, 129, FRACCIÓN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y Trigésimo segundo, Ley del Sistema de Seguridad Pública del Estado de San Luis Potosí, artículo</w:t>
      </w:r>
      <w:r w:rsidR="008830C5">
        <w:rPr>
          <w:rFonts w:ascii="Arial" w:hAnsi="Arial" w:cs="Arial"/>
        </w:rPr>
        <w:t xml:space="preserve"> 3º, 5º, fracción III, 22, fracción I, incisos c), d), e), XXVI,</w:t>
      </w:r>
      <w:r w:rsidR="00C54783">
        <w:rPr>
          <w:rFonts w:ascii="Arial" w:hAnsi="Arial" w:cs="Arial"/>
        </w:rPr>
        <w:t xml:space="preserve"> </w:t>
      </w:r>
      <w:r w:rsidR="005269BE">
        <w:rPr>
          <w:rFonts w:ascii="Arial" w:hAnsi="Arial" w:cs="Arial"/>
        </w:rPr>
        <w:t xml:space="preserve">56, fracción XXVI, 93, 93 BIS, </w:t>
      </w:r>
      <w:r w:rsidR="000E4FF6">
        <w:rPr>
          <w:rFonts w:ascii="Arial" w:hAnsi="Arial" w:cs="Arial"/>
        </w:rPr>
        <w:t>98, 99, 107</w:t>
      </w:r>
      <w:r w:rsidR="00C54783">
        <w:rPr>
          <w:rFonts w:ascii="Arial" w:hAnsi="Arial" w:cs="Arial"/>
        </w:rPr>
        <w:t xml:space="preserve">. </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w:t>
      </w:r>
      <w:r w:rsidR="009819AE">
        <w:rPr>
          <w:rFonts w:ascii="Arial" w:hAnsi="Arial" w:cs="Arial"/>
        </w:rPr>
        <w:lastRenderedPageBreak/>
        <w:t xml:space="preserve">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8402CF" w:rsidRDefault="00C54783" w:rsidP="00C54783">
      <w:pPr>
        <w:autoSpaceDE w:val="0"/>
        <w:autoSpaceDN w:val="0"/>
        <w:adjustRightInd w:val="0"/>
        <w:ind w:right="141"/>
        <w:jc w:val="both"/>
        <w:rPr>
          <w:rFonts w:ascii="Arial" w:hAnsi="Arial" w:cs="Arial"/>
        </w:rPr>
      </w:pPr>
      <w:r>
        <w:rPr>
          <w:rFonts w:ascii="Arial" w:hAnsi="Arial" w:cs="Arial"/>
        </w:rPr>
        <w:t>La presente reserva es de manera total.</w:t>
      </w:r>
    </w:p>
    <w:p w:rsidR="000E4FF6" w:rsidRDefault="000E4FF6" w:rsidP="00C57509">
      <w:pPr>
        <w:autoSpaceDE w:val="0"/>
        <w:autoSpaceDN w:val="0"/>
        <w:adjustRightInd w:val="0"/>
        <w:ind w:left="-284" w:right="141"/>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lastRenderedPageBreak/>
        <w:t xml:space="preserve">Fecha de expiración: </w:t>
      </w:r>
      <w:r w:rsidR="00F372DF">
        <w:rPr>
          <w:rFonts w:ascii="Arial" w:eastAsia="Times New Roman" w:hAnsi="Arial" w:cs="Arial"/>
          <w:b/>
        </w:rPr>
        <w:t>06</w:t>
      </w:r>
      <w:r w:rsidR="009F136E" w:rsidRPr="00B11FCD">
        <w:rPr>
          <w:rFonts w:ascii="Arial" w:eastAsia="Times New Roman" w:hAnsi="Arial" w:cs="Arial"/>
          <w:b/>
        </w:rPr>
        <w:t xml:space="preserve"> de </w:t>
      </w:r>
      <w:r w:rsidR="006060DC">
        <w:rPr>
          <w:rFonts w:ascii="Arial" w:eastAsia="Times New Roman" w:hAnsi="Arial" w:cs="Arial"/>
          <w:b/>
        </w:rPr>
        <w:t>marzo</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54783" w:rsidRDefault="00C54783"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E52D2A">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E52D2A">
        <w:rPr>
          <w:rFonts w:ascii="Arial" w:hAnsi="Arial" w:cs="Arial"/>
          <w:b/>
        </w:rPr>
        <w:t>01</w:t>
      </w:r>
      <w:r w:rsidR="00ED0691">
        <w:rPr>
          <w:rFonts w:ascii="Arial" w:hAnsi="Arial" w:cs="Arial"/>
          <w:b/>
        </w:rPr>
        <w:t>1</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C54783">
        <w:rPr>
          <w:rFonts w:ascii="Arial" w:eastAsiaTheme="minorEastAsia" w:hAnsi="Arial" w:cs="Arial"/>
          <w:sz w:val="24"/>
          <w:szCs w:val="24"/>
          <w:lang w:eastAsia="es-ES"/>
        </w:rPr>
        <w:t xml:space="preserve">a la respuesta a la solicitud </w:t>
      </w:r>
      <w:r w:rsidR="00C54783" w:rsidRPr="008830C5">
        <w:rPr>
          <w:rFonts w:ascii="Arial" w:hAnsi="Arial" w:cs="Arial"/>
        </w:rPr>
        <w:t>UT-SI-P-</w:t>
      </w:r>
      <w:r w:rsidR="00ED0691">
        <w:rPr>
          <w:rFonts w:ascii="Arial" w:hAnsi="Arial" w:cs="Arial"/>
        </w:rPr>
        <w:t>109</w:t>
      </w:r>
      <w:r w:rsidR="00C54783" w:rsidRPr="008830C5">
        <w:rPr>
          <w:rFonts w:ascii="Arial" w:hAnsi="Arial" w:cs="Arial"/>
        </w:rPr>
        <w:t>-240469825000</w:t>
      </w:r>
      <w:r w:rsidR="00ED0691">
        <w:rPr>
          <w:rFonts w:ascii="Arial" w:hAnsi="Arial" w:cs="Arial"/>
        </w:rPr>
        <w:t>109</w:t>
      </w:r>
      <w:r w:rsidR="00C54783" w:rsidRPr="008830C5">
        <w:rPr>
          <w:rFonts w:ascii="Arial" w:hAnsi="Arial" w:cs="Arial"/>
        </w:rPr>
        <w:t>-2025</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C54783">
        <w:rPr>
          <w:rFonts w:ascii="Arial" w:eastAsiaTheme="minorEastAsia" w:hAnsi="Arial" w:cs="Arial"/>
          <w:sz w:val="24"/>
          <w:szCs w:val="24"/>
          <w:lang w:eastAsia="es-ES"/>
        </w:rPr>
        <w:t>a</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C54783">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C54783">
        <w:rPr>
          <w:rFonts w:ascii="Arial" w:hAnsi="Arial" w:cs="Arial"/>
          <w:b/>
        </w:rPr>
        <w:t>01</w:t>
      </w:r>
      <w:r w:rsidR="00ED0691">
        <w:rPr>
          <w:rFonts w:ascii="Arial" w:hAnsi="Arial" w:cs="Arial"/>
          <w:b/>
        </w:rPr>
        <w:t>1</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45348C">
        <w:rPr>
          <w:rFonts w:ascii="Arial" w:hAnsi="Arial" w:cs="Arial"/>
        </w:rPr>
        <w:t>al contador público Cesar Isidro Cruz, director General de Administración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45348C">
        <w:rPr>
          <w:rFonts w:ascii="Arial" w:hAnsi="Arial" w:cs="Arial"/>
        </w:rPr>
        <w:t>El contador público Cesar Isidro Cruz, director General de Administración</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C54783">
        <w:rPr>
          <w:rFonts w:ascii="Arial" w:hAnsi="Arial" w:cs="Arial"/>
          <w:b/>
        </w:rPr>
        <w:t>1</w:t>
      </w:r>
      <w:r w:rsidR="00ED0691">
        <w:rPr>
          <w:rFonts w:ascii="Arial" w:hAnsi="Arial" w:cs="Arial"/>
          <w:b/>
        </w:rPr>
        <w:t>7</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3"/>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C57509" w:rsidRDefault="00C57509"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2E085B" w:rsidRDefault="002E085B"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BF3665" w:rsidRDefault="009819AE" w:rsidP="00C57509">
      <w:pPr>
        <w:rPr>
          <w:rFonts w:ascii="Arial" w:hAnsi="Arial" w:cs="Arial"/>
        </w:rPr>
      </w:pPr>
      <w:r>
        <w:rPr>
          <w:rFonts w:ascii="Arial" w:hAnsi="Arial" w:cs="Arial"/>
          <w:b/>
        </w:rPr>
        <w:t>LICENCIADO JUAN MANUEL WILLIE ROSILLO</w:t>
      </w:r>
      <w:r>
        <w:rPr>
          <w:rFonts w:ascii="Arial" w:hAnsi="Arial" w:cs="Arial"/>
        </w:rPr>
        <w:t xml:space="preserve">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2DF0" w:rsidRDefault="006F2DF0">
      <w:r>
        <w:separator/>
      </w:r>
    </w:p>
  </w:endnote>
  <w:endnote w:type="continuationSeparator" w:id="0">
    <w:p w:rsidR="006F2DF0" w:rsidRDefault="006F2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C09" w:rsidRDefault="00F36C0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C09" w:rsidRDefault="00F36C0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2DF0" w:rsidRDefault="006F2DF0">
      <w:r>
        <w:separator/>
      </w:r>
    </w:p>
  </w:footnote>
  <w:footnote w:type="continuationSeparator" w:id="0">
    <w:p w:rsidR="006F2DF0" w:rsidRDefault="006F2DF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C09" w:rsidRDefault="00F36C0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026016"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F36C0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026017"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-1132698</wp:posOffset>
          </wp:positionH>
          <wp:positionV relativeFrom="paragraph">
            <wp:posOffset>-579869</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F36C09" w:rsidRPr="00F36C09">
                                <w:rPr>
                                  <w:rFonts w:asciiTheme="majorHAnsi" w:eastAsiaTheme="majorEastAsia" w:hAnsiTheme="majorHAnsi" w:cstheme="majorBidi"/>
                                  <w:noProof/>
                                  <w:sz w:val="44"/>
                                  <w:szCs w:val="44"/>
                                  <w:lang w:val="es-ES"/>
                                </w:rPr>
                                <w:t>8</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F36C09" w:rsidRPr="00F36C09">
                          <w:rPr>
                            <w:rFonts w:asciiTheme="majorHAnsi" w:eastAsiaTheme="majorEastAsia" w:hAnsiTheme="majorHAnsi" w:cstheme="majorBidi"/>
                            <w:noProof/>
                            <w:sz w:val="44"/>
                            <w:szCs w:val="44"/>
                            <w:lang w:val="es-ES"/>
                          </w:rPr>
                          <w:t>8</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8830C5">
                            <w:rPr>
                              <w:rFonts w:ascii="Arial" w:hAnsi="Arial" w:cs="Arial"/>
                              <w:color w:val="FFFFFF" w:themeColor="background1"/>
                              <w:sz w:val="18"/>
                              <w:szCs w:val="18"/>
                              <w:lang w:val="es-ES"/>
                            </w:rPr>
                            <w:t>01</w:t>
                          </w:r>
                          <w:r w:rsidR="00ED0691">
                            <w:rPr>
                              <w:rFonts w:ascii="Arial" w:hAnsi="Arial" w:cs="Arial"/>
                              <w:color w:val="FFFFFF" w:themeColor="background1"/>
                              <w:sz w:val="18"/>
                              <w:szCs w:val="18"/>
                              <w:lang w:val="es-ES"/>
                            </w:rPr>
                            <w:t>1</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8830C5">
                      <w:rPr>
                        <w:rFonts w:ascii="Arial" w:hAnsi="Arial" w:cs="Arial"/>
                        <w:color w:val="FFFFFF" w:themeColor="background1"/>
                        <w:sz w:val="18"/>
                        <w:szCs w:val="18"/>
                        <w:lang w:val="es-ES"/>
                      </w:rPr>
                      <w:t>01</w:t>
                    </w:r>
                    <w:r w:rsidR="00ED0691">
                      <w:rPr>
                        <w:rFonts w:ascii="Arial" w:hAnsi="Arial" w:cs="Arial"/>
                        <w:color w:val="FFFFFF" w:themeColor="background1"/>
                        <w:sz w:val="18"/>
                        <w:szCs w:val="18"/>
                        <w:lang w:val="es-ES"/>
                      </w:rPr>
                      <w:t>1</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C09" w:rsidRDefault="00F36C0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026015"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2E805D6"/>
    <w:multiLevelType w:val="hybridMultilevel"/>
    <w:tmpl w:val="04F0E9D0"/>
    <w:lvl w:ilvl="0" w:tplc="76FAE4D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10"/>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0D01"/>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2DF0"/>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C2"/>
    <w:rsid w:val="00805047"/>
    <w:rsid w:val="00805092"/>
    <w:rsid w:val="008102E8"/>
    <w:rsid w:val="00812BF7"/>
    <w:rsid w:val="00814012"/>
    <w:rsid w:val="00816E9B"/>
    <w:rsid w:val="008235C2"/>
    <w:rsid w:val="00823D57"/>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30C5"/>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783"/>
    <w:rsid w:val="00C54B5D"/>
    <w:rsid w:val="00C57509"/>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2D2A"/>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0691"/>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6C09"/>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87E24"/>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1E895A-E8FE-408F-ABBC-77F44A34A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2984</Words>
  <Characters>16416</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4</cp:revision>
  <cp:lastPrinted>2025-02-06T18:42:00Z</cp:lastPrinted>
  <dcterms:created xsi:type="dcterms:W3CDTF">2025-03-04T22:52:00Z</dcterms:created>
  <dcterms:modified xsi:type="dcterms:W3CDTF">2025-03-25T15:26:00Z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