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F07B7F">
        <w:rPr>
          <w:rFonts w:ascii="Arial" w:hAnsi="Arial" w:cs="Arial"/>
          <w:b/>
        </w:rPr>
        <w:t>siete</w:t>
      </w:r>
      <w:r w:rsidR="007F24DE">
        <w:rPr>
          <w:rFonts w:ascii="Arial" w:hAnsi="Arial" w:cs="Arial"/>
        </w:rPr>
        <w:t xml:space="preserve"> días del mes de </w:t>
      </w:r>
      <w:r w:rsidR="00F07B7F">
        <w:rPr>
          <w:rFonts w:ascii="Arial" w:hAnsi="Arial" w:cs="Arial"/>
          <w:b/>
        </w:rPr>
        <w:t>abril</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F07B7F">
        <w:rPr>
          <w:rFonts w:ascii="Arial" w:hAnsi="Arial" w:cs="Arial"/>
          <w:b/>
        </w:rPr>
        <w:t>cuarta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8830C5" w:rsidRDefault="009819AE" w:rsidP="00F07B7F">
      <w:pPr>
        <w:pStyle w:val="Prrafodelista"/>
        <w:numPr>
          <w:ilvl w:val="0"/>
          <w:numId w:val="11"/>
        </w:numPr>
        <w:ind w:left="0" w:hanging="11"/>
        <w:jc w:val="both"/>
        <w:rPr>
          <w:rFonts w:ascii="Arial" w:hAnsi="Arial" w:cs="Arial"/>
        </w:rPr>
      </w:pPr>
      <w:r w:rsidRPr="008830C5">
        <w:rPr>
          <w:rFonts w:ascii="Arial" w:hAnsi="Arial" w:cs="Arial"/>
        </w:rPr>
        <w:t>El</w:t>
      </w:r>
      <w:r w:rsidR="008D7FD6" w:rsidRPr="008830C5">
        <w:rPr>
          <w:rFonts w:ascii="Arial" w:hAnsi="Arial" w:cs="Arial"/>
        </w:rPr>
        <w:t xml:space="preserve"> contador público Cesar Isidro Cruz, director </w:t>
      </w:r>
      <w:r w:rsidR="00F824BC" w:rsidRPr="008830C5">
        <w:rPr>
          <w:rFonts w:ascii="Arial" w:hAnsi="Arial" w:cs="Arial"/>
        </w:rPr>
        <w:t>G</w:t>
      </w:r>
      <w:r w:rsidR="008D7FD6" w:rsidRPr="008830C5">
        <w:rPr>
          <w:rFonts w:ascii="Arial" w:hAnsi="Arial" w:cs="Arial"/>
        </w:rPr>
        <w:t xml:space="preserve">eneral de </w:t>
      </w:r>
      <w:r w:rsidR="00F824BC" w:rsidRPr="008830C5">
        <w:rPr>
          <w:rFonts w:ascii="Arial" w:hAnsi="Arial" w:cs="Arial"/>
        </w:rPr>
        <w:t>A</w:t>
      </w:r>
      <w:r w:rsidR="008D7FD6" w:rsidRPr="008830C5">
        <w:rPr>
          <w:rFonts w:ascii="Arial" w:hAnsi="Arial" w:cs="Arial"/>
        </w:rPr>
        <w:t>dministración</w:t>
      </w:r>
      <w:r w:rsidR="00376B01" w:rsidRPr="008830C5">
        <w:rPr>
          <w:rFonts w:ascii="Arial" w:hAnsi="Arial" w:cs="Arial"/>
        </w:rPr>
        <w:t>,</w:t>
      </w:r>
      <w:r w:rsidRPr="008830C5">
        <w:rPr>
          <w:rFonts w:ascii="Arial" w:hAnsi="Arial" w:cs="Arial"/>
        </w:rPr>
        <w:t xml:space="preserve"> mediante oficio </w:t>
      </w:r>
      <w:r w:rsidR="00032961" w:rsidRPr="008830C5">
        <w:rPr>
          <w:rFonts w:ascii="Arial" w:hAnsi="Arial" w:cs="Arial"/>
          <w:b/>
        </w:rPr>
        <w:t>DGA/</w:t>
      </w:r>
      <w:r w:rsidR="00E91B4D" w:rsidRPr="008830C5">
        <w:rPr>
          <w:rFonts w:ascii="Arial" w:hAnsi="Arial" w:cs="Arial"/>
          <w:b/>
        </w:rPr>
        <w:t>DRH/</w:t>
      </w:r>
      <w:r w:rsidR="00F07B7F">
        <w:rPr>
          <w:rFonts w:ascii="Arial" w:hAnsi="Arial" w:cs="Arial"/>
          <w:b/>
        </w:rPr>
        <w:t>10</w:t>
      </w:r>
      <w:r w:rsidR="00D9637F">
        <w:rPr>
          <w:rFonts w:ascii="Arial" w:hAnsi="Arial" w:cs="Arial"/>
          <w:b/>
        </w:rPr>
        <w:t>5</w:t>
      </w:r>
      <w:r w:rsidR="0050596A">
        <w:rPr>
          <w:rFonts w:ascii="Arial" w:hAnsi="Arial" w:cs="Arial"/>
          <w:b/>
        </w:rPr>
        <w:t>5</w:t>
      </w:r>
      <w:r w:rsidR="00032961" w:rsidRPr="008830C5">
        <w:rPr>
          <w:rFonts w:ascii="Arial" w:hAnsi="Arial" w:cs="Arial"/>
          <w:b/>
        </w:rPr>
        <w:t>/2025</w:t>
      </w:r>
      <w:r w:rsidRPr="008830C5">
        <w:rPr>
          <w:rFonts w:ascii="Arial" w:hAnsi="Arial" w:cs="Arial"/>
        </w:rPr>
        <w:t xml:space="preserve"> manifiesta </w:t>
      </w:r>
      <w:r w:rsidR="00E22117" w:rsidRPr="008830C5">
        <w:rPr>
          <w:rFonts w:ascii="Arial" w:hAnsi="Arial" w:cs="Arial"/>
        </w:rPr>
        <w:t>adjuntar el acuerdo de reserva</w:t>
      </w:r>
      <w:r w:rsidR="00E91B4D" w:rsidRPr="008830C5">
        <w:rPr>
          <w:rFonts w:ascii="Arial" w:hAnsi="Arial" w:cs="Arial"/>
        </w:rPr>
        <w:t xml:space="preserve"> </w:t>
      </w:r>
      <w:r w:rsidR="008830C5" w:rsidRPr="008830C5">
        <w:rPr>
          <w:rFonts w:ascii="Arial" w:hAnsi="Arial" w:cs="Arial"/>
          <w:b/>
        </w:rPr>
        <w:t xml:space="preserve">total </w:t>
      </w:r>
      <w:r w:rsidR="00E91B4D" w:rsidRPr="008830C5">
        <w:rPr>
          <w:rFonts w:ascii="Arial" w:hAnsi="Arial" w:cs="Arial"/>
          <w:b/>
        </w:rPr>
        <w:t>AR/</w:t>
      </w:r>
      <w:r w:rsidR="00F07B7F">
        <w:rPr>
          <w:rFonts w:ascii="Arial" w:hAnsi="Arial" w:cs="Arial"/>
          <w:b/>
        </w:rPr>
        <w:t>2</w:t>
      </w:r>
      <w:r w:rsidR="0050596A">
        <w:rPr>
          <w:rFonts w:ascii="Arial" w:hAnsi="Arial" w:cs="Arial"/>
          <w:b/>
        </w:rPr>
        <w:t>5</w:t>
      </w:r>
      <w:r w:rsidR="00E91B4D" w:rsidRPr="008830C5">
        <w:rPr>
          <w:rFonts w:ascii="Arial" w:hAnsi="Arial" w:cs="Arial"/>
          <w:b/>
        </w:rPr>
        <w:t>/2025</w:t>
      </w:r>
      <w:r w:rsidR="00E91B4D" w:rsidRPr="008830C5">
        <w:rPr>
          <w:rFonts w:ascii="Arial" w:hAnsi="Arial" w:cs="Arial"/>
        </w:rPr>
        <w:t xml:space="preserve"> </w:t>
      </w:r>
      <w:r w:rsidR="00E22117" w:rsidRPr="008830C5">
        <w:rPr>
          <w:rFonts w:ascii="Arial" w:hAnsi="Arial" w:cs="Arial"/>
        </w:rPr>
        <w:t xml:space="preserve">que emite por </w:t>
      </w:r>
      <w:r w:rsidRPr="008830C5">
        <w:rPr>
          <w:rFonts w:ascii="Arial" w:hAnsi="Arial" w:cs="Arial"/>
        </w:rPr>
        <w:t xml:space="preserve">encontrarse en el supuesto del artículo </w:t>
      </w:r>
      <w:r w:rsidR="00376B01" w:rsidRPr="008830C5">
        <w:rPr>
          <w:rFonts w:ascii="Arial" w:hAnsi="Arial" w:cs="Arial"/>
        </w:rPr>
        <w:t>120</w:t>
      </w:r>
      <w:r w:rsidRPr="008830C5">
        <w:rPr>
          <w:rFonts w:ascii="Arial" w:hAnsi="Arial" w:cs="Arial"/>
        </w:rPr>
        <w:t xml:space="preserve"> fracción</w:t>
      </w:r>
      <w:r w:rsidR="00376B01" w:rsidRPr="008830C5">
        <w:rPr>
          <w:rFonts w:ascii="Arial" w:hAnsi="Arial" w:cs="Arial"/>
        </w:rPr>
        <w:t xml:space="preserve"> </w:t>
      </w:r>
      <w:r w:rsidR="0017048A" w:rsidRPr="008830C5">
        <w:rPr>
          <w:rFonts w:ascii="Arial" w:hAnsi="Arial" w:cs="Arial"/>
        </w:rPr>
        <w:t>I</w:t>
      </w:r>
      <w:r w:rsidRPr="008830C5">
        <w:rPr>
          <w:rFonts w:ascii="Arial" w:hAnsi="Arial" w:cs="Arial"/>
        </w:rPr>
        <w:t xml:space="preserve"> de la LTAIPSLP, es decir,</w:t>
      </w:r>
      <w:r w:rsidR="008830C5" w:rsidRPr="008830C5">
        <w:rPr>
          <w:rFonts w:ascii="Arial" w:hAnsi="Arial" w:cs="Arial"/>
        </w:rPr>
        <w:t xml:space="preserve"> recibió la solicitud de información número UT-SI-P-</w:t>
      </w:r>
      <w:r w:rsidR="00F07B7F">
        <w:rPr>
          <w:rFonts w:ascii="Arial" w:hAnsi="Arial" w:cs="Arial"/>
        </w:rPr>
        <w:t>1</w:t>
      </w:r>
      <w:r w:rsidR="00D9637F">
        <w:rPr>
          <w:rFonts w:ascii="Arial" w:hAnsi="Arial" w:cs="Arial"/>
        </w:rPr>
        <w:t>7</w:t>
      </w:r>
      <w:r w:rsidR="0050596A">
        <w:rPr>
          <w:rFonts w:ascii="Arial" w:hAnsi="Arial" w:cs="Arial"/>
        </w:rPr>
        <w:t>1</w:t>
      </w:r>
      <w:r w:rsidR="008830C5" w:rsidRPr="008830C5">
        <w:rPr>
          <w:rFonts w:ascii="Arial" w:hAnsi="Arial" w:cs="Arial"/>
        </w:rPr>
        <w:t>-240469825000</w:t>
      </w:r>
      <w:r w:rsidR="00F07B7F">
        <w:rPr>
          <w:rFonts w:ascii="Arial" w:hAnsi="Arial" w:cs="Arial"/>
        </w:rPr>
        <w:t>1</w:t>
      </w:r>
      <w:r w:rsidR="00D9637F">
        <w:rPr>
          <w:rFonts w:ascii="Arial" w:hAnsi="Arial" w:cs="Arial"/>
        </w:rPr>
        <w:t>7</w:t>
      </w:r>
      <w:r w:rsidR="0050596A">
        <w:rPr>
          <w:rFonts w:ascii="Arial" w:hAnsi="Arial" w:cs="Arial"/>
        </w:rPr>
        <w:t>1</w:t>
      </w:r>
      <w:r w:rsidR="008830C5" w:rsidRPr="008830C5">
        <w:rPr>
          <w:rFonts w:ascii="Arial" w:hAnsi="Arial" w:cs="Arial"/>
        </w:rPr>
        <w:t xml:space="preserve">-2025, realizada por </w:t>
      </w:r>
      <w:r w:rsidR="00D9637F">
        <w:rPr>
          <w:rFonts w:ascii="Arial" w:hAnsi="Arial" w:cs="Arial"/>
        </w:rPr>
        <w:t xml:space="preserve">la </w:t>
      </w:r>
      <w:r w:rsidR="008830C5" w:rsidRPr="008830C5">
        <w:rPr>
          <w:rFonts w:ascii="Arial" w:hAnsi="Arial" w:cs="Arial"/>
        </w:rPr>
        <w:t>usuari</w:t>
      </w:r>
      <w:r w:rsidR="00D9637F">
        <w:rPr>
          <w:rFonts w:ascii="Arial" w:hAnsi="Arial" w:cs="Arial"/>
        </w:rPr>
        <w:t>a</w:t>
      </w:r>
      <w:r w:rsidR="008830C5" w:rsidRPr="008830C5">
        <w:rPr>
          <w:rFonts w:ascii="Arial" w:hAnsi="Arial" w:cs="Arial"/>
        </w:rPr>
        <w:t xml:space="preserve"> </w:t>
      </w:r>
      <w:r w:rsidR="0050596A">
        <w:rPr>
          <w:rFonts w:ascii="Arial" w:hAnsi="Arial" w:cs="Arial"/>
          <w:b/>
        </w:rPr>
        <w:t>Jimena Monsiváis Estrada</w:t>
      </w:r>
      <w:r w:rsidR="008830C5" w:rsidRPr="008830C5">
        <w:rPr>
          <w:rFonts w:ascii="Arial" w:hAnsi="Arial" w:cs="Arial"/>
        </w:rPr>
        <w:t>.</w:t>
      </w:r>
    </w:p>
    <w:p w:rsidR="005D6470" w:rsidRDefault="005D6470" w:rsidP="005D6470">
      <w:pPr>
        <w:jc w:val="both"/>
        <w:rPr>
          <w:rFonts w:ascii="Arial" w:hAnsi="Arial" w:cs="Arial"/>
        </w:rPr>
      </w:pPr>
    </w:p>
    <w:p w:rsidR="00BF3665" w:rsidRDefault="009819AE" w:rsidP="00C57509">
      <w:pPr>
        <w:jc w:val="both"/>
        <w:rPr>
          <w:rFonts w:ascii="Arial" w:hAnsi="Arial" w:cs="Arial"/>
        </w:rPr>
      </w:pPr>
      <w:r>
        <w:rPr>
          <w:rFonts w:ascii="Arial" w:hAnsi="Arial" w:cs="Arial"/>
          <w:b/>
        </w:rPr>
        <w:t>II.</w:t>
      </w:r>
      <w:r>
        <w:rPr>
          <w:rFonts w:ascii="Arial" w:hAnsi="Arial" w:cs="Arial"/>
        </w:rPr>
        <w:t xml:space="preserve"> </w:t>
      </w:r>
      <w:r w:rsidR="007E2C1E">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 I</w:t>
      </w:r>
      <w:r w:rsidR="007E2C1E">
        <w:rPr>
          <w:rFonts w:ascii="Arial" w:hAnsi="Arial" w:cs="Arial"/>
        </w:rPr>
        <w:t>, y XII</w:t>
      </w:r>
      <w:r>
        <w:rPr>
          <w:rFonts w:ascii="Arial" w:hAnsi="Arial" w:cs="Arial"/>
        </w:rPr>
        <w:t xml:space="preserve"> de la LTAIPSLP.</w:t>
      </w:r>
    </w:p>
    <w:p w:rsidR="00B51013" w:rsidRPr="00D90F51" w:rsidRDefault="00B51013" w:rsidP="00C57509">
      <w:pPr>
        <w:jc w:val="both"/>
        <w:rPr>
          <w:rFonts w:ascii="Arial" w:hAnsi="Arial" w:cs="Arial"/>
        </w:rPr>
      </w:pPr>
    </w:p>
    <w:p w:rsidR="00BF3665" w:rsidRPr="00044847" w:rsidRDefault="009819AE" w:rsidP="00C57509">
      <w:pPr>
        <w:jc w:val="both"/>
        <w:rPr>
          <w:rFonts w:ascii="Arial" w:hAnsi="Arial" w:cs="Arial"/>
        </w:rPr>
      </w:pPr>
      <w:r w:rsidRPr="00D90F51">
        <w:rPr>
          <w:rFonts w:ascii="Arial" w:hAnsi="Arial" w:cs="Arial"/>
          <w:b/>
        </w:rPr>
        <w:t>III.</w:t>
      </w:r>
      <w:r w:rsidRPr="00D90F51">
        <w:rPr>
          <w:rFonts w:ascii="Arial" w:hAnsi="Arial" w:cs="Arial"/>
        </w:rPr>
        <w:t xml:space="preserve"> </w:t>
      </w:r>
      <w:r w:rsidR="007E2C1E">
        <w:rPr>
          <w:rFonts w:ascii="Arial" w:hAnsi="Arial" w:cs="Arial"/>
        </w:rPr>
        <w:t>El contador público Cesar Isidro Cruz, director General de Administración</w:t>
      </w:r>
      <w:r w:rsidR="00376B01">
        <w:rPr>
          <w:rFonts w:ascii="Arial" w:hAnsi="Arial" w:cs="Arial"/>
        </w:rPr>
        <w:t xml:space="preserve">, emite el acuerdo de reserva </w:t>
      </w:r>
      <w:r w:rsidR="008830C5">
        <w:rPr>
          <w:rFonts w:ascii="Arial" w:hAnsi="Arial" w:cs="Arial"/>
          <w:b/>
        </w:rPr>
        <w:t>total</w:t>
      </w:r>
      <w:r w:rsidR="005D6470">
        <w:rPr>
          <w:rFonts w:ascii="Arial" w:hAnsi="Arial" w:cs="Arial"/>
          <w:b/>
        </w:rPr>
        <w:t xml:space="preserve"> </w:t>
      </w:r>
      <w:r w:rsidR="00376B01">
        <w:rPr>
          <w:rFonts w:ascii="Arial" w:hAnsi="Arial" w:cs="Arial"/>
        </w:rPr>
        <w:t xml:space="preserve">número </w:t>
      </w:r>
      <w:r w:rsidR="008D7FD6" w:rsidRPr="00EC019A">
        <w:rPr>
          <w:rFonts w:ascii="Arial" w:hAnsi="Arial" w:cs="Arial"/>
          <w:b/>
        </w:rPr>
        <w:t>AR/</w:t>
      </w:r>
      <w:r w:rsidR="00F07B7F">
        <w:rPr>
          <w:rFonts w:ascii="Arial" w:hAnsi="Arial" w:cs="Arial"/>
          <w:b/>
        </w:rPr>
        <w:t>2</w:t>
      </w:r>
      <w:r w:rsidR="0050596A">
        <w:rPr>
          <w:rFonts w:ascii="Arial" w:hAnsi="Arial" w:cs="Arial"/>
          <w:b/>
        </w:rPr>
        <w:t>5</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830C5">
        <w:rPr>
          <w:rFonts w:ascii="Arial" w:hAnsi="Arial" w:cs="Arial"/>
          <w:b/>
        </w:rPr>
        <w:t>total</w:t>
      </w:r>
      <w:r>
        <w:rPr>
          <w:rFonts w:ascii="Arial" w:hAnsi="Arial" w:cs="Arial"/>
        </w:rPr>
        <w:t xml:space="preserve"> número </w:t>
      </w:r>
      <w:r w:rsidR="006F7D0F">
        <w:rPr>
          <w:rFonts w:ascii="Arial" w:hAnsi="Arial" w:cs="Arial"/>
          <w:b/>
        </w:rPr>
        <w:t>AR/</w:t>
      </w:r>
      <w:r w:rsidR="00F07B7F">
        <w:rPr>
          <w:rFonts w:ascii="Arial" w:hAnsi="Arial" w:cs="Arial"/>
          <w:b/>
        </w:rPr>
        <w:t>2</w:t>
      </w:r>
      <w:r w:rsidR="0050596A">
        <w:rPr>
          <w:rFonts w:ascii="Arial" w:hAnsi="Arial" w:cs="Arial"/>
          <w:b/>
        </w:rPr>
        <w:t>5</w:t>
      </w:r>
      <w:r w:rsidR="008830C5">
        <w:rPr>
          <w:rFonts w:ascii="Arial" w:hAnsi="Arial" w:cs="Arial"/>
          <w:b/>
        </w:rPr>
        <w:t>/</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830C5">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F07B7F">
        <w:rPr>
          <w:rFonts w:ascii="Arial" w:hAnsi="Arial" w:cs="Arial"/>
          <w:b/>
        </w:rPr>
        <w:t>2</w:t>
      </w:r>
      <w:r w:rsidR="0050596A">
        <w:rPr>
          <w:rFonts w:ascii="Arial" w:hAnsi="Arial" w:cs="Arial"/>
          <w:b/>
        </w:rPr>
        <w:t>5</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E22117" w:rsidRDefault="00E22117"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F07B7F" w:rsidRDefault="007E2C1E" w:rsidP="008830C5">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Reserva </w:t>
      </w:r>
      <w:r w:rsidR="008830C5">
        <w:rPr>
          <w:rFonts w:eastAsiaTheme="minorEastAsia"/>
          <w:b/>
          <w:color w:val="auto"/>
          <w:lang w:eastAsia="es-ES"/>
        </w:rPr>
        <w:t xml:space="preserve">total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bookmarkEnd w:id="2"/>
    </w:p>
    <w:p w:rsidR="00F07B7F" w:rsidRDefault="00F07B7F" w:rsidP="008830C5">
      <w:pPr>
        <w:pStyle w:val="Default"/>
        <w:jc w:val="both"/>
      </w:pPr>
    </w:p>
    <w:p w:rsidR="00D9637F" w:rsidRPr="00D9637F" w:rsidRDefault="00D9637F" w:rsidP="00D9637F">
      <w:pPr>
        <w:autoSpaceDE w:val="0"/>
        <w:autoSpaceDN w:val="0"/>
        <w:adjustRightInd w:val="0"/>
        <w:jc w:val="both"/>
        <w:rPr>
          <w:rFonts w:ascii="Arial" w:hAnsi="Arial" w:cs="Arial"/>
        </w:rPr>
      </w:pPr>
      <w:r w:rsidRPr="00D9637F">
        <w:rPr>
          <w:rFonts w:ascii="Arial" w:hAnsi="Arial" w:cs="Arial"/>
        </w:rPr>
        <w:t>La Dirección General de Administración procede a acordar la reserva total de la información que se requiere para dar atención a la Solicitud de Acceso a la Información No. UT-SI-P-17</w:t>
      </w:r>
      <w:r w:rsidR="0050596A">
        <w:rPr>
          <w:rFonts w:ascii="Arial" w:hAnsi="Arial" w:cs="Arial"/>
        </w:rPr>
        <w:t>1</w:t>
      </w:r>
      <w:r w:rsidRPr="00D9637F">
        <w:rPr>
          <w:rFonts w:ascii="Arial" w:hAnsi="Arial" w:cs="Arial"/>
        </w:rPr>
        <w:t>-24046982500017</w:t>
      </w:r>
      <w:r w:rsidR="0050596A">
        <w:rPr>
          <w:rFonts w:ascii="Arial" w:hAnsi="Arial" w:cs="Arial"/>
        </w:rPr>
        <w:t>1</w:t>
      </w:r>
      <w:r w:rsidRPr="00D9637F">
        <w:rPr>
          <w:rFonts w:ascii="Arial" w:hAnsi="Arial" w:cs="Arial"/>
        </w:rPr>
        <w:t xml:space="preserve">-2025, recurrida por </w:t>
      </w:r>
      <w:r w:rsidR="0050596A">
        <w:rPr>
          <w:rFonts w:ascii="Arial" w:hAnsi="Arial" w:cs="Arial"/>
          <w:b/>
        </w:rPr>
        <w:t>Jimena Monsiváis Estrada</w:t>
      </w:r>
      <w:r w:rsidRPr="00D9637F">
        <w:rPr>
          <w:rFonts w:ascii="Arial" w:hAnsi="Arial" w:cs="Arial"/>
        </w:rPr>
        <w:t>, consistente en:</w:t>
      </w:r>
    </w:p>
    <w:p w:rsidR="00D9637F" w:rsidRPr="00D9637F" w:rsidRDefault="00D9637F" w:rsidP="00D9637F">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 xml:space="preserve">“PARA LA FISCALÍA ELECTORAL Y DE HECHOS DE CORRUPCIÓN </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10.  CUANTAS PERSONAS SE ENCUENTRAN ADSCRITAS A ESA DEPENDENCIA.</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11. CUANTAS PERSONAS TIENEN CONTRATO POR SUELDOS, CUANTAS POR HONORARIOS   Y CUANTAS SON DE BASE</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12. QUE PUESTOS TIENEN CADA UNA DE ESAS PERSONAS</w:t>
      </w:r>
    </w:p>
    <w:p w:rsidR="00F07B7F" w:rsidRDefault="0050596A" w:rsidP="0050596A">
      <w:pPr>
        <w:autoSpaceDE w:val="0"/>
        <w:autoSpaceDN w:val="0"/>
        <w:adjustRightInd w:val="0"/>
        <w:jc w:val="both"/>
        <w:rPr>
          <w:rFonts w:ascii="Arial" w:hAnsi="Arial" w:cs="Arial"/>
        </w:rPr>
      </w:pPr>
      <w:r w:rsidRPr="0050596A">
        <w:rPr>
          <w:rFonts w:ascii="Arial" w:hAnsi="Arial" w:cs="Arial"/>
        </w:rPr>
        <w:t xml:space="preserve">13. DESDE QUE AÑO SE ENCUENTRAN ADSCRITAS ESAS PERSONAS A ESA DEPENDENCIA.  </w:t>
      </w:r>
    </w:p>
    <w:p w:rsidR="0050596A" w:rsidRDefault="0050596A" w:rsidP="00F07B7F">
      <w:pPr>
        <w:autoSpaceDE w:val="0"/>
        <w:autoSpaceDN w:val="0"/>
        <w:adjustRightInd w:val="0"/>
        <w:jc w:val="both"/>
        <w:rPr>
          <w:rFonts w:ascii="Arial" w:hAnsi="Arial" w:cs="Arial"/>
          <w:b/>
        </w:rPr>
      </w:pPr>
    </w:p>
    <w:p w:rsidR="008830C5" w:rsidRPr="00F07B7F" w:rsidRDefault="007336C3" w:rsidP="00F07B7F">
      <w:pPr>
        <w:autoSpaceDE w:val="0"/>
        <w:autoSpaceDN w:val="0"/>
        <w:adjustRightInd w:val="0"/>
        <w:jc w:val="both"/>
        <w:rPr>
          <w:rFonts w:ascii="Arial" w:hAnsi="Arial" w:cs="Arial"/>
          <w:b/>
        </w:rPr>
      </w:pPr>
      <w:r w:rsidRPr="00F07B7F">
        <w:rPr>
          <w:rFonts w:ascii="Arial" w:hAnsi="Arial" w:cs="Arial"/>
          <w:b/>
        </w:rPr>
        <w:t>Motivación.</w:t>
      </w:r>
      <w:r w:rsidR="008565C9" w:rsidRPr="00F07B7F">
        <w:rPr>
          <w:rFonts w:ascii="Arial" w:hAnsi="Arial" w:cs="Arial"/>
          <w:b/>
        </w:rPr>
        <w:t xml:space="preserve"> </w:t>
      </w:r>
    </w:p>
    <w:p w:rsidR="00F07B7F" w:rsidRDefault="00F07B7F" w:rsidP="00F07B7F">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Como es el caso de la Solicitud de Acceso a la Información No. UT-SI-P-171-240469825000171-2025, es procedente puesto que el darla a conocer contraviene lo dispuesto en el Artículo 129 fracciones I y XII, de la Ley de Transparencia y Acceso a la Información Pública del Estado, en el que se considera: “Articulo 129. Como información reservada podrá clasificarse aquella cuya publicación, I. Comprometa la seguridad pública y cuente con un propósito genuino y un efecto demostrable; y XII. Las que por disposición expresa de una ley tengan tal carácter, siempre que sean acordes con las bases, principios y disposiciones establecidos en esta Ley y no la contravengan; así como las previstas en tratados internacionales.”</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La revelación de información Del periodo del 21 de marzo de 2024 al 21 de marzo de 2025, del personal de Seguridad y Custodia que no realice funciones Directivas, así como del personal administrativo adscritos a la Fiscalía Especializada en Materia de Delitos Electorales y a la Fiscalía Especializada en Delitos relacionados con Hechos de Corrupción, relativo a:</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10.  Cuantas personas se encuentran adscritas a esa dependencia.</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11. Cuantas personas tienen contrato por sueldos, cuantas por honorarios   y cuantas son de base</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12. Que puestos tienen cada una de esas personas</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13. Desde que año se encuentran adscritas esas personas a esa dependencia.</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profundamente, se reconoce como una precondición fundacional de los estados modernos y, la base esencial, sobre la cual pueden ejercerse la totalidad de los derechos.</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De lo cual se desprende que la Fiscalía General del Estado de San Luis Potosí, de conformidad con lo señalado en el numeral 21 de nuestra Carta Magna y 3° de la Ley del Sistema de Seguridad Pública del Estado de San Luis Potosí, integra al Sistema Nacional de Seguridad Pública; método único que por mandato constitucional, tiene por objeto para su integración, organización y funcionamiento, establecer una clara distribución de competencias y bases de coordinación entre la Federación, el Estado y los municipios, que se regula en esta Ley con las atribuciones de las instancias a nivel estatal y municipal que habrán de establecer los instrumentos, políticas, acciones y servicios tendientes a cumplir los fines de dicho tópico.</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 xml:space="preserve">En este entendido, la revelación de la información señalada Del periodo del 21 de marzo de 2024 al 21 de marzo de 2025, del personal de Seguridad y Custodia que no realice funciones Directivas, así como del personal administrativo adscritos a la Fiscalía Especializada en </w:t>
      </w:r>
      <w:r w:rsidRPr="0050596A">
        <w:rPr>
          <w:rFonts w:ascii="Arial" w:hAnsi="Arial" w:cs="Arial"/>
        </w:rPr>
        <w:lastRenderedPageBreak/>
        <w:t>Materia de Delitos Electorales y a la Fiscalía Especializada en Delitos relacionados con Hechos de Corrupción, relativo a:</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10.  Cuantas personas se encuentran adscritas a esa dependencia.</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11. Cuantas personas tienen contrato por sueldos, cuantas por honorarios   y cuantas son de base</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12. Que puestos tienen cada una de esas personas</w:t>
      </w: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13. Desde que año se encuentran adscritas esas personas a esa dependencia.</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En este sentido, a mayor vigilancia y propuesta ciudadana, los gobiernos están sujetos a tener que cumplir sus funciones con menos posibilidades de corrupción, o violación de derechos humanos.</w:t>
      </w:r>
    </w:p>
    <w:p w:rsidR="0050596A" w:rsidRPr="0050596A" w:rsidRDefault="0050596A" w:rsidP="0050596A">
      <w:pPr>
        <w:autoSpaceDE w:val="0"/>
        <w:autoSpaceDN w:val="0"/>
        <w:adjustRightInd w:val="0"/>
        <w:jc w:val="both"/>
        <w:rPr>
          <w:rFonts w:ascii="Arial" w:hAnsi="Arial" w:cs="Arial"/>
        </w:rPr>
      </w:pPr>
    </w:p>
    <w:p w:rsidR="0050596A" w:rsidRPr="0050596A" w:rsidRDefault="0050596A" w:rsidP="0050596A">
      <w:pPr>
        <w:autoSpaceDE w:val="0"/>
        <w:autoSpaceDN w:val="0"/>
        <w:adjustRightInd w:val="0"/>
        <w:jc w:val="both"/>
        <w:rPr>
          <w:rFonts w:ascii="Arial" w:hAnsi="Arial" w:cs="Arial"/>
        </w:rPr>
      </w:pPr>
      <w:r w:rsidRPr="0050596A">
        <w:rPr>
          <w:rFonts w:ascii="Arial" w:hAnsi="Arial" w:cs="Arial"/>
        </w:rPr>
        <w:t>Siendo así, uno de los principales objetivos de la transparencia el poder generar confianza por parte del ciudadano hacia el sistema gubernamental, ya que al participar, escuchar, analizar y exigir a la autoridad, se genera y nutre un círculo virtuoso, es decir, si el gobierno informa a la ciudadanía sobre todas las actividades del quehacer gubernamental y como se ejercen los recursos públicos, dando como resultado una mayor confianza entre la ciudadanía, favoreciendo así el pago de impuestos, ya que los ciudadanos saben el destino y buen uso de esos recursos públicos.</w:t>
      </w:r>
    </w:p>
    <w:p w:rsidR="0050596A" w:rsidRPr="0050596A" w:rsidRDefault="0050596A" w:rsidP="0050596A">
      <w:pPr>
        <w:autoSpaceDE w:val="0"/>
        <w:autoSpaceDN w:val="0"/>
        <w:adjustRightInd w:val="0"/>
        <w:jc w:val="both"/>
        <w:rPr>
          <w:rFonts w:ascii="Arial" w:hAnsi="Arial" w:cs="Arial"/>
        </w:rPr>
      </w:pPr>
    </w:p>
    <w:p w:rsidR="0050596A" w:rsidRDefault="0050596A" w:rsidP="0050596A">
      <w:pPr>
        <w:autoSpaceDE w:val="0"/>
        <w:autoSpaceDN w:val="0"/>
        <w:adjustRightInd w:val="0"/>
        <w:jc w:val="both"/>
        <w:rPr>
          <w:rFonts w:ascii="Arial" w:hAnsi="Arial" w:cs="Arial"/>
        </w:rPr>
      </w:pPr>
      <w:r w:rsidRPr="0050596A">
        <w:rPr>
          <w:rFonts w:ascii="Arial" w:hAnsi="Arial" w:cs="Arial"/>
        </w:rPr>
        <w:t>Sin embargo, la entrega de información de interés deja al descubierto de la delincuencia organizada en su primer momento una parte proporcional de la capacidad de reacción de la Fiscalía General del Estado, y de forma directa, pondría en conocimiento el total de una Fiscalía de orden Constitucional como es el caso de la Fiscalía Especializada en Materia de Delitos Electorales, es de observar la relevancia de los asuntos que atienden, atendiendo a lo consagrado en el numeral     51 del Reglamento Interno de la Fiscalía General del Estado</w:t>
      </w:r>
    </w:p>
    <w:p w:rsidR="0050596A" w:rsidRPr="00F07B7F" w:rsidRDefault="0050596A" w:rsidP="00F07B7F">
      <w:pPr>
        <w:autoSpaceDE w:val="0"/>
        <w:autoSpaceDN w:val="0"/>
        <w:adjustRightInd w:val="0"/>
        <w:jc w:val="both"/>
        <w:rPr>
          <w:rFonts w:ascii="Arial" w:hAnsi="Arial" w:cs="Arial"/>
        </w:rPr>
      </w:pPr>
    </w:p>
    <w:p w:rsidR="00D9637F" w:rsidRPr="00D9637F" w:rsidRDefault="00045C57" w:rsidP="000E4FF6">
      <w:pPr>
        <w:jc w:val="both"/>
        <w:rPr>
          <w:rFonts w:ascii="Arial" w:hAnsi="Arial" w:cs="Arial"/>
          <w:b/>
        </w:rPr>
      </w:pPr>
      <w:r w:rsidRPr="00D9637F">
        <w:rPr>
          <w:rFonts w:ascii="Arial" w:hAnsi="Arial" w:cs="Arial"/>
          <w:b/>
        </w:rPr>
        <w:t>Fundamentación.</w:t>
      </w:r>
      <w:r w:rsidR="006060DC" w:rsidRPr="00D9637F">
        <w:rPr>
          <w:rFonts w:ascii="Arial" w:hAnsi="Arial" w:cs="Arial"/>
          <w:b/>
        </w:rPr>
        <w:t xml:space="preserve"> </w:t>
      </w:r>
    </w:p>
    <w:p w:rsidR="00D9637F" w:rsidRDefault="00D9637F" w:rsidP="000E4FF6">
      <w:pPr>
        <w:jc w:val="both"/>
        <w:rPr>
          <w:rFonts w:ascii="Arial" w:hAnsi="Arial" w:cs="Arial"/>
        </w:rPr>
      </w:pPr>
    </w:p>
    <w:p w:rsidR="000E4FF6" w:rsidRDefault="000C31D1" w:rsidP="000E4FF6">
      <w:pPr>
        <w:jc w:val="both"/>
        <w:rPr>
          <w:rFonts w:ascii="Arial" w:hAnsi="Arial" w:cs="Arial"/>
        </w:rPr>
      </w:pPr>
      <w:r>
        <w:rPr>
          <w:rFonts w:ascii="Arial" w:hAnsi="Arial" w:cs="Arial"/>
        </w:rPr>
        <w:t xml:space="preserve">Constitución Política de los Estados Unidos Mexicanos artículo 6º, A, I,, 21  102, Constitución Política del Estado de San Luis Potosí artículo 17, III, 88, 122 BIS, </w:t>
      </w:r>
      <w:r w:rsidR="006060DC">
        <w:rPr>
          <w:rFonts w:ascii="Arial" w:hAnsi="Arial" w:cs="Arial"/>
        </w:rPr>
        <w:t>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y Trigésimo segundo, Ley del Sistema de Seguridad Pública del Estado de San Luis Potosí, artículo</w:t>
      </w:r>
      <w:r w:rsidR="008830C5">
        <w:rPr>
          <w:rFonts w:ascii="Arial" w:hAnsi="Arial" w:cs="Arial"/>
        </w:rPr>
        <w:t xml:space="preserve"> 3º, 5º, fracción III, 22, fracción I, incisos c), d), e), XXVI,</w:t>
      </w:r>
      <w:r w:rsidR="00C54783">
        <w:rPr>
          <w:rFonts w:ascii="Arial" w:hAnsi="Arial" w:cs="Arial"/>
        </w:rPr>
        <w:t xml:space="preserve"> </w:t>
      </w:r>
      <w:r w:rsidR="005269BE">
        <w:rPr>
          <w:rFonts w:ascii="Arial" w:hAnsi="Arial" w:cs="Arial"/>
        </w:rPr>
        <w:t xml:space="preserve">56, fracción XXVI, 93, 93 BIS, </w:t>
      </w:r>
      <w:r w:rsidR="000E4FF6">
        <w:rPr>
          <w:rFonts w:ascii="Arial" w:hAnsi="Arial" w:cs="Arial"/>
        </w:rPr>
        <w:t>98, 99, 107</w:t>
      </w:r>
      <w:r w:rsidR="00C54783">
        <w:rPr>
          <w:rFonts w:ascii="Arial" w:hAnsi="Arial" w:cs="Arial"/>
        </w:rPr>
        <w:t xml:space="preserve">. </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lastRenderedPageBreak/>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8402CF" w:rsidRDefault="00C54783" w:rsidP="00C54783">
      <w:pPr>
        <w:autoSpaceDE w:val="0"/>
        <w:autoSpaceDN w:val="0"/>
        <w:adjustRightInd w:val="0"/>
        <w:ind w:right="141"/>
        <w:jc w:val="both"/>
        <w:rPr>
          <w:rFonts w:ascii="Arial" w:hAnsi="Arial" w:cs="Arial"/>
        </w:rPr>
      </w:pPr>
      <w:r>
        <w:rPr>
          <w:rFonts w:ascii="Arial" w:hAnsi="Arial" w:cs="Arial"/>
        </w:rPr>
        <w:t>La presente reserva es de manera total.</w:t>
      </w:r>
    </w:p>
    <w:p w:rsidR="000E4FF6" w:rsidRDefault="000E4FF6" w:rsidP="00C57509">
      <w:pPr>
        <w:autoSpaceDE w:val="0"/>
        <w:autoSpaceDN w:val="0"/>
        <w:adjustRightInd w:val="0"/>
        <w:ind w:left="-284" w:right="141"/>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C31D1">
        <w:rPr>
          <w:rFonts w:ascii="Arial" w:eastAsia="Times New Roman" w:hAnsi="Arial" w:cs="Arial"/>
          <w:b/>
        </w:rPr>
        <w:t>7</w:t>
      </w:r>
      <w:r w:rsidR="009F136E" w:rsidRPr="00B11FCD">
        <w:rPr>
          <w:rFonts w:ascii="Arial" w:eastAsia="Times New Roman" w:hAnsi="Arial" w:cs="Arial"/>
          <w:b/>
        </w:rPr>
        <w:t xml:space="preserve"> de </w:t>
      </w:r>
      <w:r w:rsidR="000C31D1">
        <w:rPr>
          <w:rFonts w:ascii="Arial" w:eastAsia="Times New Roman" w:hAnsi="Arial" w:cs="Arial"/>
          <w:b/>
        </w:rPr>
        <w:t>abril</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54783" w:rsidRDefault="00C54783"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E52D2A">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0C31D1">
        <w:rPr>
          <w:rFonts w:ascii="Arial" w:hAnsi="Arial" w:cs="Arial"/>
          <w:b/>
        </w:rPr>
        <w:t>2</w:t>
      </w:r>
      <w:r w:rsidR="0050596A">
        <w:rPr>
          <w:rFonts w:ascii="Arial" w:hAnsi="Arial" w:cs="Arial"/>
          <w:b/>
        </w:rPr>
        <w:t>5</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C54783">
        <w:rPr>
          <w:rFonts w:ascii="Arial" w:eastAsiaTheme="minorEastAsia" w:hAnsi="Arial" w:cs="Arial"/>
          <w:sz w:val="24"/>
          <w:szCs w:val="24"/>
          <w:lang w:eastAsia="es-ES"/>
        </w:rPr>
        <w:t xml:space="preserve">a la respuesta a la solicitud </w:t>
      </w:r>
      <w:r w:rsidR="00C54783" w:rsidRPr="0050596A">
        <w:rPr>
          <w:rFonts w:ascii="Arial" w:hAnsi="Arial" w:cs="Arial"/>
          <w:b/>
        </w:rPr>
        <w:t>UT-SI-P-</w:t>
      </w:r>
      <w:r w:rsidR="000C31D1" w:rsidRPr="0050596A">
        <w:rPr>
          <w:rFonts w:ascii="Arial" w:hAnsi="Arial" w:cs="Arial"/>
          <w:b/>
        </w:rPr>
        <w:t>1</w:t>
      </w:r>
      <w:r w:rsidR="0050596A" w:rsidRPr="0050596A">
        <w:rPr>
          <w:rFonts w:ascii="Arial" w:hAnsi="Arial" w:cs="Arial"/>
          <w:b/>
        </w:rPr>
        <w:t>71</w:t>
      </w:r>
      <w:r w:rsidR="00C54783" w:rsidRPr="0050596A">
        <w:rPr>
          <w:rFonts w:ascii="Arial" w:hAnsi="Arial" w:cs="Arial"/>
          <w:b/>
        </w:rPr>
        <w:t>-240469825000</w:t>
      </w:r>
      <w:r w:rsidR="000C31D1" w:rsidRPr="0050596A">
        <w:rPr>
          <w:rFonts w:ascii="Arial" w:hAnsi="Arial" w:cs="Arial"/>
          <w:b/>
        </w:rPr>
        <w:t>1</w:t>
      </w:r>
      <w:r w:rsidR="0050596A" w:rsidRPr="0050596A">
        <w:rPr>
          <w:rFonts w:ascii="Arial" w:hAnsi="Arial" w:cs="Arial"/>
          <w:b/>
        </w:rPr>
        <w:t>71</w:t>
      </w:r>
      <w:r w:rsidR="00C54783" w:rsidRPr="0050596A">
        <w:rPr>
          <w:rFonts w:ascii="Arial" w:hAnsi="Arial" w:cs="Arial"/>
          <w:b/>
        </w:rPr>
        <w:t>-2025</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C54783">
        <w:rPr>
          <w:rFonts w:ascii="Arial" w:eastAsiaTheme="minorEastAsia" w:hAnsi="Arial" w:cs="Arial"/>
          <w:sz w:val="24"/>
          <w:szCs w:val="24"/>
          <w:lang w:eastAsia="es-ES"/>
        </w:rPr>
        <w:t>a</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79366539"/>
      <w:r w:rsidRPr="00476EF2">
        <w:rPr>
          <w:rFonts w:ascii="Arial" w:hAnsi="Arial" w:cs="Arial"/>
          <w:b/>
        </w:rPr>
        <w:lastRenderedPageBreak/>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C54783">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0C31D1">
        <w:rPr>
          <w:rFonts w:ascii="Arial" w:hAnsi="Arial" w:cs="Arial"/>
          <w:b/>
        </w:rPr>
        <w:t>2</w:t>
      </w:r>
      <w:r w:rsidR="0050596A">
        <w:rPr>
          <w:rFonts w:ascii="Arial" w:hAnsi="Arial" w:cs="Arial"/>
          <w:b/>
        </w:rPr>
        <w:t>5</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45348C">
        <w:rPr>
          <w:rFonts w:ascii="Arial" w:hAnsi="Arial" w:cs="Arial"/>
        </w:rPr>
        <w:t>al contador público Cesar Isidro Cruz, director General de Administración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45348C">
        <w:rPr>
          <w:rFonts w:ascii="Arial" w:hAnsi="Arial" w:cs="Arial"/>
        </w:rPr>
        <w:t>El contador público Cesar Isidro Cruz, director General de Administración</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0C31D1">
        <w:rPr>
          <w:rFonts w:ascii="Arial" w:hAnsi="Arial" w:cs="Arial"/>
          <w:b/>
        </w:rPr>
        <w:t>3</w:t>
      </w:r>
      <w:r w:rsidR="006C10F8">
        <w:rPr>
          <w:rFonts w:ascii="Arial" w:hAnsi="Arial" w:cs="Arial"/>
          <w:b/>
        </w:rPr>
        <w:t>9</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3"/>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E662E5" w:rsidRDefault="00E662E5" w:rsidP="00E662E5">
      <w:pPr>
        <w:rPr>
          <w:rFonts w:ascii="Arial" w:hAnsi="Arial" w:cs="Arial"/>
          <w:b/>
        </w:rPr>
      </w:pPr>
      <w:r>
        <w:rPr>
          <w:rFonts w:ascii="Arial" w:hAnsi="Arial" w:cs="Arial"/>
          <w:b/>
        </w:rPr>
        <w:t xml:space="preserve">DOCTOR JESÚS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22B0" w:rsidRDefault="00A222B0">
      <w:r>
        <w:separator/>
      </w:r>
    </w:p>
  </w:endnote>
  <w:endnote w:type="continuationSeparator" w:id="0">
    <w:p w:rsidR="00A222B0" w:rsidRDefault="00A22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6D8D" w:rsidRDefault="009D6D8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6D8D" w:rsidRDefault="009D6D8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22B0" w:rsidRDefault="00A222B0">
      <w:r>
        <w:separator/>
      </w:r>
    </w:p>
  </w:footnote>
  <w:footnote w:type="continuationSeparator" w:id="0">
    <w:p w:rsidR="00A222B0" w:rsidRDefault="00A222B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6D8D" w:rsidRDefault="009D6D8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06403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D6D8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06403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-466939</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9D6D8D" w:rsidRPr="009D6D8D">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9D6D8D" w:rsidRPr="009D6D8D">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07B7F">
                            <w:rPr>
                              <w:rFonts w:ascii="Arial" w:hAnsi="Arial" w:cs="Arial"/>
                              <w:color w:val="FFFFFF" w:themeColor="background1"/>
                              <w:sz w:val="18"/>
                              <w:szCs w:val="18"/>
                              <w:lang w:val="es-ES"/>
                            </w:rPr>
                            <w:t>7</w:t>
                          </w:r>
                          <w:r>
                            <w:rPr>
                              <w:rFonts w:ascii="Arial" w:hAnsi="Arial" w:cs="Arial"/>
                              <w:color w:val="FFFFFF" w:themeColor="background1"/>
                              <w:sz w:val="18"/>
                              <w:szCs w:val="18"/>
                              <w:lang w:val="es-ES"/>
                            </w:rPr>
                            <w:t xml:space="preserve"> de </w:t>
                          </w:r>
                          <w:r w:rsidR="00F07B7F">
                            <w:rPr>
                              <w:rFonts w:ascii="Arial" w:hAnsi="Arial" w:cs="Arial"/>
                              <w:color w:val="FFFFFF" w:themeColor="background1"/>
                              <w:sz w:val="18"/>
                              <w:szCs w:val="18"/>
                              <w:lang w:val="es-ES"/>
                            </w:rPr>
                            <w:t>abril</w:t>
                          </w:r>
                          <w:r>
                            <w:rPr>
                              <w:rFonts w:ascii="Arial" w:hAnsi="Arial" w:cs="Arial"/>
                              <w:color w:val="FFFFFF" w:themeColor="background1"/>
                              <w:sz w:val="18"/>
                              <w:szCs w:val="18"/>
                              <w:lang w:val="es-ES"/>
                            </w:rPr>
                            <w:t xml:space="preserve"> 2025. </w:t>
                          </w:r>
                          <w:r w:rsidR="00F07B7F">
                            <w:rPr>
                              <w:rFonts w:ascii="Arial" w:hAnsi="Arial" w:cs="Arial"/>
                              <w:color w:val="FFFFFF" w:themeColor="background1"/>
                              <w:sz w:val="18"/>
                              <w:szCs w:val="18"/>
                            </w:rPr>
                            <w:t>Cuarta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F07B7F">
                            <w:rPr>
                              <w:rFonts w:ascii="Arial" w:hAnsi="Arial" w:cs="Arial"/>
                              <w:color w:val="FFFFFF" w:themeColor="background1"/>
                              <w:sz w:val="18"/>
                              <w:szCs w:val="18"/>
                              <w:lang w:val="es-ES"/>
                            </w:rPr>
                            <w:t>2</w:t>
                          </w:r>
                          <w:r w:rsidR="0050596A">
                            <w:rPr>
                              <w:rFonts w:ascii="Arial" w:hAnsi="Arial" w:cs="Arial"/>
                              <w:color w:val="FFFFFF" w:themeColor="background1"/>
                              <w:sz w:val="18"/>
                              <w:szCs w:val="18"/>
                              <w:lang w:val="es-ES"/>
                            </w:rPr>
                            <w:t>5</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07B7F">
                      <w:rPr>
                        <w:rFonts w:ascii="Arial" w:hAnsi="Arial" w:cs="Arial"/>
                        <w:color w:val="FFFFFF" w:themeColor="background1"/>
                        <w:sz w:val="18"/>
                        <w:szCs w:val="18"/>
                        <w:lang w:val="es-ES"/>
                      </w:rPr>
                      <w:t>7</w:t>
                    </w:r>
                    <w:r>
                      <w:rPr>
                        <w:rFonts w:ascii="Arial" w:hAnsi="Arial" w:cs="Arial"/>
                        <w:color w:val="FFFFFF" w:themeColor="background1"/>
                        <w:sz w:val="18"/>
                        <w:szCs w:val="18"/>
                        <w:lang w:val="es-ES"/>
                      </w:rPr>
                      <w:t xml:space="preserve"> de </w:t>
                    </w:r>
                    <w:r w:rsidR="00F07B7F">
                      <w:rPr>
                        <w:rFonts w:ascii="Arial" w:hAnsi="Arial" w:cs="Arial"/>
                        <w:color w:val="FFFFFF" w:themeColor="background1"/>
                        <w:sz w:val="18"/>
                        <w:szCs w:val="18"/>
                        <w:lang w:val="es-ES"/>
                      </w:rPr>
                      <w:t>abril</w:t>
                    </w:r>
                    <w:r>
                      <w:rPr>
                        <w:rFonts w:ascii="Arial" w:hAnsi="Arial" w:cs="Arial"/>
                        <w:color w:val="FFFFFF" w:themeColor="background1"/>
                        <w:sz w:val="18"/>
                        <w:szCs w:val="18"/>
                        <w:lang w:val="es-ES"/>
                      </w:rPr>
                      <w:t xml:space="preserve"> 2025. </w:t>
                    </w:r>
                    <w:r w:rsidR="00F07B7F">
                      <w:rPr>
                        <w:rFonts w:ascii="Arial" w:hAnsi="Arial" w:cs="Arial"/>
                        <w:color w:val="FFFFFF" w:themeColor="background1"/>
                        <w:sz w:val="18"/>
                        <w:szCs w:val="18"/>
                      </w:rPr>
                      <w:t>Cuarta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F07B7F">
                      <w:rPr>
                        <w:rFonts w:ascii="Arial" w:hAnsi="Arial" w:cs="Arial"/>
                        <w:color w:val="FFFFFF" w:themeColor="background1"/>
                        <w:sz w:val="18"/>
                        <w:szCs w:val="18"/>
                        <w:lang w:val="es-ES"/>
                      </w:rPr>
                      <w:t>2</w:t>
                    </w:r>
                    <w:r w:rsidR="0050596A">
                      <w:rPr>
                        <w:rFonts w:ascii="Arial" w:hAnsi="Arial" w:cs="Arial"/>
                        <w:color w:val="FFFFFF" w:themeColor="background1"/>
                        <w:sz w:val="18"/>
                        <w:szCs w:val="18"/>
                        <w:lang w:val="es-ES"/>
                      </w:rPr>
                      <w:t>5</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6D8D" w:rsidRDefault="009D6D8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06403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E54E91A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2E805D6"/>
    <w:multiLevelType w:val="hybridMultilevel"/>
    <w:tmpl w:val="04F0E9D0"/>
    <w:lvl w:ilvl="0" w:tplc="76FAE4D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10"/>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31D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54A4"/>
    <w:rsid w:val="001F60B7"/>
    <w:rsid w:val="001F71C9"/>
    <w:rsid w:val="001F7332"/>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2863"/>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596A"/>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D64F9"/>
    <w:rsid w:val="005E49F0"/>
    <w:rsid w:val="005E558A"/>
    <w:rsid w:val="005E58AA"/>
    <w:rsid w:val="005E7E7E"/>
    <w:rsid w:val="005F457C"/>
    <w:rsid w:val="005F550E"/>
    <w:rsid w:val="005F7CFE"/>
    <w:rsid w:val="00600D01"/>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70F"/>
    <w:rsid w:val="006B0801"/>
    <w:rsid w:val="006B331C"/>
    <w:rsid w:val="006B4084"/>
    <w:rsid w:val="006B7482"/>
    <w:rsid w:val="006C0831"/>
    <w:rsid w:val="006C10F8"/>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C2"/>
    <w:rsid w:val="00805047"/>
    <w:rsid w:val="00805092"/>
    <w:rsid w:val="008102E8"/>
    <w:rsid w:val="00812BF7"/>
    <w:rsid w:val="00814012"/>
    <w:rsid w:val="00816E9B"/>
    <w:rsid w:val="008235C2"/>
    <w:rsid w:val="00823D57"/>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30C5"/>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1654"/>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6D8D"/>
    <w:rsid w:val="009D7D1C"/>
    <w:rsid w:val="009E1324"/>
    <w:rsid w:val="009E3729"/>
    <w:rsid w:val="009E3C35"/>
    <w:rsid w:val="009E4CCF"/>
    <w:rsid w:val="009F136E"/>
    <w:rsid w:val="009F1F56"/>
    <w:rsid w:val="009F25F5"/>
    <w:rsid w:val="009F61A6"/>
    <w:rsid w:val="009F7723"/>
    <w:rsid w:val="00A00378"/>
    <w:rsid w:val="00A016D5"/>
    <w:rsid w:val="00A027E0"/>
    <w:rsid w:val="00A03060"/>
    <w:rsid w:val="00A11177"/>
    <w:rsid w:val="00A1332F"/>
    <w:rsid w:val="00A142C3"/>
    <w:rsid w:val="00A16087"/>
    <w:rsid w:val="00A16ED9"/>
    <w:rsid w:val="00A20C0F"/>
    <w:rsid w:val="00A21527"/>
    <w:rsid w:val="00A222B0"/>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03E"/>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783"/>
    <w:rsid w:val="00C54B5D"/>
    <w:rsid w:val="00C57509"/>
    <w:rsid w:val="00C60803"/>
    <w:rsid w:val="00C61851"/>
    <w:rsid w:val="00C621B7"/>
    <w:rsid w:val="00C62917"/>
    <w:rsid w:val="00C63027"/>
    <w:rsid w:val="00C70971"/>
    <w:rsid w:val="00C71829"/>
    <w:rsid w:val="00C760CF"/>
    <w:rsid w:val="00C7619C"/>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9637F"/>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2D2A"/>
    <w:rsid w:val="00E57FCA"/>
    <w:rsid w:val="00E6469D"/>
    <w:rsid w:val="00E662E5"/>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07B7F"/>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57AE85-53D9-480C-B56F-78D4E4264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2524</Words>
  <Characters>13884</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6</cp:revision>
  <cp:lastPrinted>2025-04-01T20:50:00Z</cp:lastPrinted>
  <dcterms:created xsi:type="dcterms:W3CDTF">2025-03-28T15:51:00Z</dcterms:created>
  <dcterms:modified xsi:type="dcterms:W3CDTF">2025-04-23T21:56:00Z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