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1385" w:rsidRDefault="006661BC" w:rsidP="006661BC">
      <w:pPr>
        <w:spacing w:after="586" w:line="259" w:lineRule="auto"/>
        <w:ind w:left="0"/>
        <w:jc w:val="left"/>
      </w:pPr>
      <w:r>
        <w:rPr>
          <w:noProof/>
        </w:rPr>
        <mc:AlternateContent>
          <mc:Choice Requires="wps">
            <w:drawing>
              <wp:anchor distT="0" distB="0" distL="114300" distR="114300" simplePos="0" relativeHeight="251661312" behindDoc="0" locked="0" layoutInCell="1" allowOverlap="1">
                <wp:simplePos x="0" y="0"/>
                <wp:positionH relativeFrom="margin">
                  <wp:posOffset>-267279</wp:posOffset>
                </wp:positionH>
                <wp:positionV relativeFrom="paragraph">
                  <wp:posOffset>743578</wp:posOffset>
                </wp:positionV>
                <wp:extent cx="6873072" cy="6219734"/>
                <wp:effectExtent l="0" t="0" r="4445" b="0"/>
                <wp:wrapNone/>
                <wp:docPr id="3" name="Cuadro de texto 3"/>
                <wp:cNvGraphicFramePr/>
                <a:graphic xmlns:a="http://schemas.openxmlformats.org/drawingml/2006/main">
                  <a:graphicData uri="http://schemas.microsoft.com/office/word/2010/wordprocessingShape">
                    <wps:wsp>
                      <wps:cNvSpPr txBox="1"/>
                      <wps:spPr>
                        <a:xfrm>
                          <a:off x="0" y="0"/>
                          <a:ext cx="6873072" cy="6219734"/>
                        </a:xfrm>
                        <a:prstGeom prst="rect">
                          <a:avLst/>
                        </a:prstGeom>
                        <a:solidFill>
                          <a:schemeClr val="lt1"/>
                        </a:solidFill>
                        <a:ln w="6350">
                          <a:noFill/>
                        </a:ln>
                      </wps:spPr>
                      <wps:txbx>
                        <w:txbxContent>
                          <w:p w:rsidR="006661BC" w:rsidRDefault="006661BC" w:rsidP="006661BC">
                            <w:pPr>
                              <w:ind w:left="0"/>
                              <w:jc w:val="left"/>
                            </w:pPr>
                            <w:r>
                              <w:t xml:space="preserve">                              </w:t>
                            </w:r>
                            <w:r w:rsidRPr="006661BC">
                              <w:rPr>
                                <w:b/>
                              </w:rPr>
                              <w:t xml:space="preserve">Artículo 84 fracción XLVIII     </w:t>
                            </w:r>
                            <w:r>
                              <w:t xml:space="preserve">                                                                                                       La Secretaría de Finanzas a la fecha no genera información respecto a la facultad de destinar recursos públicos para este rubro, ya que no se encuentra estipulado dentro de las funciones señaladas por el artículo 33 de la Ley Orgánica de la Administración Pública del Estado ni en el reglamento interior. Por lo que de conformidad con el artículo  84 fracción XLVIII de la Ley de Transparencia y Acceso a la Información Pública en el Estado en concordancia con el lineamiento </w:t>
                            </w:r>
                            <w:r w:rsidR="0067072E" w:rsidRPr="0067072E">
                              <w:t>sexagésimo tercero</w:t>
                            </w:r>
                            <w:r w:rsidR="0067072E">
                              <w:t xml:space="preserve"> </w:t>
                            </w:r>
                            <w:bookmarkStart w:id="0" w:name="_GoBack"/>
                            <w:bookmarkEnd w:id="0"/>
                            <w:r>
                              <w:t>de los Lineamientos Estatales para la Difusión, Disposición y Evaluación de las Obligaciones de Transparencia Comunes y Específicas, se informa que los campos que comprenden esas disposiciones fueron llenados con la finalidad de respetar el formato de las celdas según se solicita en los citados lineamientos.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21.05pt;margin-top:58.55pt;width:541.2pt;height:489.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" fillcolor="white [3201]" stroked="f" strokeweight=".5pt">
                <v:textbox>
                  <w:txbxContent>
                    <w:p w:rsidR="006661BC" w:rsidRDefault="006661BC" w:rsidP="006661BC">
                      <w:pPr>
                        <w:ind w:left="0"/>
                        <w:jc w:val="left"/>
                      </w:pPr>
                      <w:r>
                        <w:t xml:space="preserve">                              </w:t>
                      </w:r>
                      <w:r w:rsidRPr="006661BC">
                        <w:rPr>
                          <w:b/>
                        </w:rPr>
                        <w:t xml:space="preserve">Artículo 84 fracción XLVIII     </w:t>
                      </w:r>
                      <w:r>
                        <w:t xml:space="preserve">                                                                                                       La Secretaría de Finanzas a la fecha no genera información respecto a la facultad de destinar recursos públicos para este rubro, ya que no se encuentra estipulado dentro de las funciones señaladas por el artículo 33 de la Ley Orgánica de la Administración Pública del Estado ni en el reglamento interior. Por lo que de conformidad con el artículo  84 fracción XLVIII de la Ley de Transparencia y Acceso a la Información Pública en el Estado en concordancia con el lineamiento </w:t>
                      </w:r>
                      <w:r w:rsidR="0067072E" w:rsidRPr="0067072E">
                        <w:t>sexagésimo tercero</w:t>
                      </w:r>
                      <w:r w:rsidR="0067072E">
                        <w:t xml:space="preserve"> </w:t>
                      </w:r>
                      <w:bookmarkStart w:id="1" w:name="_GoBack"/>
                      <w:bookmarkEnd w:id="1"/>
                      <w:r>
                        <w:t>de los Lineamientos Estatales para la Difusión, Disposición y Evaluación de las Obligaciones de Transparencia Comunes y Específicas, se informa que los campos que comprenden esas disposiciones fueron llenados con la finalidad de respetar el formato de las celdas según se solicita en los citados lineamientos.</w:t>
                      </w:r>
                    </w:p>
                  </w:txbxContent>
                </v:textbox>
                <w10:wrap anchorx="margin"/>
              </v:shape>
            </w:pict>
          </mc:Fallback>
        </mc:AlternateContent>
      </w:r>
      <w:r>
        <w:rPr>
          <w:noProof/>
        </w:rPr>
        <w:drawing>
          <wp:anchor distT="0" distB="0" distL="114300" distR="114300" simplePos="0" relativeHeight="251658240" behindDoc="1" locked="0" layoutInCell="1" allowOverlap="0" wp14:anchorId="77C4D228" wp14:editId="54BF394C">
            <wp:simplePos x="0" y="0"/>
            <wp:positionH relativeFrom="page">
              <wp:align>right</wp:align>
            </wp:positionH>
            <wp:positionV relativeFrom="paragraph">
              <wp:posOffset>-915670</wp:posOffset>
            </wp:positionV>
            <wp:extent cx="7772400" cy="10055352"/>
            <wp:effectExtent l="0" t="0" r="0" b="3175"/>
            <wp:wrapNone/>
            <wp:docPr id="571" name="Picture 571"/>
            <wp:cNvGraphicFramePr/>
            <a:graphic xmlns:a="http://schemas.openxmlformats.org/drawingml/2006/main">
              <a:graphicData uri="http://schemas.openxmlformats.org/drawingml/2006/picture">
                <pic:pic xmlns:pic="http://schemas.openxmlformats.org/drawingml/2006/picture">
                  <pic:nvPicPr>
                    <pic:cNvPr id="571" name="Picture 571"/>
                    <pic:cNvPicPr/>
                  </pic:nvPicPr>
                  <pic:blipFill>
                    <a:blip r:embed="rId7"/>
                    <a:stretch>
                      <a:fillRect/>
                    </a:stretch>
                  </pic:blipFill>
                  <pic:spPr>
                    <a:xfrm>
                      <a:off x="0" y="0"/>
                      <a:ext cx="7772400" cy="10055352"/>
                    </a:xfrm>
                    <a:prstGeom prst="rect">
                      <a:avLst/>
                    </a:prstGeom>
                  </pic:spPr>
                </pic:pic>
              </a:graphicData>
            </a:graphic>
          </wp:anchor>
        </w:drawing>
      </w:r>
      <w:r>
        <w:rPr>
          <w:rFonts w:ascii="Courier New" w:eastAsia="Courier New" w:hAnsi="Courier New" w:cs="Courier New"/>
          <w:b/>
          <w:noProof/>
          <w:sz w:val="14"/>
        </w:rPr>
        <mc:AlternateContent>
          <mc:Choice Requires="wps">
            <w:drawing>
              <wp:anchor distT="0" distB="0" distL="114300" distR="114300" simplePos="0" relativeHeight="251660288" behindDoc="0" locked="0" layoutInCell="1" allowOverlap="1" wp14:anchorId="79BBE824" wp14:editId="38C5AACF">
                <wp:simplePos x="0" y="0"/>
                <wp:positionH relativeFrom="margin">
                  <wp:align>left</wp:align>
                </wp:positionH>
                <wp:positionV relativeFrom="paragraph">
                  <wp:posOffset>8801100</wp:posOffset>
                </wp:positionV>
                <wp:extent cx="7562850" cy="228600"/>
                <wp:effectExtent l="0" t="0" r="0" b="0"/>
                <wp:wrapNone/>
                <wp:docPr id="2" name="Cuadro de texto 2"/>
                <wp:cNvGraphicFramePr/>
                <a:graphic xmlns:a="http://schemas.openxmlformats.org/drawingml/2006/main">
                  <a:graphicData uri="http://schemas.microsoft.com/office/word/2010/wordprocessingShape">
                    <wps:wsp>
                      <wps:cNvSpPr txBox="1"/>
                      <wps:spPr>
                        <a:xfrm>
                          <a:off x="0" y="0"/>
                          <a:ext cx="7562850" cy="228600"/>
                        </a:xfrm>
                        <a:prstGeom prst="rect">
                          <a:avLst/>
                        </a:prstGeom>
                        <a:solidFill>
                          <a:schemeClr val="lt1"/>
                        </a:solidFill>
                        <a:ln w="6350">
                          <a:noFill/>
                        </a:ln>
                      </wps:spPr>
                      <wps:txbx>
                        <w:txbxContent>
                          <w:p w:rsidR="006661BC" w:rsidRDefault="006661BC" w:rsidP="006661BC">
                            <w:pPr>
                              <w:ind w:left="0"/>
                            </w:pPr>
                            <w:r>
                              <w:rPr>
                                <w:rFonts w:ascii="Courier New" w:eastAsia="Courier New" w:hAnsi="Courier New" w:cs="Courier New"/>
                                <w:b/>
                                <w:sz w:val="14"/>
                              </w:rPr>
                              <w:t>Francisco I. Madero No.100, Col. Centro, San Luis Potosí, S.L.P., C.P. 78000                     slp.gob.mx/finanzas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BBE824" id="Cuadro de texto 2" o:spid="_x0000_s1027" type="#_x0000_t202" style="position:absolute;margin-left:0;margin-top:693pt;width:595.5pt;height:18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" fillcolor="white [3201]" stroked="f" strokeweight=".5pt">
                <v:textbox>
                  <w:txbxContent>
                    <w:p w:rsidR="006661BC" w:rsidRDefault="006661BC" w:rsidP="006661BC">
                      <w:pPr>
                        <w:ind w:left="0"/>
                      </w:pPr>
                      <w:r>
                        <w:rPr>
                          <w:rFonts w:ascii="Courier New" w:eastAsia="Courier New" w:hAnsi="Courier New" w:cs="Courier New"/>
                          <w:b/>
                          <w:sz w:val="14"/>
                        </w:rPr>
                        <w:t>Francisco I. Madero No.100, Col. Centro, San Luis Potosí, S.L.P., C.P. 78000                     slp.gob.mx/finanzas</w:t>
                      </w:r>
                    </w:p>
                  </w:txbxContent>
                </v:textbox>
                <w10:wrap anchorx="margin"/>
              </v:shape>
            </w:pict>
          </mc:Fallback>
        </mc:AlternateContent>
      </w:r>
      <w:r>
        <w:rPr>
          <w:sz w:val="24"/>
        </w:rPr>
        <w:tab/>
        <w:t xml:space="preserve"> </w:t>
      </w:r>
      <w:r>
        <w:rPr>
          <w:sz w:val="24"/>
        </w:rPr>
        <w:tab/>
        <w:t xml:space="preserve"> </w:t>
      </w:r>
      <w:r>
        <w:rPr>
          <w:sz w:val="24"/>
        </w:rPr>
        <w:tab/>
        <w:t xml:space="preserve"> </w:t>
      </w:r>
      <w:r>
        <w:rPr>
          <w:sz w:val="24"/>
        </w:rPr>
        <w:tab/>
      </w:r>
      <w:r>
        <w:rPr>
          <w:sz w:val="12"/>
        </w:rPr>
        <w:t xml:space="preserve"> </w:t>
      </w:r>
    </w:p>
    <w:sectPr w:rsidR="00B11385">
      <w:pgSz w:w="12240" w:h="15840"/>
      <w:pgMar w:top="1440" w:right="1130" w:bottom="144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1BC1" w:rsidRDefault="00F31BC1" w:rsidP="006661BC">
      <w:pPr>
        <w:spacing w:after="0" w:line="240" w:lineRule="auto"/>
      </w:pPr>
      <w:r>
        <w:separator/>
      </w:r>
    </w:p>
  </w:endnote>
  <w:endnote w:type="continuationSeparator" w:id="0">
    <w:p w:rsidR="00F31BC1" w:rsidRDefault="00F31BC1" w:rsidP="006661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1BC1" w:rsidRDefault="00F31BC1" w:rsidP="006661BC">
      <w:pPr>
        <w:spacing w:after="0" w:line="240" w:lineRule="auto"/>
      </w:pPr>
      <w:r>
        <w:separator/>
      </w:r>
    </w:p>
  </w:footnote>
  <w:footnote w:type="continuationSeparator" w:id="0">
    <w:p w:rsidR="00F31BC1" w:rsidRDefault="00F31BC1" w:rsidP="006661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385"/>
    <w:rsid w:val="006661BC"/>
    <w:rsid w:val="0067072E"/>
    <w:rsid w:val="00B11385"/>
    <w:rsid w:val="00D83E98"/>
    <w:rsid w:val="00F31B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67E9C"/>
  <w15:docId w15:val="{D36BFB5E-822D-4ECC-85B4-E63ED2FC3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24" w:line="275" w:lineRule="auto"/>
      <w:ind w:left="427"/>
      <w:jc w:val="both"/>
    </w:pPr>
    <w:rPr>
      <w:rFonts w:ascii="Calibri" w:eastAsia="Calibri" w:hAnsi="Calibri" w:cs="Calibri"/>
      <w:color w:val="000000"/>
      <w:sz w:val="4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661B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661BC"/>
    <w:rPr>
      <w:rFonts w:ascii="Calibri" w:eastAsia="Calibri" w:hAnsi="Calibri" w:cs="Calibri"/>
      <w:color w:val="000000"/>
      <w:sz w:val="40"/>
    </w:rPr>
  </w:style>
  <w:style w:type="paragraph" w:styleId="Piedepgina">
    <w:name w:val="footer"/>
    <w:basedOn w:val="Normal"/>
    <w:link w:val="PiedepginaCar"/>
    <w:uiPriority w:val="99"/>
    <w:unhideWhenUsed/>
    <w:rsid w:val="006661B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661BC"/>
    <w:rPr>
      <w:rFonts w:ascii="Calibri" w:eastAsia="Calibri" w:hAnsi="Calibri" w:cs="Calibri"/>
      <w:color w:val="000000"/>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B32096-F89A-42BF-9437-6FB97C5C8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Words>
  <Characters>11</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cp:lastModifiedBy>Diana Laura Valtierra Franco</cp:lastModifiedBy>
  <cp:revision>3</cp:revision>
  <dcterms:created xsi:type="dcterms:W3CDTF">2023-11-03T20:18:00Z</dcterms:created>
  <dcterms:modified xsi:type="dcterms:W3CDTF">2023-11-03T20:18:00Z</dcterms:modified>
</cp:coreProperties>
</file>