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78BA" w:rsidRPr="003E62B2" w:rsidRDefault="003E62B2" w:rsidP="003E62B2">
      <w:pPr>
        <w:jc w:val="both"/>
        <w:rPr>
          <w:b/>
          <w:sz w:val="24"/>
          <w:szCs w:val="24"/>
        </w:rPr>
      </w:pPr>
      <w:r w:rsidRPr="003E62B2">
        <w:rPr>
          <w:b/>
          <w:sz w:val="24"/>
          <w:szCs w:val="24"/>
        </w:rPr>
        <w:t>Este sujeto obligado sí está facultado para generar la información requerida. De conformidad a lo establecido en los artículos 36 y 37 de la Ley Orgánica de la Fiscalía General del Estado de San Luis Potosí, en el período reportado no se generaron sanciones administrativas que reportar, lo anterior al no actualizarse las hipótesis normativas establecid</w:t>
      </w:r>
      <w:r w:rsidR="00AB33E5">
        <w:rPr>
          <w:b/>
          <w:sz w:val="24"/>
          <w:szCs w:val="24"/>
        </w:rPr>
        <w:t xml:space="preserve">as en los arábigos 74, 76, 205 </w:t>
      </w:r>
      <w:bookmarkStart w:id="0" w:name="_GoBack"/>
      <w:bookmarkEnd w:id="0"/>
      <w:r w:rsidRPr="003E62B2">
        <w:rPr>
          <w:b/>
          <w:sz w:val="24"/>
          <w:szCs w:val="24"/>
        </w:rPr>
        <w:t xml:space="preserve">de la Ley de Responsabilidades Administrativas del Estado y Municipios de San Luis Potosí por lo que el formato fue llenado a fin de respetar el formato de celdas, en el siguiente sentido: En las columnas D, E, F, I, J, K, L, M, O, R, y S; se estableció la leyenda “no se generó”; en la columna G y N se eligió una opción ya predeterminada por el formato, en las Columnas H, P, T, U, Z y AA se eligió el número 0; y en las columnas Q, V, W y AB se estableció 00/00/0000 cuando no establece fecha. A continuación se transcriben los artículos señalados con anterioridad.  LEY ORGÁNICA DE LA FISCALÍA GENERAL DEL ESTADO DE SAN LUIS POTOSÍ. ARTÍCULO 36. 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ARTÍCULO 37.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  LEY DE RESPONSABILIDADES ADMINISTRATIVAS DEL ESTADO Y MUNICIPIOS DE SAN LUIS POTOSÍ. ARTÍCULO 74. En los casos de responsabilidades administrativas por faltas de las catalogadas como no graves, las contralorías o los órganos internos de control impondrán las sanciones administrativas siguientes: I.  Amonestación privada o pública; II. Suspensión del empleo, cargo o comisión; III. Destitución del empleo, cargo o comisión, y IV. Inhabilitación temporal para desempeñar empleos, cargos o comisiones en el </w:t>
      </w:r>
      <w:r w:rsidRPr="003E62B2">
        <w:rPr>
          <w:b/>
          <w:sz w:val="24"/>
          <w:szCs w:val="24"/>
        </w:rPr>
        <w:lastRenderedPageBreak/>
        <w:t>servicio público y para participar en adquisiciones, arrendamientos, servicios u obras públicas. Las contralorías y los órganos internos de control podrán imponer una o más de las sanciones administrativas señaladas en este artículo, siempre y cuando sean compatibles entre ellas y de acuerdo a la trascendencia de la falta administrativa no grave. La suspensión del empleo, cargo o comisión que se imponga por las contralorías o los órganos internos de control, podrá ser de uno a treinta días naturales y serán ejecutadas por el titular o servidor público competente del ente público correspondiente. En caso de que las contralorías o los órganos internos de control impongan como sanción la inhabilitación temporal, ésta no será menor de tres meses ni podrá exceder de un año y serán ejecutadas en los términos de la resolución dictada. ARTÍCULO 76. Corresponde a las contralorías o a los órganos internos de control imponer las sanciones por faltas administrativas no graves, y ejecutarlas o proveer las instrucciones conducentes a su ejecución. Las contralorías o los órganos internos de control podrán abstenerse de imponer la sanción que corresponda siempre que el servidor público: I. No haya sido sancionado previamente por la misma falta administrativa no grave, y II. No haya actuado de forma dolosa. Las contralorías o los órganos internos de control dejarán constancia de la no imposición de la sanción a que se refiere el párrafo anterior. ARTÍCULO 205. Las resoluciones se considerarán que han quedado firmes, cuando transcurridos los plazos previstos en esta Ley, no se haya interpuesto en su contra recurso alguno; o bien, desde su emisión, cuando no proceda contra ellas recurso o medio ordinario de defensa.</w:t>
      </w:r>
    </w:p>
    <w:sectPr w:rsidR="00FE78BA" w:rsidRPr="003E62B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2B2"/>
    <w:rsid w:val="003E62B2"/>
    <w:rsid w:val="00AB33E5"/>
    <w:rsid w:val="00FE78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0E2B5"/>
  <w15:chartTrackingRefBased/>
  <w15:docId w15:val="{EDF9B712-F143-42FF-A6BB-B59AA77E8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821</Words>
  <Characters>4519</Characters>
  <Application>Microsoft Office Word</Application>
  <DocSecurity>0</DocSecurity>
  <Lines>37</Lines>
  <Paragraphs>10</Paragraphs>
  <ScaleCrop>false</ScaleCrop>
  <Company/>
  <LinksUpToDate>false</LinksUpToDate>
  <CharactersWithSpaces>5330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2</cp:revision>
  <dcterms:created xsi:type="dcterms:W3CDTF">2025-03-03T16:16:00Z</dcterms:created>
  <dcterms:modified xsi:type="dcterms:W3CDTF">2025-03-03T16:19:00Z</dcterms:modified>
</cp:coreProperties>
</file>