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564CAF2B"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403C89">
        <w:rPr>
          <w:rFonts w:ascii="AvantGarde Bk BT" w:hAnsi="AvantGarde Bk BT" w:cs="Arial"/>
          <w:b/>
          <w:color w:val="000000" w:themeColor="text1"/>
          <w:sz w:val="24"/>
          <w:szCs w:val="24"/>
        </w:rPr>
        <w:t>1</w:t>
      </w:r>
      <w:r w:rsidR="000D6CBC">
        <w:rPr>
          <w:rFonts w:ascii="AvantGarde Bk BT" w:hAnsi="AvantGarde Bk BT" w:cs="Arial"/>
          <w:b/>
          <w:color w:val="000000" w:themeColor="text1"/>
          <w:sz w:val="24"/>
          <w:szCs w:val="24"/>
        </w:rPr>
        <w:t>2</w:t>
      </w:r>
      <w:r w:rsidR="0071449C">
        <w:rPr>
          <w:rFonts w:ascii="AvantGarde Bk BT" w:hAnsi="AvantGarde Bk BT" w:cs="Arial"/>
          <w:b/>
          <w:color w:val="000000" w:themeColor="text1"/>
          <w:sz w:val="24"/>
          <w:szCs w:val="24"/>
        </w:rPr>
        <w:t>8</w:t>
      </w:r>
      <w:r w:rsidR="00DC599F">
        <w:rPr>
          <w:rFonts w:ascii="AvantGarde Bk BT" w:hAnsi="AvantGarde Bk BT" w:cs="Arial"/>
          <w:b/>
          <w:color w:val="000000" w:themeColor="text1"/>
          <w:sz w:val="24"/>
          <w:szCs w:val="24"/>
        </w:rPr>
        <w:t>3</w:t>
      </w:r>
      <w:r w:rsidR="00126008">
        <w:rPr>
          <w:rFonts w:ascii="AvantGarde Bk BT" w:hAnsi="AvantGarde Bk BT" w:cs="Arial"/>
          <w:b/>
          <w:color w:val="000000" w:themeColor="text1"/>
          <w:sz w:val="24"/>
          <w:szCs w:val="24"/>
        </w:rPr>
        <w:t>/</w:t>
      </w:r>
      <w:r w:rsidR="00C74C57">
        <w:rPr>
          <w:rFonts w:ascii="AvantGarde Bk BT" w:hAnsi="AvantGarde Bk BT" w:cs="Arial"/>
          <w:b/>
          <w:color w:val="000000" w:themeColor="text1"/>
          <w:sz w:val="24"/>
          <w:szCs w:val="24"/>
        </w:rPr>
        <w:t>2024</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02ACE117" w:rsidR="0004274F" w:rsidRPr="007C5605" w:rsidRDefault="00DC599F"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CONSEJO POTOSINO DE CIENCIA Y TECNOLOGÍA</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1DEFA1FC"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DC599F">
        <w:rPr>
          <w:rFonts w:ascii="AvantGarde Bk BT" w:hAnsi="AvantGarde Bk BT" w:cs="Arial"/>
          <w:color w:val="000000" w:themeColor="text1"/>
          <w:sz w:val="24"/>
          <w:szCs w:val="24"/>
        </w:rPr>
        <w:t>seis de noviembre</w:t>
      </w:r>
      <w:r w:rsidR="005015C3">
        <w:rPr>
          <w:rFonts w:ascii="AvantGarde Bk BT" w:hAnsi="AvantGarde Bk BT" w:cs="Arial"/>
          <w:color w:val="000000" w:themeColor="text1"/>
          <w:sz w:val="24"/>
          <w:szCs w:val="24"/>
        </w:rPr>
        <w:t xml:space="preserve"> de dos mil ve</w:t>
      </w:r>
      <w:r w:rsidR="000B2A56">
        <w:rPr>
          <w:rFonts w:ascii="AvantGarde Bk BT" w:hAnsi="AvantGarde Bk BT" w:cs="Arial"/>
          <w:color w:val="000000" w:themeColor="text1"/>
          <w:sz w:val="24"/>
          <w:szCs w:val="24"/>
        </w:rPr>
        <w:t>i</w:t>
      </w:r>
      <w:r w:rsidR="005015C3">
        <w:rPr>
          <w:rFonts w:ascii="AvantGarde Bk BT" w:hAnsi="AvantGarde Bk BT" w:cs="Arial"/>
          <w:color w:val="000000" w:themeColor="text1"/>
          <w:sz w:val="24"/>
          <w:szCs w:val="24"/>
        </w:rPr>
        <w:t>nticuatro</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61D64D70"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DC599F">
        <w:rPr>
          <w:rFonts w:ascii="AvantGarde Bk BT" w:hAnsi="AvantGarde Bk BT" w:cs="Arial"/>
          <w:color w:val="000000" w:themeColor="text1"/>
          <w:sz w:val="24"/>
          <w:szCs w:val="24"/>
        </w:rPr>
        <w:t>veintinueve</w:t>
      </w:r>
      <w:r w:rsidR="0071449C">
        <w:rPr>
          <w:rFonts w:ascii="AvantGarde Bk BT" w:hAnsi="AvantGarde Bk BT" w:cs="Arial"/>
          <w:color w:val="000000" w:themeColor="text1"/>
          <w:sz w:val="24"/>
          <w:szCs w:val="24"/>
        </w:rPr>
        <w:t xml:space="preserve"> de </w:t>
      </w:r>
      <w:r w:rsidR="00DC599F">
        <w:rPr>
          <w:rFonts w:ascii="AvantGarde Bk BT" w:hAnsi="AvantGarde Bk BT" w:cs="Arial"/>
          <w:color w:val="000000" w:themeColor="text1"/>
          <w:sz w:val="24"/>
          <w:szCs w:val="24"/>
        </w:rPr>
        <w:t>julio</w:t>
      </w:r>
      <w:r w:rsidR="00943B03">
        <w:rPr>
          <w:rFonts w:ascii="AvantGarde Bk BT" w:hAnsi="AvantGarde Bk BT" w:cs="Arial"/>
          <w:color w:val="000000" w:themeColor="text1"/>
          <w:sz w:val="24"/>
          <w:szCs w:val="24"/>
        </w:rPr>
        <w:t xml:space="preserve"> de dos mil veinticuatro</w:t>
      </w:r>
      <w:r w:rsidR="00EE5D0F">
        <w:rPr>
          <w:rFonts w:ascii="AvantGarde Bk BT" w:hAnsi="AvantGarde Bk BT" w:cs="Arial"/>
          <w:color w:val="000000" w:themeColor="text1"/>
          <w:sz w:val="24"/>
          <w:szCs w:val="24"/>
        </w:rPr>
        <w:t xml:space="preserve"> </w:t>
      </w:r>
      <w:r w:rsidR="00DC599F">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DC599F">
        <w:rPr>
          <w:rFonts w:ascii="AvantGarde Bk BT" w:hAnsi="AvantGarde Bk BT" w:cs="Arial"/>
          <w:b/>
          <w:color w:val="000000" w:themeColor="text1"/>
          <w:sz w:val="24"/>
          <w:szCs w:val="24"/>
        </w:rPr>
        <w:t>CONSEJO POTOSINO DE CIENCIA Y TECNOLOGÍA</w:t>
      </w:r>
      <w:r w:rsidR="00782429">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misma que </w:t>
      </w:r>
      <w:r w:rsidR="00C56E66">
        <w:rPr>
          <w:rFonts w:ascii="AvantGarde Bk BT" w:hAnsi="AvantGarde Bk BT" w:cs="Arial"/>
          <w:color w:val="000000" w:themeColor="text1"/>
          <w:sz w:val="24"/>
          <w:szCs w:val="24"/>
        </w:rPr>
        <w:t xml:space="preserve">fue presentada a través </w:t>
      </w:r>
      <w:r w:rsidR="000B2A56">
        <w:rPr>
          <w:rFonts w:ascii="AvantGarde Bk BT" w:hAnsi="AvantGarde Bk BT" w:cs="Arial"/>
          <w:color w:val="000000" w:themeColor="text1"/>
          <w:sz w:val="24"/>
          <w:szCs w:val="24"/>
        </w:rPr>
        <w:t xml:space="preserve">de </w:t>
      </w:r>
      <w:r w:rsidR="00943B03">
        <w:rPr>
          <w:rFonts w:ascii="AvantGarde Bk BT" w:hAnsi="AvantGarde Bk BT" w:cs="Arial"/>
          <w:color w:val="000000" w:themeColor="text1"/>
          <w:sz w:val="24"/>
          <w:szCs w:val="24"/>
        </w:rPr>
        <w:t xml:space="preserve">la Plataforma Nacional de </w:t>
      </w:r>
      <w:r w:rsidR="0063328B">
        <w:rPr>
          <w:rFonts w:ascii="AvantGarde Bk BT" w:hAnsi="AvantGarde Bk BT" w:cs="Arial"/>
          <w:color w:val="000000" w:themeColor="text1"/>
          <w:sz w:val="24"/>
          <w:szCs w:val="24"/>
        </w:rPr>
        <w:t>Transparencia</w:t>
      </w:r>
      <w:r w:rsidR="00DC599F">
        <w:rPr>
          <w:rFonts w:ascii="AvantGarde Bk BT" w:hAnsi="AvantGarde Bk BT" w:cs="Arial"/>
          <w:color w:val="000000" w:themeColor="text1"/>
          <w:sz w:val="24"/>
          <w:szCs w:val="24"/>
        </w:rPr>
        <w:t xml:space="preserve"> y quedó registrada con el número de folio: 240467824000010</w:t>
      </w:r>
      <w:r w:rsidR="0063328B">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Visible de foja </w:t>
      </w:r>
      <w:r w:rsidR="00DC599F">
        <w:rPr>
          <w:rFonts w:ascii="AvantGarde Bk BT" w:hAnsi="AvantGarde Bk BT" w:cs="Arial"/>
          <w:color w:val="000000" w:themeColor="text1"/>
          <w:sz w:val="24"/>
          <w:szCs w:val="24"/>
        </w:rPr>
        <w:t>06</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6E0B267D" w14:textId="6054F17F" w:rsidR="00CB72BB" w:rsidRPr="00CB72BB"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BF06D1" w:rsidRPr="003E53AD">
        <w:rPr>
          <w:rFonts w:ascii="AvantGarde Bk BT" w:hAnsi="AvantGarde Bk BT" w:cs="Arial"/>
          <w:b/>
          <w:color w:val="000000" w:themeColor="text1"/>
          <w:sz w:val="24"/>
          <w:szCs w:val="24"/>
        </w:rPr>
        <w:t>Respuesta</w:t>
      </w:r>
      <w:r w:rsidR="00BF06D1">
        <w:rPr>
          <w:rFonts w:ascii="AvantGarde Bk BT" w:hAnsi="AvantGarde Bk BT" w:cs="Arial"/>
          <w:b/>
          <w:color w:val="000000" w:themeColor="text1"/>
          <w:sz w:val="24"/>
          <w:szCs w:val="24"/>
        </w:rPr>
        <w:t xml:space="preserve"> a la solicitud</w:t>
      </w:r>
      <w:r w:rsidR="00BF06D1" w:rsidRPr="003E53AD">
        <w:rPr>
          <w:rFonts w:ascii="AvantGarde Bk BT" w:hAnsi="AvantGarde Bk BT" w:cs="Arial"/>
          <w:b/>
          <w:color w:val="000000" w:themeColor="text1"/>
          <w:sz w:val="24"/>
          <w:szCs w:val="24"/>
        </w:rPr>
        <w:t xml:space="preserve">. </w:t>
      </w:r>
      <w:r w:rsidR="00DC599F">
        <w:rPr>
          <w:rFonts w:ascii="AvantGarde Bk BT" w:hAnsi="AvantGarde Bk BT" w:cs="Arial"/>
          <w:color w:val="000000" w:themeColor="text1"/>
          <w:sz w:val="24"/>
          <w:szCs w:val="24"/>
        </w:rPr>
        <w:t>El</w:t>
      </w:r>
      <w:r w:rsidR="00BF06D1" w:rsidRPr="003E53AD">
        <w:rPr>
          <w:rFonts w:ascii="AvantGarde Bk BT" w:hAnsi="AvantGarde Bk BT" w:cs="Arial"/>
          <w:color w:val="000000" w:themeColor="text1"/>
          <w:sz w:val="24"/>
          <w:szCs w:val="24"/>
        </w:rPr>
        <w:t xml:space="preserve"> </w:t>
      </w:r>
      <w:r w:rsidR="00DC599F">
        <w:rPr>
          <w:rFonts w:ascii="AvantGarde Bk BT" w:hAnsi="AvantGarde Bk BT" w:cs="Arial"/>
          <w:b/>
          <w:color w:val="000000" w:themeColor="text1"/>
          <w:sz w:val="24"/>
          <w:szCs w:val="24"/>
        </w:rPr>
        <w:t>CONSEJO POTOSINO DE CIENCIA Y TECNOLOGÍA</w:t>
      </w:r>
      <w:r w:rsidR="00BF06D1" w:rsidRPr="00F56862">
        <w:rPr>
          <w:rFonts w:ascii="AvantGarde Bk BT" w:hAnsi="AvantGarde Bk BT" w:cs="Arial"/>
          <w:color w:val="000000" w:themeColor="text1"/>
          <w:sz w:val="24"/>
          <w:szCs w:val="24"/>
        </w:rPr>
        <w:t xml:space="preserve"> dio contestación a la solicitud de información el </w:t>
      </w:r>
      <w:r w:rsidR="00DC599F">
        <w:rPr>
          <w:rFonts w:ascii="AvantGarde Bk BT" w:hAnsi="AvantGarde Bk BT" w:cs="Arial"/>
          <w:color w:val="000000" w:themeColor="text1"/>
          <w:sz w:val="24"/>
          <w:szCs w:val="24"/>
        </w:rPr>
        <w:t>trece de agosto</w:t>
      </w:r>
      <w:r w:rsidR="00BF06D1" w:rsidRPr="00F56862">
        <w:rPr>
          <w:rFonts w:ascii="AvantGarde Bk BT" w:hAnsi="AvantGarde Bk BT" w:cs="Arial"/>
          <w:color w:val="000000" w:themeColor="text1"/>
          <w:sz w:val="24"/>
          <w:szCs w:val="24"/>
        </w:rPr>
        <w:t xml:space="preserve"> de dos mi</w:t>
      </w:r>
      <w:r w:rsidR="00DC599F">
        <w:rPr>
          <w:rFonts w:ascii="AvantGarde Bk BT" w:hAnsi="AvantGarde Bk BT" w:cs="Arial"/>
          <w:color w:val="000000" w:themeColor="text1"/>
          <w:sz w:val="24"/>
          <w:szCs w:val="24"/>
        </w:rPr>
        <w:t>l veinticuatro. (Visible a foja</w:t>
      </w:r>
      <w:r w:rsidR="00BF06D1" w:rsidRPr="00F56862">
        <w:rPr>
          <w:rFonts w:ascii="AvantGarde Bk BT" w:hAnsi="AvantGarde Bk BT" w:cs="Arial"/>
          <w:color w:val="000000" w:themeColor="text1"/>
          <w:sz w:val="24"/>
          <w:szCs w:val="24"/>
        </w:rPr>
        <w:t xml:space="preserve"> </w:t>
      </w:r>
      <w:r w:rsidR="00DC599F">
        <w:rPr>
          <w:rFonts w:ascii="AvantGarde Bk BT" w:hAnsi="AvantGarde Bk BT" w:cs="Arial"/>
          <w:color w:val="000000" w:themeColor="text1"/>
          <w:sz w:val="24"/>
          <w:szCs w:val="24"/>
        </w:rPr>
        <w:t>03</w:t>
      </w:r>
      <w:r w:rsidR="00BF06D1" w:rsidRPr="00F56862">
        <w:rPr>
          <w:rFonts w:ascii="AvantGarde Bk BT" w:hAnsi="AvantGarde Bk BT" w:cs="Arial"/>
          <w:color w:val="000000" w:themeColor="text1"/>
          <w:sz w:val="24"/>
          <w:szCs w:val="24"/>
        </w:rPr>
        <w:t xml:space="preserve"> de autos.)</w:t>
      </w:r>
    </w:p>
    <w:p w14:paraId="376947CB" w14:textId="5798CA19" w:rsidR="004E2C5A" w:rsidRDefault="00CB72BB"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BF06D1" w:rsidRPr="007C5605">
        <w:rPr>
          <w:rFonts w:ascii="AvantGarde Bk BT" w:hAnsi="AvantGarde Bk BT" w:cs="Arial"/>
          <w:b/>
          <w:color w:val="000000" w:themeColor="text1"/>
          <w:sz w:val="24"/>
          <w:szCs w:val="24"/>
        </w:rPr>
        <w:t>Interposición del recurso.</w:t>
      </w:r>
      <w:r w:rsidR="00BF06D1" w:rsidRPr="007C5605">
        <w:rPr>
          <w:rFonts w:ascii="AvantGarde Bk BT" w:hAnsi="AvantGarde Bk BT" w:cs="Arial"/>
          <w:color w:val="000000" w:themeColor="text1"/>
          <w:sz w:val="24"/>
          <w:szCs w:val="24"/>
        </w:rPr>
        <w:t xml:space="preserve"> El </w:t>
      </w:r>
      <w:r w:rsidR="00DC599F">
        <w:rPr>
          <w:rFonts w:ascii="AvantGarde Bk BT" w:hAnsi="AvantGarde Bk BT" w:cs="Arial"/>
          <w:color w:val="000000" w:themeColor="text1"/>
          <w:sz w:val="24"/>
          <w:szCs w:val="24"/>
        </w:rPr>
        <w:t>tres</w:t>
      </w:r>
      <w:r w:rsidR="0071449C">
        <w:rPr>
          <w:rFonts w:ascii="AvantGarde Bk BT" w:hAnsi="AvantGarde Bk BT" w:cs="Arial"/>
          <w:color w:val="000000" w:themeColor="text1"/>
          <w:sz w:val="24"/>
          <w:szCs w:val="24"/>
        </w:rPr>
        <w:t xml:space="preserve"> de septiembre</w:t>
      </w:r>
      <w:r w:rsidR="00BF06D1">
        <w:rPr>
          <w:rFonts w:ascii="AvantGarde Bk BT" w:hAnsi="AvantGarde Bk BT" w:cs="Arial"/>
          <w:color w:val="000000" w:themeColor="text1"/>
          <w:sz w:val="24"/>
          <w:szCs w:val="24"/>
        </w:rPr>
        <w:t xml:space="preserve"> de dos mil veinticuatro</w:t>
      </w:r>
      <w:r w:rsidR="00BF06D1" w:rsidRPr="007C5605">
        <w:rPr>
          <w:rFonts w:ascii="AvantGarde Bk BT" w:hAnsi="AvantGarde Bk BT" w:cs="Arial"/>
          <w:color w:val="000000" w:themeColor="text1"/>
          <w:sz w:val="24"/>
          <w:szCs w:val="24"/>
        </w:rPr>
        <w:t xml:space="preserve"> </w:t>
      </w:r>
      <w:r w:rsidR="00BF06D1">
        <w:rPr>
          <w:rFonts w:ascii="AvantGarde Bk BT" w:hAnsi="AvantGarde Bk BT" w:cs="Arial"/>
          <w:color w:val="000000" w:themeColor="text1"/>
          <w:sz w:val="24"/>
          <w:szCs w:val="24"/>
        </w:rPr>
        <w:t>el</w:t>
      </w:r>
      <w:r w:rsidR="00BF06D1" w:rsidRPr="007C5605">
        <w:rPr>
          <w:rFonts w:ascii="AvantGarde Bk BT" w:hAnsi="AvantGarde Bk BT" w:cs="Arial"/>
          <w:color w:val="000000" w:themeColor="text1"/>
          <w:sz w:val="24"/>
          <w:szCs w:val="24"/>
        </w:rPr>
        <w:t xml:space="preserve"> solicitante de la información interpuso el recurso de revisión en contra de la </w:t>
      </w:r>
      <w:r w:rsidR="00BF06D1">
        <w:rPr>
          <w:rFonts w:ascii="AvantGarde Bk BT" w:hAnsi="AvantGarde Bk BT" w:cs="Arial"/>
          <w:color w:val="000000" w:themeColor="text1"/>
          <w:sz w:val="24"/>
          <w:szCs w:val="24"/>
        </w:rPr>
        <w:t xml:space="preserve">de </w:t>
      </w:r>
      <w:r w:rsidR="00BF06D1" w:rsidRPr="007C5605">
        <w:rPr>
          <w:rFonts w:ascii="AvantGarde Bk BT" w:hAnsi="AvantGarde Bk BT" w:cs="Arial"/>
          <w:color w:val="000000" w:themeColor="text1"/>
          <w:sz w:val="24"/>
          <w:szCs w:val="24"/>
        </w:rPr>
        <w:t xml:space="preserve">respuesta </w:t>
      </w:r>
      <w:r w:rsidR="00BF06D1">
        <w:rPr>
          <w:rFonts w:ascii="AvantGarde Bk BT" w:hAnsi="AvantGarde Bk BT" w:cs="Arial"/>
          <w:color w:val="000000" w:themeColor="text1"/>
          <w:sz w:val="24"/>
          <w:szCs w:val="24"/>
        </w:rPr>
        <w:t>a la solicitud. (visible de foja 01 de autos.)</w:t>
      </w:r>
    </w:p>
    <w:p w14:paraId="41A9A9EA" w14:textId="5E0C2154" w:rsidR="00B444F5" w:rsidRDefault="00CB72BB" w:rsidP="00D16BDB">
      <w:pPr>
        <w:pStyle w:val="corte4fondo"/>
        <w:tabs>
          <w:tab w:val="left" w:pos="567"/>
        </w:tabs>
        <w:spacing w:after="240"/>
        <w:ind w:left="113"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CUARTO. </w:t>
      </w:r>
      <w:r w:rsidR="00BF06D1"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BF06D1" w:rsidRPr="007C5605">
        <w:rPr>
          <w:rFonts w:ascii="AvantGarde Bk BT" w:hAnsi="AvantGarde Bk BT" w:cs="Arial"/>
          <w:color w:val="000000" w:themeColor="text1"/>
          <w:sz w:val="24"/>
          <w:szCs w:val="24"/>
        </w:rPr>
        <w:t xml:space="preserve"> Mediante auto del </w:t>
      </w:r>
      <w:r w:rsidR="00AA33AF">
        <w:rPr>
          <w:rFonts w:ascii="AvantGarde Bk BT" w:hAnsi="AvantGarde Bk BT" w:cs="Arial"/>
          <w:color w:val="000000" w:themeColor="text1"/>
          <w:sz w:val="24"/>
          <w:szCs w:val="24"/>
        </w:rPr>
        <w:t>cuatro</w:t>
      </w:r>
      <w:r w:rsidR="0071449C">
        <w:rPr>
          <w:rFonts w:ascii="AvantGarde Bk BT" w:hAnsi="AvantGarde Bk BT" w:cs="Arial"/>
          <w:color w:val="000000" w:themeColor="text1"/>
          <w:sz w:val="24"/>
          <w:szCs w:val="24"/>
        </w:rPr>
        <w:t xml:space="preserve"> de septiembre</w:t>
      </w:r>
      <w:r w:rsidR="00BF06D1">
        <w:rPr>
          <w:rFonts w:ascii="AvantGarde Bk BT" w:hAnsi="AvantGarde Bk BT" w:cs="Arial"/>
          <w:color w:val="000000" w:themeColor="text1"/>
          <w:sz w:val="24"/>
          <w:szCs w:val="24"/>
        </w:rPr>
        <w:t xml:space="preserve"> de dos mil veinticuatro</w:t>
      </w:r>
      <w:r w:rsidR="00BF06D1" w:rsidRPr="007C5605">
        <w:rPr>
          <w:rFonts w:ascii="AvantGarde Bk BT" w:hAnsi="AvantGarde Bk BT" w:cs="Arial"/>
          <w:color w:val="000000" w:themeColor="text1"/>
          <w:sz w:val="24"/>
          <w:szCs w:val="24"/>
        </w:rPr>
        <w:t xml:space="preserve"> la presidencia de esta Comisión de Transparencia</w:t>
      </w:r>
      <w:r w:rsidR="00BF06D1">
        <w:rPr>
          <w:rFonts w:ascii="AvantGarde Bk BT" w:hAnsi="AvantGarde Bk BT" w:cs="Arial"/>
          <w:color w:val="000000" w:themeColor="text1"/>
          <w:sz w:val="24"/>
          <w:szCs w:val="24"/>
        </w:rPr>
        <w:t>, por conducto de la Secretaría de Pleno,</w:t>
      </w:r>
      <w:r w:rsidR="00BF06D1" w:rsidRPr="007C5605">
        <w:rPr>
          <w:rFonts w:ascii="AvantGarde Bk BT" w:hAnsi="AvantGarde Bk BT" w:cs="Arial"/>
          <w:color w:val="000000" w:themeColor="text1"/>
          <w:sz w:val="24"/>
          <w:szCs w:val="24"/>
        </w:rPr>
        <w:t xml:space="preserve"> tuvo por recibido el recurso de revisión, </w:t>
      </w:r>
      <w:proofErr w:type="gramStart"/>
      <w:r w:rsidR="00BF06D1" w:rsidRPr="007C5605">
        <w:rPr>
          <w:rFonts w:ascii="AvantGarde Bk BT" w:hAnsi="AvantGarde Bk BT" w:cs="Arial"/>
          <w:color w:val="000000" w:themeColor="text1"/>
          <w:sz w:val="24"/>
          <w:szCs w:val="24"/>
        </w:rPr>
        <w:t>que</w:t>
      </w:r>
      <w:proofErr w:type="gramEnd"/>
      <w:r w:rsidR="00BF06D1" w:rsidRPr="007C5605">
        <w:rPr>
          <w:rFonts w:ascii="AvantGarde Bk BT" w:hAnsi="AvantGarde Bk BT" w:cs="Arial"/>
          <w:color w:val="000000" w:themeColor="text1"/>
          <w:sz w:val="24"/>
          <w:szCs w:val="24"/>
        </w:rPr>
        <w:t xml:space="preserve"> por razón de turno, </w:t>
      </w:r>
      <w:r w:rsidR="00BF06D1" w:rsidRPr="007C5605">
        <w:rPr>
          <w:rFonts w:ascii="AvantGarde Bk BT" w:hAnsi="AvantGarde Bk BT" w:cs="Arial"/>
          <w:color w:val="000000" w:themeColor="text1"/>
          <w:sz w:val="24"/>
          <w:szCs w:val="24"/>
        </w:rPr>
        <w:lastRenderedPageBreak/>
        <w:t xml:space="preserve">tocó conocer a la ponencia del </w:t>
      </w:r>
      <w:r w:rsidR="00BF06D1">
        <w:rPr>
          <w:rFonts w:ascii="AvantGarde Bk BT" w:hAnsi="AvantGarde Bk BT" w:cs="Arial"/>
          <w:color w:val="000000" w:themeColor="text1"/>
          <w:sz w:val="24"/>
          <w:szCs w:val="24"/>
        </w:rPr>
        <w:t xml:space="preserve">Comisionado Licenciado José Gerardo Navarro </w:t>
      </w:r>
      <w:proofErr w:type="spellStart"/>
      <w:r w:rsidR="00BF06D1">
        <w:rPr>
          <w:rFonts w:ascii="AvantGarde Bk BT" w:hAnsi="AvantGarde Bk BT" w:cs="Arial"/>
          <w:color w:val="000000" w:themeColor="text1"/>
          <w:sz w:val="24"/>
          <w:szCs w:val="24"/>
        </w:rPr>
        <w:t>Alviso</w:t>
      </w:r>
      <w:proofErr w:type="spellEnd"/>
      <w:r w:rsidR="00BF06D1" w:rsidRPr="007C5605">
        <w:rPr>
          <w:rFonts w:ascii="AvantGarde Bk BT" w:hAnsi="AvantGarde Bk BT" w:cs="Arial"/>
          <w:color w:val="000000" w:themeColor="text1"/>
          <w:sz w:val="24"/>
          <w:szCs w:val="24"/>
        </w:rPr>
        <w:t xml:space="preserve"> para que procediera, previo su análisis, a su admisión o </w:t>
      </w:r>
      <w:proofErr w:type="spellStart"/>
      <w:r w:rsidR="00BF06D1" w:rsidRPr="007C5605">
        <w:rPr>
          <w:rFonts w:ascii="AvantGarde Bk BT" w:hAnsi="AvantGarde Bk BT" w:cs="Arial"/>
          <w:color w:val="000000" w:themeColor="text1"/>
          <w:sz w:val="24"/>
          <w:szCs w:val="24"/>
        </w:rPr>
        <w:t>desechamiento</w:t>
      </w:r>
      <w:proofErr w:type="spellEnd"/>
      <w:r w:rsidR="00BF06D1" w:rsidRPr="007C5605">
        <w:rPr>
          <w:rFonts w:ascii="AvantGarde Bk BT" w:hAnsi="AvantGarde Bk BT" w:cs="Arial"/>
          <w:color w:val="000000" w:themeColor="text1"/>
          <w:sz w:val="24"/>
          <w:szCs w:val="24"/>
        </w:rPr>
        <w:t xml:space="preserve"> según fuera el caso.</w:t>
      </w:r>
    </w:p>
    <w:p w14:paraId="4515F051" w14:textId="4C59241F" w:rsidR="00BF06D1" w:rsidRPr="007C5605" w:rsidRDefault="00CB72BB" w:rsidP="00BF06D1">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BF06D1" w:rsidRPr="006B4C8C">
        <w:rPr>
          <w:rFonts w:ascii="AvantGarde Bk BT" w:hAnsi="AvantGarde Bk BT" w:cs="Arial"/>
          <w:b/>
          <w:color w:val="000000" w:themeColor="text1"/>
          <w:sz w:val="24"/>
          <w:szCs w:val="24"/>
        </w:rPr>
        <w:t>Auto de admisión.</w:t>
      </w:r>
      <w:r w:rsidR="00BF06D1">
        <w:rPr>
          <w:rFonts w:ascii="AvantGarde Bk BT" w:hAnsi="AvantGarde Bk BT" w:cs="Arial"/>
          <w:color w:val="000000" w:themeColor="text1"/>
          <w:sz w:val="24"/>
          <w:szCs w:val="24"/>
        </w:rPr>
        <w:t xml:space="preserve"> Por proveído de </w:t>
      </w:r>
      <w:r w:rsidR="00AA33AF">
        <w:rPr>
          <w:rFonts w:ascii="AvantGarde Bk BT" w:hAnsi="AvantGarde Bk BT" w:cs="Arial"/>
          <w:color w:val="000000" w:themeColor="text1"/>
          <w:sz w:val="24"/>
          <w:szCs w:val="24"/>
        </w:rPr>
        <w:t>cinco</w:t>
      </w:r>
      <w:r w:rsidR="0071449C">
        <w:rPr>
          <w:rFonts w:ascii="AvantGarde Bk BT" w:hAnsi="AvantGarde Bk BT" w:cs="Arial"/>
          <w:color w:val="000000" w:themeColor="text1"/>
          <w:sz w:val="24"/>
          <w:szCs w:val="24"/>
        </w:rPr>
        <w:t xml:space="preserve"> de septiembre</w:t>
      </w:r>
      <w:r w:rsidR="00BF06D1">
        <w:rPr>
          <w:rFonts w:ascii="AvantGarde Bk BT" w:hAnsi="AvantGarde Bk BT" w:cs="Arial"/>
          <w:color w:val="000000" w:themeColor="text1"/>
          <w:sz w:val="24"/>
          <w:szCs w:val="24"/>
        </w:rPr>
        <w:t xml:space="preserve"> de dos mil veinticuatro esta Comisión</w:t>
      </w:r>
      <w:r w:rsidR="00BF06D1" w:rsidRPr="007C5605">
        <w:rPr>
          <w:rFonts w:ascii="AvantGarde Bk BT" w:hAnsi="AvantGarde Bk BT" w:cs="Arial"/>
          <w:color w:val="000000" w:themeColor="text1"/>
          <w:sz w:val="24"/>
          <w:szCs w:val="24"/>
        </w:rPr>
        <w:t>:</w:t>
      </w:r>
    </w:p>
    <w:p w14:paraId="75B12DB6" w14:textId="77777777" w:rsidR="00BF06D1" w:rsidRDefault="00BF06D1" w:rsidP="00BF06D1">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29339A9A" w14:textId="002E7CF2" w:rsidR="00BF06D1" w:rsidRPr="00D85914" w:rsidRDefault="00BF06D1" w:rsidP="00BF06D1">
      <w:pPr>
        <w:pStyle w:val="corte4fondo"/>
        <w:numPr>
          <w:ilvl w:val="0"/>
          <w:numId w:val="8"/>
        </w:numPr>
        <w:tabs>
          <w:tab w:val="left" w:pos="567"/>
        </w:tabs>
        <w:ind w:left="680" w:firstLine="0"/>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sidR="00AA33AF">
        <w:rPr>
          <w:rFonts w:ascii="AvantGarde Bk BT" w:hAnsi="AvantGarde Bk BT" w:cs="Arial"/>
          <w:b/>
          <w:color w:val="000000" w:themeColor="text1"/>
          <w:sz w:val="24"/>
          <w:szCs w:val="24"/>
        </w:rPr>
        <w:t>RR-1283</w:t>
      </w:r>
      <w:r w:rsidRPr="00D85914">
        <w:rPr>
          <w:rFonts w:ascii="AvantGarde Bk BT" w:hAnsi="AvantGarde Bk BT" w:cs="Arial"/>
          <w:b/>
          <w:color w:val="000000" w:themeColor="text1"/>
          <w:sz w:val="24"/>
          <w:szCs w:val="24"/>
        </w:rPr>
        <w:t xml:space="preserve">/2024-1 </w:t>
      </w:r>
      <w:r w:rsidRPr="00D85914">
        <w:rPr>
          <w:rFonts w:ascii="AvantGarde Bk BT" w:hAnsi="AvantGarde Bk BT" w:cs="Arial"/>
          <w:color w:val="000000" w:themeColor="text1"/>
          <w:sz w:val="24"/>
          <w:szCs w:val="24"/>
        </w:rPr>
        <w:t>con las constancias turnadas por la Secretaría de Pleno.</w:t>
      </w:r>
    </w:p>
    <w:p w14:paraId="3BBEC69C" w14:textId="77777777" w:rsidR="00BF06D1" w:rsidRDefault="00BF06D1" w:rsidP="00BF06D1">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20D61F26" w14:textId="4349B037" w:rsidR="00BF06D1" w:rsidRDefault="00BF06D1" w:rsidP="00BF06D1">
      <w:pPr>
        <w:pStyle w:val="corte4fondo"/>
        <w:numPr>
          <w:ilvl w:val="0"/>
          <w:numId w:val="8"/>
        </w:numPr>
        <w:tabs>
          <w:tab w:val="left" w:pos="567"/>
        </w:tabs>
        <w:ind w:left="680" w:firstLine="0"/>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sidR="0071449C">
        <w:rPr>
          <w:rFonts w:ascii="AvantGarde Bk BT" w:hAnsi="AvantGarde Bk BT" w:cs="Arial"/>
          <w:b/>
          <w:color w:val="000000" w:themeColor="text1"/>
          <w:sz w:val="24"/>
          <w:szCs w:val="24"/>
        </w:rPr>
        <w:t>I</w:t>
      </w:r>
      <w:r>
        <w:rPr>
          <w:rFonts w:ascii="AvantGarde Bk BT" w:hAnsi="AvantGarde Bk BT" w:cs="Arial"/>
          <w:b/>
          <w:color w:val="000000" w:themeColor="text1"/>
          <w:sz w:val="24"/>
          <w:szCs w:val="24"/>
        </w:rPr>
        <w:t xml:space="preserve">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5175AB6D" w14:textId="4F50E02B" w:rsidR="00BF06D1" w:rsidRPr="00D6546A" w:rsidRDefault="00BF06D1" w:rsidP="00BF06D1">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al </w:t>
      </w:r>
      <w:r w:rsidR="00AA33AF">
        <w:rPr>
          <w:rFonts w:ascii="AvantGarde Bk BT" w:hAnsi="AvantGarde Bk BT" w:cs="Arial"/>
          <w:b/>
          <w:color w:val="000000" w:themeColor="text1"/>
          <w:sz w:val="24"/>
          <w:szCs w:val="24"/>
        </w:rPr>
        <w:t>CONSEJO POTOSINO DE CIENCIA Y TECNOLOGÍA</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2A3E5E66" w14:textId="77777777" w:rsidR="00BF06D1" w:rsidRDefault="00BF06D1" w:rsidP="00BF06D1">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35B834D0" w14:textId="77777777" w:rsidR="00BF06D1" w:rsidRDefault="00BF06D1" w:rsidP="00BF06D1">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76CEED85" w14:textId="77777777" w:rsidR="00BF06D1" w:rsidRDefault="00BF06D1" w:rsidP="00BF06D1">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w:t>
      </w:r>
      <w:r>
        <w:rPr>
          <w:rFonts w:ascii="AvantGarde Bk BT" w:hAnsi="AvantGarde Bk BT" w:cs="Arial"/>
          <w:color w:val="000000" w:themeColor="text1"/>
          <w:sz w:val="24"/>
          <w:szCs w:val="24"/>
        </w:rPr>
        <w:lastRenderedPageBreak/>
        <w:t>dicha calidad, sus manifestaciones no serán tomadas en consideración al momento de resolver el recurso de revisión.</w:t>
      </w:r>
    </w:p>
    <w:p w14:paraId="7B7AFEF9" w14:textId="0F4575F1" w:rsidR="00BF06D1" w:rsidRDefault="00BF06D1" w:rsidP="00BF06D1">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6BA94337" w14:textId="5282220C" w:rsidR="006E793F" w:rsidRPr="008F44AD" w:rsidRDefault="00BF06D1" w:rsidP="008F44AD">
      <w:pPr>
        <w:pStyle w:val="corte4fondo"/>
        <w:numPr>
          <w:ilvl w:val="0"/>
          <w:numId w:val="8"/>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24499871" w14:textId="1F03B1B8" w:rsidR="00AA33AF" w:rsidRDefault="00CB72BB" w:rsidP="008F44AD">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AA33AF">
        <w:rPr>
          <w:rFonts w:ascii="AvantGarde Bk BT" w:hAnsi="AvantGarde Bk BT" w:cs="Arial"/>
          <w:b/>
          <w:color w:val="000000" w:themeColor="text1"/>
          <w:sz w:val="24"/>
          <w:szCs w:val="24"/>
        </w:rPr>
        <w:t xml:space="preserve">Recepción de correo electrónico de la parte recurrente. </w:t>
      </w:r>
      <w:r w:rsidR="00AA33AF">
        <w:rPr>
          <w:rFonts w:ascii="AvantGarde Bk BT" w:hAnsi="AvantGarde Bk BT" w:cs="Arial"/>
          <w:color w:val="000000" w:themeColor="text1"/>
          <w:sz w:val="24"/>
          <w:szCs w:val="24"/>
        </w:rPr>
        <w:t>Mediante proveído de doce de septiembre de dos mil veinticuatro, tuvo por recibido y agregó a los autos copia del correo electrónico enviado por el recurrente a la cuenta de correo electrónico institucional de la Ponencia Uno de esta Comisión.</w:t>
      </w:r>
    </w:p>
    <w:p w14:paraId="6BC5AA05" w14:textId="6330E2E5" w:rsidR="00AA33AF" w:rsidRPr="00AA33AF" w:rsidRDefault="00AA33AF" w:rsidP="00AA33A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Una vez visto el contenido del correo electrónico, se tuvo al recurrente por oponiéndose a la divulgación de sus datos personales, motivo por el cual, se procedió a remitir copia de dicho correo electrónico a la Unidad de Transparencia para efecto de que lleve a cabo el trámite correspondiente en términos de los artículos 75 y 76 de la Ley de Protección de Datos Personales en Posesión de Sujetos Obligados de San Luis Potosí.</w:t>
      </w:r>
    </w:p>
    <w:p w14:paraId="321A07FE" w14:textId="7EBC9242" w:rsidR="008F44AD" w:rsidRDefault="00AA33AF" w:rsidP="008F44AD">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SÉPTIMO. </w:t>
      </w:r>
      <w:r w:rsidR="008F44AD">
        <w:rPr>
          <w:rFonts w:ascii="AvantGarde Bk BT" w:hAnsi="AvantGarde Bk BT" w:cs="Arial"/>
          <w:b/>
          <w:color w:val="000000" w:themeColor="text1"/>
          <w:sz w:val="24"/>
          <w:szCs w:val="24"/>
        </w:rPr>
        <w:t>Cierre de instrucción</w:t>
      </w:r>
      <w:r w:rsidR="008F44AD" w:rsidRPr="007C5605">
        <w:rPr>
          <w:rFonts w:ascii="AvantGarde Bk BT" w:hAnsi="AvantGarde Bk BT" w:cs="Arial"/>
          <w:b/>
          <w:color w:val="000000" w:themeColor="text1"/>
          <w:sz w:val="24"/>
          <w:szCs w:val="24"/>
        </w:rPr>
        <w:t>.</w:t>
      </w:r>
      <w:r w:rsidR="008F44AD" w:rsidRPr="007C5605">
        <w:rPr>
          <w:rFonts w:ascii="AvantGarde Bk BT" w:hAnsi="AvantGarde Bk BT" w:cs="Arial"/>
          <w:color w:val="000000" w:themeColor="text1"/>
          <w:sz w:val="24"/>
          <w:szCs w:val="24"/>
        </w:rPr>
        <w:t xml:space="preserve"> </w:t>
      </w:r>
      <w:r w:rsidR="008F44AD">
        <w:rPr>
          <w:rFonts w:ascii="AvantGarde Bk BT" w:hAnsi="AvantGarde Bk BT" w:cs="Arial"/>
          <w:color w:val="000000" w:themeColor="text1"/>
          <w:sz w:val="24"/>
          <w:szCs w:val="24"/>
        </w:rPr>
        <w:t xml:space="preserve">Mediante el auto del </w:t>
      </w:r>
      <w:r w:rsidR="006731F4">
        <w:rPr>
          <w:rFonts w:ascii="AvantGarde Bk BT" w:hAnsi="AvantGarde Bk BT" w:cs="Arial"/>
          <w:color w:val="000000" w:themeColor="text1"/>
          <w:sz w:val="24"/>
          <w:szCs w:val="24"/>
        </w:rPr>
        <w:t>veintiséis</w:t>
      </w:r>
      <w:r w:rsidR="008F44AD">
        <w:rPr>
          <w:rFonts w:ascii="AvantGarde Bk BT" w:hAnsi="AvantGarde Bk BT" w:cs="Arial"/>
          <w:color w:val="000000" w:themeColor="text1"/>
          <w:sz w:val="24"/>
          <w:szCs w:val="24"/>
        </w:rPr>
        <w:t xml:space="preserve"> de septiembre de dos mil veinticuatro, esta Comisión:</w:t>
      </w:r>
    </w:p>
    <w:p w14:paraId="34F4D8D3" w14:textId="77777777" w:rsidR="006731F4" w:rsidRPr="008F44AD" w:rsidRDefault="006731F4" w:rsidP="006731F4">
      <w:pPr>
        <w:pStyle w:val="corte4fondo"/>
        <w:numPr>
          <w:ilvl w:val="0"/>
          <w:numId w:val="1"/>
        </w:numPr>
        <w:tabs>
          <w:tab w:val="left" w:pos="567"/>
        </w:tabs>
        <w:rPr>
          <w:rFonts w:ascii="AvantGarde Bk BT" w:hAnsi="AvantGarde Bk BT" w:cs="Arial"/>
          <w:color w:val="000000" w:themeColor="text1"/>
          <w:sz w:val="24"/>
          <w:szCs w:val="24"/>
        </w:rPr>
      </w:pPr>
      <w:r w:rsidRPr="008F44AD">
        <w:rPr>
          <w:rFonts w:ascii="AvantGarde Bk BT" w:hAnsi="AvantGarde Bk BT" w:cs="Arial"/>
          <w:color w:val="000000" w:themeColor="text1"/>
          <w:sz w:val="24"/>
          <w:szCs w:val="24"/>
        </w:rPr>
        <w:t>Tuvo por omiso al sujeto obligado en rendir el informe ordenado en el auto de admisión, así como en ofrecer pruebas y realizar manifestaciones en vía de alegatos.</w:t>
      </w:r>
    </w:p>
    <w:p w14:paraId="302EDCB6" w14:textId="77777777" w:rsidR="006731F4" w:rsidRDefault="006731F4" w:rsidP="006731F4">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En cuanto al peticionario, feneció el plazo para que presentara pruebas y manifestara lo que a su derecho conviniera.</w:t>
      </w:r>
    </w:p>
    <w:p w14:paraId="10D60597" w14:textId="08A4D53D" w:rsidR="006731F4" w:rsidRDefault="006731F4" w:rsidP="006731F4">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22474FC3" w14:textId="752C7B1D" w:rsidR="006731F4" w:rsidRDefault="00DF3E90" w:rsidP="006731F4">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OCTAVO</w:t>
      </w:r>
      <w:r w:rsidR="006731F4">
        <w:rPr>
          <w:rFonts w:ascii="AvantGarde Bk BT" w:hAnsi="AvantGarde Bk BT" w:cs="Arial"/>
          <w:b/>
          <w:color w:val="000000" w:themeColor="text1"/>
          <w:sz w:val="24"/>
          <w:szCs w:val="24"/>
        </w:rPr>
        <w:t>. Requerimiento al sujeto obligado</w:t>
      </w:r>
      <w:r w:rsidR="006731F4" w:rsidRPr="007C5605">
        <w:rPr>
          <w:rFonts w:ascii="AvantGarde Bk BT" w:hAnsi="AvantGarde Bk BT" w:cs="Arial"/>
          <w:b/>
          <w:color w:val="000000" w:themeColor="text1"/>
          <w:sz w:val="24"/>
          <w:szCs w:val="24"/>
        </w:rPr>
        <w:t>.</w:t>
      </w:r>
      <w:r w:rsidR="006731F4" w:rsidRPr="007C5605">
        <w:rPr>
          <w:rFonts w:ascii="AvantGarde Bk BT" w:hAnsi="AvantGarde Bk BT" w:cs="Arial"/>
          <w:color w:val="000000" w:themeColor="text1"/>
          <w:sz w:val="24"/>
          <w:szCs w:val="24"/>
        </w:rPr>
        <w:t xml:space="preserve"> </w:t>
      </w:r>
      <w:r w:rsidR="006731F4">
        <w:rPr>
          <w:rFonts w:ascii="AvantGarde Bk BT" w:hAnsi="AvantGarde Bk BT" w:cs="Arial"/>
          <w:color w:val="000000" w:themeColor="text1"/>
          <w:sz w:val="24"/>
          <w:szCs w:val="24"/>
        </w:rPr>
        <w:t xml:space="preserve">Mediante el auto del veintisiete de septiembre de dos mil veinticuatro, esta Comisión requirió al sujeto obligado por conducto de </w:t>
      </w:r>
      <w:proofErr w:type="gramStart"/>
      <w:r w:rsidR="006731F4">
        <w:rPr>
          <w:rFonts w:ascii="AvantGarde Bk BT" w:hAnsi="AvantGarde Bk BT" w:cs="Arial"/>
          <w:color w:val="000000" w:themeColor="text1"/>
          <w:sz w:val="24"/>
          <w:szCs w:val="24"/>
        </w:rPr>
        <w:t>su  Titular</w:t>
      </w:r>
      <w:proofErr w:type="gramEnd"/>
      <w:r w:rsidR="006731F4">
        <w:rPr>
          <w:rFonts w:ascii="AvantGarde Bk BT" w:hAnsi="AvantGarde Bk BT" w:cs="Arial"/>
          <w:color w:val="000000" w:themeColor="text1"/>
          <w:sz w:val="24"/>
          <w:szCs w:val="24"/>
        </w:rPr>
        <w:t xml:space="preserve">, para efecto de que, dentro del término de tres días hábiles contados a partir del día siguiente de la respectiva notificación, remitiera el acuerdo </w:t>
      </w:r>
      <w:r w:rsidR="006731F4">
        <w:rPr>
          <w:rFonts w:ascii="AvantGarde Bk BT" w:hAnsi="AvantGarde Bk BT" w:cs="Arial"/>
          <w:color w:val="000000" w:themeColor="text1"/>
          <w:sz w:val="24"/>
          <w:szCs w:val="24"/>
        </w:rPr>
        <w:lastRenderedPageBreak/>
        <w:t>de reserva relacionado a la información generada por el Grupo Interdisciplinario Especializado en Medio Ambiente, Agua, Salud y Lirio Acuático.</w:t>
      </w:r>
    </w:p>
    <w:p w14:paraId="26FC5667" w14:textId="1294031F" w:rsidR="006731F4" w:rsidRDefault="006731F4" w:rsidP="006731F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con fundamento en lo dispuesto en los Lineamientos octavo y décimo séptimo de los Lineamientos Para la Recepción, Substanciación, Resolución y Cumplimiento de los Recursos de Revisión promovidos ante este órgano garante.</w:t>
      </w:r>
    </w:p>
    <w:p w14:paraId="6B6C59B4" w14:textId="333D3CDB" w:rsidR="006731F4" w:rsidRDefault="00DF3E90" w:rsidP="006731F4">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NOVENO</w:t>
      </w:r>
      <w:r w:rsidR="006731F4">
        <w:rPr>
          <w:rFonts w:ascii="AvantGarde Bk BT" w:hAnsi="AvantGarde Bk BT" w:cs="Arial"/>
          <w:b/>
          <w:color w:val="000000" w:themeColor="text1"/>
          <w:sz w:val="24"/>
          <w:szCs w:val="24"/>
        </w:rPr>
        <w:t>. Desahogo de requerimiento</w:t>
      </w:r>
      <w:r w:rsidR="006731F4" w:rsidRPr="007C5605">
        <w:rPr>
          <w:rFonts w:ascii="AvantGarde Bk BT" w:hAnsi="AvantGarde Bk BT" w:cs="Arial"/>
          <w:b/>
          <w:color w:val="000000" w:themeColor="text1"/>
          <w:sz w:val="24"/>
          <w:szCs w:val="24"/>
        </w:rPr>
        <w:t>.</w:t>
      </w:r>
      <w:r w:rsidR="006731F4" w:rsidRPr="007C5605">
        <w:rPr>
          <w:rFonts w:ascii="AvantGarde Bk BT" w:hAnsi="AvantGarde Bk BT" w:cs="Arial"/>
          <w:color w:val="000000" w:themeColor="text1"/>
          <w:sz w:val="24"/>
          <w:szCs w:val="24"/>
        </w:rPr>
        <w:t xml:space="preserve"> </w:t>
      </w:r>
      <w:r w:rsidR="006731F4">
        <w:rPr>
          <w:rFonts w:ascii="AvantGarde Bk BT" w:hAnsi="AvantGarde Bk BT" w:cs="Arial"/>
          <w:color w:val="000000" w:themeColor="text1"/>
          <w:sz w:val="24"/>
          <w:szCs w:val="24"/>
        </w:rPr>
        <w:t>Mediante el auto del ocho de octubre de dos mil veinticuatro, esta Comisión:</w:t>
      </w:r>
    </w:p>
    <w:p w14:paraId="05983913" w14:textId="77777777" w:rsidR="00BE182D" w:rsidRDefault="006731F4" w:rsidP="00BE182D">
      <w:pPr>
        <w:pStyle w:val="corte4fondo"/>
        <w:numPr>
          <w:ilvl w:val="0"/>
          <w:numId w:val="34"/>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por recibido el oficio </w:t>
      </w:r>
      <w:r w:rsidR="00BE182D">
        <w:rPr>
          <w:rFonts w:ascii="AvantGarde Bk BT" w:hAnsi="AvantGarde Bk BT" w:cs="Arial"/>
          <w:color w:val="000000" w:themeColor="text1"/>
          <w:sz w:val="24"/>
          <w:szCs w:val="24"/>
        </w:rPr>
        <w:t>DAF-62/2024, signado por el Titular de la Unidad de Transparencia del sujeto obligado, presentado en la Oficialía de Partes de esta Comisión el siete de octubre de dos mil veinticuatro, con cuatro anexos.</w:t>
      </w:r>
    </w:p>
    <w:p w14:paraId="03A6476E" w14:textId="77777777" w:rsidR="00BE182D" w:rsidRDefault="00BE182D" w:rsidP="00BE182D">
      <w:pPr>
        <w:pStyle w:val="corte4fondo"/>
        <w:numPr>
          <w:ilvl w:val="0"/>
          <w:numId w:val="34"/>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Una vez revisado el contenido de los anexos del oficio de cuenta, se tuvo por desahogado el requerimiento de veintisiete de septiembre de dos mil veinticuatro.</w:t>
      </w:r>
    </w:p>
    <w:p w14:paraId="369546B9" w14:textId="5DBBE620" w:rsidR="006731F4" w:rsidRDefault="00BE182D" w:rsidP="00BE182D">
      <w:pPr>
        <w:pStyle w:val="corte4fondo"/>
        <w:numPr>
          <w:ilvl w:val="0"/>
          <w:numId w:val="34"/>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Remitió de nueva cuenta el expediente en que se actúa para la elaboración del proyecto de resolución correspondiente. </w:t>
      </w:r>
    </w:p>
    <w:p w14:paraId="16A9423A" w14:textId="480F6CC9" w:rsidR="00DF3E90" w:rsidRDefault="00DF3E90" w:rsidP="00DF3E9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DÉCIMO. Ampliación del plazo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nueve de octubre de dos </w:t>
      </w:r>
      <w:r w:rsidR="00377E1D">
        <w:rPr>
          <w:rFonts w:ascii="AvantGarde Bk BT" w:hAnsi="AvantGarde Bk BT" w:cs="Arial"/>
          <w:color w:val="000000" w:themeColor="text1"/>
          <w:sz w:val="24"/>
          <w:szCs w:val="24"/>
        </w:rPr>
        <w:t>mil veinticuatro, esta Comisión decretó la ampliación del plazo para resolver el recurso de revisión, lo anterior en términos del artículo 170 de la Ley de Transparencia y Acceso a la Información Pública.</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2C1EC7FD"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El</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w:t>
      </w:r>
      <w:r w:rsidR="002B7639" w:rsidRPr="007C5605">
        <w:rPr>
          <w:rFonts w:ascii="AvantGarde Bk BT" w:hAnsi="AvantGarde Bk BT" w:cs="Arial"/>
          <w:color w:val="000000" w:themeColor="text1"/>
          <w:sz w:val="24"/>
          <w:szCs w:val="24"/>
        </w:rPr>
        <w:lastRenderedPageBreak/>
        <w:t xml:space="preserve">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77777777" w:rsidR="002B7639" w:rsidRPr="00EA2555" w:rsidRDefault="00AE0DBD" w:rsidP="002B7639">
      <w:pPr>
        <w:pStyle w:val="corte4fondo"/>
        <w:tabs>
          <w:tab w:val="left" w:pos="567"/>
        </w:tabs>
        <w:rPr>
          <w:rFonts w:ascii="AvantGarde Bk BT" w:hAnsi="AvantGarde Bk BT" w:cs="Arial"/>
          <w:color w:val="000000" w:themeColor="text1"/>
          <w:sz w:val="24"/>
          <w:szCs w:val="24"/>
        </w:rPr>
      </w:pPr>
      <w:r w:rsidRPr="00E60CBE">
        <w:rPr>
          <w:rFonts w:ascii="AvantGarde Bk BT" w:hAnsi="AvantGarde Bk BT" w:cs="Arial"/>
          <w:b/>
          <w:color w:val="000000" w:themeColor="text1"/>
          <w:sz w:val="24"/>
          <w:szCs w:val="24"/>
        </w:rPr>
        <w:t xml:space="preserve">TERCERO. </w:t>
      </w:r>
      <w:r w:rsidR="002B7639" w:rsidRPr="00E60CBE">
        <w:rPr>
          <w:rFonts w:ascii="AvantGarde Bk BT" w:hAnsi="AvantGarde Bk BT" w:cs="Arial"/>
          <w:b/>
          <w:color w:val="000000" w:themeColor="text1"/>
          <w:sz w:val="24"/>
          <w:szCs w:val="24"/>
        </w:rPr>
        <w:t>Oportunidad del recurso.</w:t>
      </w:r>
      <w:r w:rsidR="002B7639" w:rsidRPr="00E60CBE">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6AA9AAEE" w14:textId="10268FDC"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1F3E30">
        <w:rPr>
          <w:rFonts w:ascii="AvantGarde Bk BT" w:hAnsi="AvantGarde Bk BT" w:cs="Arial"/>
          <w:color w:val="000000" w:themeColor="text1"/>
          <w:sz w:val="24"/>
          <w:szCs w:val="24"/>
        </w:rPr>
        <w:t>trece de agosto</w:t>
      </w:r>
      <w:r>
        <w:rPr>
          <w:rFonts w:ascii="AvantGarde Bk BT" w:hAnsi="AvantGarde Bk BT" w:cs="Arial"/>
          <w:color w:val="000000" w:themeColor="text1"/>
          <w:sz w:val="24"/>
          <w:szCs w:val="24"/>
        </w:rPr>
        <w:t xml:space="preserve"> de dos mil veinticuatro, el peticionario recibió respuesta por parte del sujeto obligado.</w:t>
      </w:r>
    </w:p>
    <w:p w14:paraId="0A0F60AE" w14:textId="3DD5A44B"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1F3E30">
        <w:rPr>
          <w:rFonts w:ascii="AvantGarde Bk BT" w:hAnsi="AvantGarde Bk BT" w:cs="Arial"/>
          <w:color w:val="000000" w:themeColor="text1"/>
          <w:sz w:val="24"/>
          <w:szCs w:val="24"/>
        </w:rPr>
        <w:t>catorce de agosto al tres de septiembre</w:t>
      </w:r>
      <w:r>
        <w:rPr>
          <w:rFonts w:ascii="AvantGarde Bk BT" w:hAnsi="AvantGarde Bk BT" w:cs="Arial"/>
          <w:color w:val="000000" w:themeColor="text1"/>
          <w:sz w:val="24"/>
          <w:szCs w:val="24"/>
        </w:rPr>
        <w:t xml:space="preserve"> de dos mil veinticuatro</w:t>
      </w:r>
      <w:r w:rsidRPr="00726D64">
        <w:rPr>
          <w:rFonts w:ascii="AvantGarde Bk BT" w:hAnsi="AvantGarde Bk BT" w:cs="Arial"/>
          <w:color w:val="000000" w:themeColor="text1"/>
          <w:sz w:val="24"/>
          <w:szCs w:val="24"/>
        </w:rPr>
        <w:t>.</w:t>
      </w:r>
    </w:p>
    <w:p w14:paraId="0AFC9C20" w14:textId="5F3C92E3"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Pr>
          <w:rFonts w:ascii="AvantGarde Bk BT" w:hAnsi="AvantGarde Bk BT" w:cs="Arial"/>
          <w:color w:val="000000" w:themeColor="text1"/>
          <w:sz w:val="24"/>
          <w:szCs w:val="24"/>
        </w:rPr>
        <w:t xml:space="preserve"> </w:t>
      </w:r>
      <w:r w:rsidR="001F3E30">
        <w:rPr>
          <w:rFonts w:ascii="AvantGarde Bk BT" w:hAnsi="AvantGarde Bk BT" w:cs="Arial"/>
          <w:color w:val="000000" w:themeColor="text1"/>
          <w:sz w:val="24"/>
          <w:szCs w:val="24"/>
        </w:rPr>
        <w:t>diecisiete, dieciocho, veinticuatro, veinticinco y treinta y uno de agosto, así como el uno de septiembre de</w:t>
      </w:r>
      <w:r>
        <w:rPr>
          <w:rFonts w:ascii="AvantGarde Bk BT" w:hAnsi="AvantGarde Bk BT" w:cs="Arial"/>
          <w:color w:val="000000" w:themeColor="text1"/>
          <w:sz w:val="24"/>
          <w:szCs w:val="24"/>
        </w:rPr>
        <w:t xml:space="preserve"> dos mil veinticuatro, </w:t>
      </w:r>
      <w:r w:rsidRPr="00EA2555">
        <w:rPr>
          <w:rFonts w:ascii="AvantGarde Bk BT" w:hAnsi="AvantGarde Bk BT" w:cs="Arial"/>
          <w:color w:val="000000" w:themeColor="text1"/>
          <w:sz w:val="24"/>
          <w:szCs w:val="24"/>
        </w:rPr>
        <w:t>por ser inhábiles.</w:t>
      </w:r>
    </w:p>
    <w:p w14:paraId="52530DF1" w14:textId="1DB1598C"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1F3E30">
        <w:rPr>
          <w:rFonts w:ascii="AvantGarde Bk BT" w:hAnsi="AvantGarde Bk BT" w:cs="Arial"/>
          <w:color w:val="000000" w:themeColor="text1"/>
          <w:sz w:val="24"/>
          <w:szCs w:val="24"/>
        </w:rPr>
        <w:t>tres</w:t>
      </w:r>
      <w:r w:rsidR="0063328B">
        <w:rPr>
          <w:rFonts w:ascii="AvantGarde Bk BT" w:hAnsi="AvantGarde Bk BT" w:cs="Arial"/>
          <w:color w:val="000000" w:themeColor="text1"/>
          <w:sz w:val="24"/>
          <w:szCs w:val="24"/>
        </w:rPr>
        <w:t xml:space="preserve"> de septiembre</w:t>
      </w:r>
      <w:r>
        <w:rPr>
          <w:rFonts w:ascii="AvantGarde Bk BT" w:hAnsi="AvantGarde Bk BT" w:cs="Arial"/>
          <w:color w:val="000000" w:themeColor="text1"/>
          <w:sz w:val="24"/>
          <w:szCs w:val="24"/>
        </w:rPr>
        <w:t xml:space="preserve"> de dos mil veinticuatro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w:t>
      </w:r>
      <w:r w:rsidRPr="007F0BFC">
        <w:rPr>
          <w:rFonts w:ascii="AvantGarde Bk BT" w:hAnsi="AvantGarde Bk BT" w:cs="Arial"/>
          <w:color w:val="000000" w:themeColor="text1"/>
          <w:sz w:val="24"/>
          <w:szCs w:val="24"/>
        </w:rPr>
        <w:lastRenderedPageBreak/>
        <w:t>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44911DDD" w:rsidR="000D589A" w:rsidRDefault="002947D7" w:rsidP="00A6265B">
      <w:pPr>
        <w:pStyle w:val="corte4fondo"/>
        <w:tabs>
          <w:tab w:val="left" w:pos="567"/>
        </w:tabs>
        <w:rPr>
          <w:rFonts w:ascii="AvantGarde Bk BT" w:hAnsi="AvantGarde Bk BT" w:cs="Arial"/>
          <w:color w:val="000000" w:themeColor="text1"/>
          <w:sz w:val="24"/>
          <w:szCs w:val="24"/>
        </w:rPr>
      </w:pPr>
      <w:r w:rsidRPr="003813BD">
        <w:rPr>
          <w:rFonts w:ascii="AvantGarde Bk BT" w:hAnsi="AvantGarde Bk BT" w:cs="Arial"/>
          <w:color w:val="000000" w:themeColor="text1"/>
          <w:sz w:val="24"/>
          <w:szCs w:val="24"/>
        </w:rPr>
        <w:t>En el caso que nos ocupa, el hoy recurrente realizó su solicitud de información a través de</w:t>
      </w:r>
      <w:r w:rsidR="00777275">
        <w:rPr>
          <w:rFonts w:ascii="AvantGarde Bk BT" w:hAnsi="AvantGarde Bk BT" w:cs="Arial"/>
          <w:color w:val="000000" w:themeColor="text1"/>
          <w:sz w:val="24"/>
          <w:szCs w:val="24"/>
        </w:rPr>
        <w:t xml:space="preserve"> la Plataf</w:t>
      </w:r>
      <w:r w:rsidR="0063328B">
        <w:rPr>
          <w:rFonts w:ascii="AvantGarde Bk BT" w:hAnsi="AvantGarde Bk BT" w:cs="Arial"/>
          <w:color w:val="000000" w:themeColor="text1"/>
          <w:sz w:val="24"/>
          <w:szCs w:val="24"/>
        </w:rPr>
        <w:t>orma Nacional de Transparencia</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Pr="003813BD">
        <w:rPr>
          <w:rFonts w:ascii="AvantGarde Bk BT" w:hAnsi="AvantGarde Bk BT" w:cs="Arial"/>
          <w:color w:val="000000" w:themeColor="text1"/>
          <w:sz w:val="24"/>
          <w:szCs w:val="24"/>
        </w:rPr>
        <w:t>:</w:t>
      </w:r>
    </w:p>
    <w:p w14:paraId="100BDE2C" w14:textId="77777777" w:rsidR="001F3E30" w:rsidRPr="001F3E30" w:rsidRDefault="00777275" w:rsidP="001F3E30">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color w:val="000000" w:themeColor="text1"/>
          <w:sz w:val="24"/>
          <w:szCs w:val="24"/>
        </w:rPr>
        <w:t>“</w:t>
      </w:r>
      <w:r w:rsidR="001F3E30" w:rsidRPr="001F3E30">
        <w:rPr>
          <w:rFonts w:ascii="AvantGarde Bk BT" w:hAnsi="AvantGarde Bk BT" w:cs="Arial"/>
          <w:i/>
          <w:color w:val="000000" w:themeColor="text1"/>
          <w:sz w:val="22"/>
          <w:szCs w:val="24"/>
        </w:rPr>
        <w:t>Se solicita un ejemplar del Programa conjunto del grupo interdisciplinario para la limpieza y conservación de la presa San José, así como un ejemplar del Subprograma de trabajo para la implementación de dicho plan, incluyendo el plan conjunto y el cronograma de actuación con objetivos a corto, mediano y largo plazo y un ejemplar de todas y cada una de las Actas y/o acuerdos que haya celebrado dicho grupo interdisciplinario, desde su conformación a la fecha.</w:t>
      </w:r>
    </w:p>
    <w:p w14:paraId="6DC16B7B" w14:textId="5786F07F" w:rsidR="00777275" w:rsidRDefault="001F3E30" w:rsidP="001F3E30">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1F3E30">
        <w:rPr>
          <w:rFonts w:ascii="AvantGarde Bk BT" w:hAnsi="AvantGarde Bk BT" w:cs="Arial"/>
          <w:i/>
          <w:color w:val="000000" w:themeColor="text1"/>
          <w:sz w:val="22"/>
          <w:szCs w:val="24"/>
        </w:rPr>
        <w:t>Se solicita que en caso de que así sea, se emita constancia oficial de la no existencia de la información y documentación solicitada</w:t>
      </w:r>
      <w:r w:rsidR="00777275" w:rsidRPr="0063328B">
        <w:rPr>
          <w:rFonts w:ascii="AvantGarde Bk BT" w:hAnsi="AvantGarde Bk BT" w:cs="Arial"/>
          <w:i/>
          <w:color w:val="000000" w:themeColor="text1"/>
          <w:sz w:val="22"/>
          <w:szCs w:val="24"/>
        </w:rPr>
        <w:t>.</w:t>
      </w:r>
      <w:r w:rsidR="00777275">
        <w:rPr>
          <w:rFonts w:ascii="AvantGarde Bk BT" w:hAnsi="AvantGarde Bk BT" w:cs="Arial"/>
          <w:color w:val="000000" w:themeColor="text1"/>
          <w:sz w:val="24"/>
          <w:szCs w:val="24"/>
        </w:rPr>
        <w:t>”</w:t>
      </w:r>
      <w:r w:rsidR="00F1194D">
        <w:rPr>
          <w:rFonts w:ascii="AvantGarde Bk BT" w:hAnsi="AvantGarde Bk BT" w:cs="Arial"/>
          <w:color w:val="000000" w:themeColor="text1"/>
          <w:sz w:val="24"/>
          <w:szCs w:val="24"/>
        </w:rPr>
        <w:t xml:space="preserve"> SIC.</w:t>
      </w:r>
    </w:p>
    <w:p w14:paraId="09F1A0C5" w14:textId="3DD7245C" w:rsidR="002947D7" w:rsidRDefault="002947D7" w:rsidP="0082772D">
      <w:pPr>
        <w:pStyle w:val="corte4fondo"/>
        <w:tabs>
          <w:tab w:val="left" w:pos="567"/>
        </w:tabs>
        <w:rPr>
          <w:rFonts w:ascii="AvantGarde Bk BT" w:hAnsi="AvantGarde Bk BT" w:cs="Arial"/>
          <w:color w:val="000000" w:themeColor="text1"/>
          <w:sz w:val="24"/>
          <w:szCs w:val="24"/>
        </w:rPr>
      </w:pPr>
      <w:r w:rsidRPr="006E5839">
        <w:rPr>
          <w:rFonts w:ascii="AvantGarde Bk BT" w:hAnsi="AvantGarde Bk BT" w:cs="Arial"/>
          <w:color w:val="000000" w:themeColor="text1"/>
          <w:sz w:val="24"/>
          <w:szCs w:val="24"/>
        </w:rPr>
        <w:t>A dicha solicitud recayó la respuesta emitida por el sujeto</w:t>
      </w:r>
      <w:r w:rsidR="00941ECE" w:rsidRPr="006E5839">
        <w:rPr>
          <w:rFonts w:ascii="AvantGarde Bk BT" w:hAnsi="AvantGarde Bk BT" w:cs="Arial"/>
          <w:color w:val="000000" w:themeColor="text1"/>
          <w:sz w:val="24"/>
          <w:szCs w:val="24"/>
        </w:rPr>
        <w:t xml:space="preserve"> obligado, misma qu</w:t>
      </w:r>
      <w:r w:rsidR="00DB6614" w:rsidRPr="006E5839">
        <w:rPr>
          <w:rFonts w:ascii="AvantGarde Bk BT" w:hAnsi="AvantGarde Bk BT" w:cs="Arial"/>
          <w:color w:val="000000" w:themeColor="text1"/>
          <w:sz w:val="24"/>
          <w:szCs w:val="24"/>
        </w:rPr>
        <w:t xml:space="preserve">e se encuentra visible de foja </w:t>
      </w:r>
      <w:r w:rsidR="001F3E30">
        <w:rPr>
          <w:rFonts w:ascii="AvantGarde Bk BT" w:hAnsi="AvantGarde Bk BT" w:cs="Arial"/>
          <w:color w:val="000000" w:themeColor="text1"/>
          <w:sz w:val="24"/>
          <w:szCs w:val="24"/>
        </w:rPr>
        <w:t>03</w:t>
      </w:r>
      <w:r w:rsidR="00942B1D">
        <w:rPr>
          <w:rFonts w:ascii="AvantGarde Bk BT" w:hAnsi="AvantGarde Bk BT" w:cs="Arial"/>
          <w:color w:val="000000" w:themeColor="text1"/>
          <w:sz w:val="24"/>
          <w:szCs w:val="24"/>
        </w:rPr>
        <w:t xml:space="preserve"> </w:t>
      </w:r>
      <w:r w:rsidR="00941ECE" w:rsidRPr="006E5839">
        <w:rPr>
          <w:rFonts w:ascii="AvantGarde Bk BT" w:hAnsi="AvantGarde Bk BT" w:cs="Arial"/>
          <w:color w:val="000000" w:themeColor="text1"/>
          <w:sz w:val="24"/>
          <w:szCs w:val="24"/>
        </w:rPr>
        <w:t>de autos y que fue emitida en los siguientes términos</w:t>
      </w:r>
      <w:r w:rsidRPr="006E5839">
        <w:rPr>
          <w:rFonts w:ascii="AvantGarde Bk BT" w:hAnsi="AvantGarde Bk BT" w:cs="Arial"/>
          <w:color w:val="000000" w:themeColor="text1"/>
          <w:sz w:val="24"/>
          <w:szCs w:val="24"/>
        </w:rPr>
        <w:t>:</w:t>
      </w:r>
    </w:p>
    <w:p w14:paraId="3EE68ECD" w14:textId="7EF51584" w:rsidR="000403DC" w:rsidRPr="000403DC" w:rsidRDefault="008572A9" w:rsidP="000403DC">
      <w:pPr>
        <w:spacing w:after="0" w:line="240" w:lineRule="auto"/>
        <w:ind w:left="680" w:right="680"/>
        <w:jc w:val="both"/>
        <w:rPr>
          <w:rFonts w:ascii="AvantGarde Bk BT" w:hAnsi="AvantGarde Bk BT" w:cs="Arial"/>
          <w:i/>
          <w:color w:val="000000" w:themeColor="text1"/>
        </w:rPr>
      </w:pPr>
      <w:r>
        <w:rPr>
          <w:rFonts w:ascii="AvantGarde Bk BT" w:hAnsi="AvantGarde Bk BT" w:cs="Arial"/>
          <w:color w:val="000000" w:themeColor="text1"/>
          <w:sz w:val="24"/>
          <w:szCs w:val="24"/>
        </w:rPr>
        <w:t>“</w:t>
      </w:r>
      <w:r w:rsidR="000403DC" w:rsidRPr="000403DC">
        <w:rPr>
          <w:rFonts w:ascii="AvantGarde Bk BT" w:hAnsi="AvantGarde Bk BT" w:cs="Arial"/>
          <w:i/>
          <w:color w:val="000000" w:themeColor="text1"/>
        </w:rPr>
        <w:t>En atención a su solicitud con el número de folio 240467824000010, presentad</w:t>
      </w:r>
      <w:r w:rsidR="000403DC">
        <w:rPr>
          <w:rFonts w:ascii="AvantGarde Bk BT" w:hAnsi="AvantGarde Bk BT" w:cs="Arial"/>
          <w:i/>
          <w:color w:val="000000" w:themeColor="text1"/>
        </w:rPr>
        <w:t xml:space="preserve">a el día 16 de julio de 2024 a </w:t>
      </w:r>
      <w:r w:rsidR="000403DC" w:rsidRPr="000403DC">
        <w:rPr>
          <w:rFonts w:ascii="AvantGarde Bk BT" w:hAnsi="AvantGarde Bk BT" w:cs="Arial"/>
          <w:i/>
          <w:color w:val="000000" w:themeColor="text1"/>
        </w:rPr>
        <w:t>las 23:35:32 horas, mediante la Plataforma Nacional de Transparencia SIS</w:t>
      </w:r>
      <w:r w:rsidR="000403DC">
        <w:rPr>
          <w:rFonts w:ascii="AvantGarde Bk BT" w:hAnsi="AvantGarde Bk BT" w:cs="Arial"/>
          <w:i/>
          <w:color w:val="000000" w:themeColor="text1"/>
        </w:rPr>
        <w:t xml:space="preserve">AI 2.0, el Consejo Potosino de </w:t>
      </w:r>
      <w:r w:rsidR="000403DC" w:rsidRPr="000403DC">
        <w:rPr>
          <w:rFonts w:ascii="AvantGarde Bk BT" w:hAnsi="AvantGarde Bk BT" w:cs="Arial"/>
          <w:i/>
          <w:color w:val="000000" w:themeColor="text1"/>
        </w:rPr>
        <w:t xml:space="preserve">Ciencia y Tecnología (COPOCYT), a través de su Unidad de Transparencia, le informa lo siguiente: </w:t>
      </w:r>
    </w:p>
    <w:p w14:paraId="2E011D00" w14:textId="77777777" w:rsidR="000403DC" w:rsidRPr="000403DC" w:rsidRDefault="000403DC" w:rsidP="000403DC">
      <w:pPr>
        <w:spacing w:after="0" w:line="240" w:lineRule="auto"/>
        <w:ind w:left="680" w:right="680"/>
        <w:jc w:val="both"/>
        <w:rPr>
          <w:rFonts w:ascii="AvantGarde Bk BT" w:hAnsi="AvantGarde Bk BT" w:cs="Arial"/>
          <w:i/>
          <w:color w:val="000000" w:themeColor="text1"/>
        </w:rPr>
      </w:pPr>
      <w:r w:rsidRPr="000403DC">
        <w:rPr>
          <w:rFonts w:ascii="AvantGarde Bk BT" w:hAnsi="AvantGarde Bk BT" w:cs="Arial"/>
          <w:i/>
          <w:color w:val="000000" w:themeColor="text1"/>
        </w:rPr>
        <w:t xml:space="preserve">Solicitud: </w:t>
      </w:r>
    </w:p>
    <w:p w14:paraId="2CA463FA" w14:textId="5C61461A" w:rsidR="000403DC" w:rsidRPr="000403DC" w:rsidRDefault="000403DC" w:rsidP="000403DC">
      <w:pPr>
        <w:spacing w:after="0" w:line="240" w:lineRule="auto"/>
        <w:ind w:left="680" w:right="680"/>
        <w:jc w:val="both"/>
        <w:rPr>
          <w:rFonts w:ascii="AvantGarde Bk BT" w:hAnsi="AvantGarde Bk BT" w:cs="Arial"/>
          <w:i/>
          <w:color w:val="000000" w:themeColor="text1"/>
        </w:rPr>
      </w:pPr>
      <w:r w:rsidRPr="000403DC">
        <w:rPr>
          <w:rFonts w:ascii="AvantGarde Bk BT" w:hAnsi="AvantGarde Bk BT" w:cs="Arial"/>
          <w:i/>
          <w:color w:val="000000" w:themeColor="text1"/>
        </w:rPr>
        <w:t>Se solicita un ejemplar del Programa conjunto del grupo interdisciplinario p</w:t>
      </w:r>
      <w:r>
        <w:rPr>
          <w:rFonts w:ascii="AvantGarde Bk BT" w:hAnsi="AvantGarde Bk BT" w:cs="Arial"/>
          <w:i/>
          <w:color w:val="000000" w:themeColor="text1"/>
        </w:rPr>
        <w:t xml:space="preserve">ara la limpieza y conservación </w:t>
      </w:r>
      <w:r w:rsidRPr="000403DC">
        <w:rPr>
          <w:rFonts w:ascii="AvantGarde Bk BT" w:hAnsi="AvantGarde Bk BT" w:cs="Arial"/>
          <w:i/>
          <w:color w:val="000000" w:themeColor="text1"/>
        </w:rPr>
        <w:t>de la presa San José, así como un ejemplar del Subprograma de trabajo p</w:t>
      </w:r>
      <w:r>
        <w:rPr>
          <w:rFonts w:ascii="AvantGarde Bk BT" w:hAnsi="AvantGarde Bk BT" w:cs="Arial"/>
          <w:i/>
          <w:color w:val="000000" w:themeColor="text1"/>
        </w:rPr>
        <w:t xml:space="preserve">ara la implementación de dicho </w:t>
      </w:r>
      <w:r w:rsidRPr="000403DC">
        <w:rPr>
          <w:rFonts w:ascii="AvantGarde Bk BT" w:hAnsi="AvantGarde Bk BT" w:cs="Arial"/>
          <w:i/>
          <w:color w:val="000000" w:themeColor="text1"/>
        </w:rPr>
        <w:t>plan, incluyendo el plan conjunto y el cronograma de actuación con objetivos a corto, mediano y largo</w:t>
      </w:r>
      <w:r>
        <w:rPr>
          <w:rFonts w:ascii="AvantGarde Bk BT" w:hAnsi="AvantGarde Bk BT" w:cs="Arial"/>
          <w:i/>
          <w:color w:val="000000" w:themeColor="text1"/>
        </w:rPr>
        <w:t xml:space="preserve"> </w:t>
      </w:r>
      <w:r w:rsidRPr="000403DC">
        <w:rPr>
          <w:rFonts w:ascii="AvantGarde Bk BT" w:hAnsi="AvantGarde Bk BT" w:cs="Arial"/>
          <w:i/>
          <w:color w:val="000000" w:themeColor="text1"/>
        </w:rPr>
        <w:t xml:space="preserve">plazo y un ejemplar de todas y cada una de las Actas y/o acuerdos </w:t>
      </w:r>
      <w:r>
        <w:rPr>
          <w:rFonts w:ascii="AvantGarde Bk BT" w:hAnsi="AvantGarde Bk BT" w:cs="Arial"/>
          <w:i/>
          <w:color w:val="000000" w:themeColor="text1"/>
        </w:rPr>
        <w:t xml:space="preserve">que haya celebrado dicho grupo </w:t>
      </w:r>
      <w:r w:rsidRPr="000403DC">
        <w:rPr>
          <w:rFonts w:ascii="AvantGarde Bk BT" w:hAnsi="AvantGarde Bk BT" w:cs="Arial"/>
          <w:i/>
          <w:color w:val="000000" w:themeColor="text1"/>
        </w:rPr>
        <w:t xml:space="preserve">interdisciplinario, desde su conformación a la fecha. </w:t>
      </w:r>
    </w:p>
    <w:p w14:paraId="3A7EBB30" w14:textId="2FCC55EA" w:rsidR="000403DC" w:rsidRPr="000403DC" w:rsidRDefault="000403DC" w:rsidP="000403DC">
      <w:pPr>
        <w:spacing w:after="0" w:line="240" w:lineRule="auto"/>
        <w:ind w:left="680" w:right="680"/>
        <w:jc w:val="both"/>
        <w:rPr>
          <w:rFonts w:ascii="AvantGarde Bk BT" w:hAnsi="AvantGarde Bk BT" w:cs="Arial"/>
          <w:i/>
          <w:color w:val="000000" w:themeColor="text1"/>
        </w:rPr>
      </w:pPr>
      <w:r w:rsidRPr="000403DC">
        <w:rPr>
          <w:rFonts w:ascii="AvantGarde Bk BT" w:hAnsi="AvantGarde Bk BT" w:cs="Arial"/>
          <w:i/>
          <w:color w:val="000000" w:themeColor="text1"/>
        </w:rPr>
        <w:t>Se solicita que en caso de que así sea, se emita constancia oficial de la no existencia de la informa</w:t>
      </w:r>
      <w:r>
        <w:rPr>
          <w:rFonts w:ascii="AvantGarde Bk BT" w:hAnsi="AvantGarde Bk BT" w:cs="Arial"/>
          <w:i/>
          <w:color w:val="000000" w:themeColor="text1"/>
        </w:rPr>
        <w:t xml:space="preserve">ción y </w:t>
      </w:r>
      <w:r w:rsidRPr="000403DC">
        <w:rPr>
          <w:rFonts w:ascii="AvantGarde Bk BT" w:hAnsi="AvantGarde Bk BT" w:cs="Arial"/>
          <w:i/>
          <w:color w:val="000000" w:themeColor="text1"/>
        </w:rPr>
        <w:t xml:space="preserve">documentación solicitada </w:t>
      </w:r>
    </w:p>
    <w:p w14:paraId="2AE002F8" w14:textId="77777777" w:rsidR="000403DC" w:rsidRPr="000403DC" w:rsidRDefault="000403DC" w:rsidP="000403DC">
      <w:pPr>
        <w:spacing w:after="0" w:line="240" w:lineRule="auto"/>
        <w:ind w:left="680" w:right="680"/>
        <w:jc w:val="both"/>
        <w:rPr>
          <w:rFonts w:ascii="AvantGarde Bk BT" w:hAnsi="AvantGarde Bk BT" w:cs="Arial"/>
          <w:i/>
          <w:color w:val="000000" w:themeColor="text1"/>
        </w:rPr>
      </w:pPr>
      <w:r w:rsidRPr="000403DC">
        <w:rPr>
          <w:rFonts w:ascii="AvantGarde Bk BT" w:hAnsi="AvantGarde Bk BT" w:cs="Arial"/>
          <w:i/>
          <w:color w:val="000000" w:themeColor="text1"/>
        </w:rPr>
        <w:t xml:space="preserve">Respuesta: </w:t>
      </w:r>
    </w:p>
    <w:p w14:paraId="28E8F531" w14:textId="77902F91" w:rsidR="000403DC" w:rsidRPr="000403DC" w:rsidRDefault="000403DC" w:rsidP="000403DC">
      <w:pPr>
        <w:spacing w:after="0" w:line="240" w:lineRule="auto"/>
        <w:ind w:left="680" w:right="680"/>
        <w:jc w:val="both"/>
        <w:rPr>
          <w:rFonts w:ascii="AvantGarde Bk BT" w:hAnsi="AvantGarde Bk BT" w:cs="Arial"/>
          <w:i/>
          <w:color w:val="000000" w:themeColor="text1"/>
        </w:rPr>
      </w:pPr>
      <w:r w:rsidRPr="000403DC">
        <w:rPr>
          <w:rFonts w:ascii="AvantGarde Bk BT" w:hAnsi="AvantGarde Bk BT" w:cs="Arial"/>
          <w:i/>
          <w:color w:val="000000" w:themeColor="text1"/>
        </w:rPr>
        <w:t>En atención a su solicitud, se le informa que el Comité de Trasparencia del</w:t>
      </w:r>
      <w:r>
        <w:rPr>
          <w:rFonts w:ascii="AvantGarde Bk BT" w:hAnsi="AvantGarde Bk BT" w:cs="Arial"/>
          <w:i/>
          <w:color w:val="000000" w:themeColor="text1"/>
        </w:rPr>
        <w:t xml:space="preserve"> Consejo Potosino de Ciencia y </w:t>
      </w:r>
      <w:r w:rsidRPr="000403DC">
        <w:rPr>
          <w:rFonts w:ascii="AvantGarde Bk BT" w:hAnsi="AvantGarde Bk BT" w:cs="Arial"/>
          <w:i/>
          <w:color w:val="000000" w:themeColor="text1"/>
        </w:rPr>
        <w:t>Tecnología, en su Primera Sesión Extraordinaria 2024, realizada el 09 de agosto de 2024, aprobó clasifi</w:t>
      </w:r>
      <w:r>
        <w:rPr>
          <w:rFonts w:ascii="AvantGarde Bk BT" w:hAnsi="AvantGarde Bk BT" w:cs="Arial"/>
          <w:i/>
          <w:color w:val="000000" w:themeColor="text1"/>
        </w:rPr>
        <w:t xml:space="preserve">car </w:t>
      </w:r>
      <w:r w:rsidRPr="000403DC">
        <w:rPr>
          <w:rFonts w:ascii="AvantGarde Bk BT" w:hAnsi="AvantGarde Bk BT" w:cs="Arial"/>
          <w:i/>
          <w:color w:val="000000" w:themeColor="text1"/>
        </w:rPr>
        <w:t>como Reservada totalmente la información generada por el Grupo Interdisciplinario Especializado en Medio Ambiente, Agua, Salud y Lirio Acuático, bajo el resguardo del COPOCYT, en virtud de que se encuentra relacionada directamente con el proceso del juicio de amparo i</w:t>
      </w:r>
      <w:r>
        <w:rPr>
          <w:rFonts w:ascii="AvantGarde Bk BT" w:hAnsi="AvantGarde Bk BT" w:cs="Arial"/>
          <w:i/>
          <w:color w:val="000000" w:themeColor="text1"/>
        </w:rPr>
        <w:t xml:space="preserve">ndirecto 729/2018, conforme lo </w:t>
      </w:r>
      <w:r w:rsidRPr="000403DC">
        <w:rPr>
          <w:rFonts w:ascii="AvantGarde Bk BT" w:hAnsi="AvantGarde Bk BT" w:cs="Arial"/>
          <w:i/>
          <w:color w:val="000000" w:themeColor="text1"/>
        </w:rPr>
        <w:t xml:space="preserve">siguiente: </w:t>
      </w:r>
    </w:p>
    <w:p w14:paraId="7FDC1565" w14:textId="4A8D2081" w:rsidR="000403DC" w:rsidRPr="000403DC" w:rsidRDefault="000403DC" w:rsidP="000403DC">
      <w:pPr>
        <w:spacing w:after="0" w:line="240" w:lineRule="auto"/>
        <w:ind w:left="680" w:right="680"/>
        <w:jc w:val="both"/>
        <w:rPr>
          <w:rFonts w:ascii="AvantGarde Bk BT" w:hAnsi="AvantGarde Bk BT" w:cs="Arial"/>
          <w:i/>
          <w:color w:val="000000" w:themeColor="text1"/>
        </w:rPr>
      </w:pPr>
      <w:r w:rsidRPr="000403DC">
        <w:rPr>
          <w:rFonts w:ascii="AvantGarde Bk BT" w:hAnsi="AvantGarde Bk BT" w:cs="Arial"/>
          <w:i/>
          <w:color w:val="000000" w:themeColor="text1"/>
        </w:rPr>
        <w:t xml:space="preserve">“CT/2024/SE-01/04. Los miembros del Comité de Transparencia </w:t>
      </w:r>
      <w:r>
        <w:rPr>
          <w:rFonts w:ascii="AvantGarde Bk BT" w:hAnsi="AvantGarde Bk BT" w:cs="Arial"/>
          <w:i/>
          <w:color w:val="000000" w:themeColor="text1"/>
        </w:rPr>
        <w:t xml:space="preserve">del COPOCYT, con fundamento en </w:t>
      </w:r>
      <w:r w:rsidRPr="000403DC">
        <w:rPr>
          <w:rFonts w:ascii="AvantGarde Bk BT" w:hAnsi="AvantGarde Bk BT" w:cs="Arial"/>
          <w:i/>
          <w:color w:val="000000" w:themeColor="text1"/>
        </w:rPr>
        <w:t>los artículos 44 fracción II, 100, 106 fracción I y 113 fracción XI de la Ley General de Transparenci</w:t>
      </w:r>
      <w:r>
        <w:rPr>
          <w:rFonts w:ascii="AvantGarde Bk BT" w:hAnsi="AvantGarde Bk BT" w:cs="Arial"/>
          <w:i/>
          <w:color w:val="000000" w:themeColor="text1"/>
        </w:rPr>
        <w:t xml:space="preserve">a y </w:t>
      </w:r>
      <w:r w:rsidRPr="000403DC">
        <w:rPr>
          <w:rFonts w:ascii="AvantGarde Bk BT" w:hAnsi="AvantGarde Bk BT" w:cs="Arial"/>
          <w:i/>
          <w:color w:val="000000" w:themeColor="text1"/>
        </w:rPr>
        <w:t>Acceso a la Información Pública; los artículos 52 fracción II, 120 fracción</w:t>
      </w:r>
      <w:r>
        <w:rPr>
          <w:rFonts w:ascii="AvantGarde Bk BT" w:hAnsi="AvantGarde Bk BT" w:cs="Arial"/>
          <w:i/>
          <w:color w:val="000000" w:themeColor="text1"/>
        </w:rPr>
        <w:t xml:space="preserve"> I, 127 y 129 fracción X de la </w:t>
      </w:r>
      <w:r w:rsidRPr="000403DC">
        <w:rPr>
          <w:rFonts w:ascii="AvantGarde Bk BT" w:hAnsi="AvantGarde Bk BT" w:cs="Arial"/>
          <w:i/>
          <w:color w:val="000000" w:themeColor="text1"/>
        </w:rPr>
        <w:t>Ley de Transparencia y Acceso a la Información Pública del Estado de</w:t>
      </w:r>
      <w:r>
        <w:rPr>
          <w:rFonts w:ascii="AvantGarde Bk BT" w:hAnsi="AvantGarde Bk BT" w:cs="Arial"/>
          <w:i/>
          <w:color w:val="000000" w:themeColor="text1"/>
        </w:rPr>
        <w:t xml:space="preserve"> San Luis Potosí y el artículo </w:t>
      </w:r>
      <w:r w:rsidRPr="000403DC">
        <w:rPr>
          <w:rFonts w:ascii="AvantGarde Bk BT" w:hAnsi="AvantGarde Bk BT" w:cs="Arial"/>
          <w:i/>
          <w:color w:val="000000" w:themeColor="text1"/>
        </w:rPr>
        <w:t>Trigésimo de los Lineamientos Generales en Materia de Clasific</w:t>
      </w:r>
      <w:r>
        <w:rPr>
          <w:rFonts w:ascii="AvantGarde Bk BT" w:hAnsi="AvantGarde Bk BT" w:cs="Arial"/>
          <w:i/>
          <w:color w:val="000000" w:themeColor="text1"/>
        </w:rPr>
        <w:t xml:space="preserve">ación y </w:t>
      </w:r>
      <w:r>
        <w:rPr>
          <w:rFonts w:ascii="AvantGarde Bk BT" w:hAnsi="AvantGarde Bk BT" w:cs="Arial"/>
          <w:i/>
          <w:color w:val="000000" w:themeColor="text1"/>
        </w:rPr>
        <w:lastRenderedPageBreak/>
        <w:t xml:space="preserve">Desclasificación de la </w:t>
      </w:r>
      <w:r w:rsidRPr="000403DC">
        <w:rPr>
          <w:rFonts w:ascii="AvantGarde Bk BT" w:hAnsi="AvantGarde Bk BT" w:cs="Arial"/>
          <w:i/>
          <w:color w:val="000000" w:themeColor="text1"/>
        </w:rPr>
        <w:t>Información, así como para la Elaboración de Versiones Pública</w:t>
      </w:r>
      <w:r>
        <w:rPr>
          <w:rFonts w:ascii="AvantGarde Bk BT" w:hAnsi="AvantGarde Bk BT" w:cs="Arial"/>
          <w:i/>
          <w:color w:val="000000" w:themeColor="text1"/>
        </w:rPr>
        <w:t xml:space="preserve">s, aprueban por unanimidad, lo </w:t>
      </w:r>
      <w:r w:rsidRPr="000403DC">
        <w:rPr>
          <w:rFonts w:ascii="AvantGarde Bk BT" w:hAnsi="AvantGarde Bk BT" w:cs="Arial"/>
          <w:i/>
          <w:color w:val="000000" w:themeColor="text1"/>
        </w:rPr>
        <w:t xml:space="preserve">siguiente:  </w:t>
      </w:r>
    </w:p>
    <w:p w14:paraId="06375961" w14:textId="7FB2C6F0" w:rsidR="000403DC" w:rsidRPr="000403DC" w:rsidRDefault="000403DC" w:rsidP="000403DC">
      <w:pPr>
        <w:spacing w:after="0" w:line="240" w:lineRule="auto"/>
        <w:ind w:left="680" w:right="680"/>
        <w:jc w:val="both"/>
        <w:rPr>
          <w:rFonts w:ascii="AvantGarde Bk BT" w:hAnsi="AvantGarde Bk BT" w:cs="Arial"/>
          <w:i/>
          <w:color w:val="000000" w:themeColor="text1"/>
        </w:rPr>
      </w:pPr>
      <w:r w:rsidRPr="000403DC">
        <w:rPr>
          <w:rFonts w:ascii="AvantGarde Bk BT" w:hAnsi="AvantGarde Bk BT" w:cs="Arial"/>
          <w:i/>
          <w:color w:val="000000" w:themeColor="text1"/>
        </w:rPr>
        <w:t>a. Clasificar como reservada totalmente la información generada p</w:t>
      </w:r>
      <w:r>
        <w:rPr>
          <w:rFonts w:ascii="AvantGarde Bk BT" w:hAnsi="AvantGarde Bk BT" w:cs="Arial"/>
          <w:i/>
          <w:color w:val="000000" w:themeColor="text1"/>
        </w:rPr>
        <w:t xml:space="preserve">or el Grupo Interdisciplinario </w:t>
      </w:r>
      <w:r w:rsidRPr="000403DC">
        <w:rPr>
          <w:rFonts w:ascii="AvantGarde Bk BT" w:hAnsi="AvantGarde Bk BT" w:cs="Arial"/>
          <w:i/>
          <w:color w:val="000000" w:themeColor="text1"/>
        </w:rPr>
        <w:t>Especializado en Medio Ambiente, Agua, Salud y Lirio Acuático, baj</w:t>
      </w:r>
      <w:r>
        <w:rPr>
          <w:rFonts w:ascii="AvantGarde Bk BT" w:hAnsi="AvantGarde Bk BT" w:cs="Arial"/>
          <w:i/>
          <w:color w:val="000000" w:themeColor="text1"/>
        </w:rPr>
        <w:t xml:space="preserve">o el resguardo del COPOCYT, en </w:t>
      </w:r>
      <w:r w:rsidRPr="000403DC">
        <w:rPr>
          <w:rFonts w:ascii="AvantGarde Bk BT" w:hAnsi="AvantGarde Bk BT" w:cs="Arial"/>
          <w:i/>
          <w:color w:val="000000" w:themeColor="text1"/>
        </w:rPr>
        <w:t xml:space="preserve">virtud de que se encuentra relacionada directamente con el proceso </w:t>
      </w:r>
      <w:r>
        <w:rPr>
          <w:rFonts w:ascii="AvantGarde Bk BT" w:hAnsi="AvantGarde Bk BT" w:cs="Arial"/>
          <w:i/>
          <w:color w:val="000000" w:themeColor="text1"/>
        </w:rPr>
        <w:t xml:space="preserve">del juicio de amparo indirecto </w:t>
      </w:r>
      <w:r w:rsidRPr="000403DC">
        <w:rPr>
          <w:rFonts w:ascii="AvantGarde Bk BT" w:hAnsi="AvantGarde Bk BT" w:cs="Arial"/>
          <w:i/>
          <w:color w:val="000000" w:themeColor="text1"/>
        </w:rPr>
        <w:t>729/2018, resguardada por la Dirección General del COPOCYT que ob</w:t>
      </w:r>
      <w:r>
        <w:rPr>
          <w:rFonts w:ascii="AvantGarde Bk BT" w:hAnsi="AvantGarde Bk BT" w:cs="Arial"/>
          <w:i/>
          <w:color w:val="000000" w:themeColor="text1"/>
        </w:rPr>
        <w:t xml:space="preserve">ra en el archivo de trámite de </w:t>
      </w:r>
      <w:r w:rsidRPr="000403DC">
        <w:rPr>
          <w:rFonts w:ascii="AvantGarde Bk BT" w:hAnsi="AvantGarde Bk BT" w:cs="Arial"/>
          <w:i/>
          <w:color w:val="000000" w:themeColor="text1"/>
        </w:rPr>
        <w:t xml:space="preserve">dicha Dirección, hasta que dicho juicio cause estado. </w:t>
      </w:r>
    </w:p>
    <w:p w14:paraId="37BFB0BC" w14:textId="6D2CAAAB" w:rsidR="000403DC" w:rsidRPr="000403DC" w:rsidRDefault="000403DC" w:rsidP="000403DC">
      <w:pPr>
        <w:spacing w:after="0" w:line="240" w:lineRule="auto"/>
        <w:ind w:left="680" w:right="680"/>
        <w:jc w:val="both"/>
        <w:rPr>
          <w:rFonts w:ascii="AvantGarde Bk BT" w:hAnsi="AvantGarde Bk BT" w:cs="Arial"/>
          <w:i/>
          <w:color w:val="000000" w:themeColor="text1"/>
        </w:rPr>
      </w:pPr>
      <w:r w:rsidRPr="000403DC">
        <w:rPr>
          <w:rFonts w:ascii="AvantGarde Bk BT" w:hAnsi="AvantGarde Bk BT" w:cs="Arial"/>
          <w:i/>
          <w:color w:val="000000" w:themeColor="text1"/>
        </w:rPr>
        <w:t>b. Someter a consideración del Comité de Transparencia d</w:t>
      </w:r>
      <w:r>
        <w:rPr>
          <w:rFonts w:ascii="AvantGarde Bk BT" w:hAnsi="AvantGarde Bk BT" w:cs="Arial"/>
          <w:i/>
          <w:color w:val="000000" w:themeColor="text1"/>
        </w:rPr>
        <w:t xml:space="preserve">el COPOCYT la reserva de dicha </w:t>
      </w:r>
      <w:r w:rsidRPr="000403DC">
        <w:rPr>
          <w:rFonts w:ascii="AvantGarde Bk BT" w:hAnsi="AvantGarde Bk BT" w:cs="Arial"/>
          <w:i/>
          <w:color w:val="000000" w:themeColor="text1"/>
        </w:rPr>
        <w:t>información, una vez al año, en tanto no se cumpla el plazo de su desc</w:t>
      </w:r>
      <w:r>
        <w:rPr>
          <w:rFonts w:ascii="AvantGarde Bk BT" w:hAnsi="AvantGarde Bk BT" w:cs="Arial"/>
          <w:i/>
          <w:color w:val="000000" w:themeColor="text1"/>
        </w:rPr>
        <w:t xml:space="preserve">lasificación, con la finalidad </w:t>
      </w:r>
      <w:r w:rsidRPr="000403DC">
        <w:rPr>
          <w:rFonts w:ascii="AvantGarde Bk BT" w:hAnsi="AvantGarde Bk BT" w:cs="Arial"/>
          <w:i/>
          <w:color w:val="000000" w:themeColor="text1"/>
        </w:rPr>
        <w:t xml:space="preserve">de ratificar la reserva de la información de conformidad con el juicio de amparo indirecto 729/2018. </w:t>
      </w:r>
    </w:p>
    <w:p w14:paraId="57458721" w14:textId="0F688EE7" w:rsidR="000403DC" w:rsidRPr="000403DC" w:rsidRDefault="000403DC" w:rsidP="000403DC">
      <w:pPr>
        <w:spacing w:after="0" w:line="240" w:lineRule="auto"/>
        <w:ind w:left="680" w:right="680"/>
        <w:jc w:val="both"/>
        <w:rPr>
          <w:rFonts w:ascii="AvantGarde Bk BT" w:hAnsi="AvantGarde Bk BT" w:cs="Arial"/>
          <w:i/>
          <w:color w:val="000000" w:themeColor="text1"/>
        </w:rPr>
      </w:pPr>
      <w:r w:rsidRPr="000403DC">
        <w:rPr>
          <w:rFonts w:ascii="AvantGarde Bk BT" w:hAnsi="AvantGarde Bk BT" w:cs="Arial"/>
          <w:i/>
          <w:color w:val="000000" w:themeColor="text1"/>
        </w:rPr>
        <w:t>c. La información reservada quedará bajo la responsabilidad y resguar</w:t>
      </w:r>
      <w:r>
        <w:rPr>
          <w:rFonts w:ascii="AvantGarde Bk BT" w:hAnsi="AvantGarde Bk BT" w:cs="Arial"/>
          <w:i/>
          <w:color w:val="000000" w:themeColor="text1"/>
        </w:rPr>
        <w:t xml:space="preserve">do de la Dirección General del </w:t>
      </w:r>
      <w:r w:rsidRPr="000403DC">
        <w:rPr>
          <w:rFonts w:ascii="AvantGarde Bk BT" w:hAnsi="AvantGarde Bk BT" w:cs="Arial"/>
          <w:i/>
          <w:color w:val="000000" w:themeColor="text1"/>
        </w:rPr>
        <w:t>COPOCYT, quien dará el tratamiento conforme lo señala</w:t>
      </w:r>
      <w:r>
        <w:rPr>
          <w:rFonts w:ascii="AvantGarde Bk BT" w:hAnsi="AvantGarde Bk BT" w:cs="Arial"/>
          <w:i/>
          <w:color w:val="000000" w:themeColor="text1"/>
        </w:rPr>
        <w:t xml:space="preserve"> la normatividad en materia de </w:t>
      </w:r>
      <w:r w:rsidRPr="000403DC">
        <w:rPr>
          <w:rFonts w:ascii="AvantGarde Bk BT" w:hAnsi="AvantGarde Bk BT" w:cs="Arial"/>
          <w:i/>
          <w:color w:val="000000" w:themeColor="text1"/>
        </w:rPr>
        <w:t xml:space="preserve">transparencia.” </w:t>
      </w:r>
    </w:p>
    <w:p w14:paraId="43F54503" w14:textId="4BFF3B66" w:rsidR="00CE2F90" w:rsidRPr="007A2EF8" w:rsidRDefault="000403DC" w:rsidP="000403DC">
      <w:pPr>
        <w:spacing w:after="0" w:line="240" w:lineRule="auto"/>
        <w:ind w:left="680" w:right="680"/>
        <w:jc w:val="both"/>
        <w:rPr>
          <w:rFonts w:ascii="AvantGarde Bk BT" w:hAnsi="AvantGarde Bk BT" w:cs="Arial"/>
          <w:i/>
          <w:color w:val="000000" w:themeColor="text1"/>
        </w:rPr>
      </w:pPr>
      <w:r>
        <w:rPr>
          <w:rFonts w:ascii="AvantGarde Bk BT" w:hAnsi="AvantGarde Bk BT" w:cs="Arial"/>
          <w:i/>
          <w:color w:val="000000" w:themeColor="text1"/>
        </w:rPr>
        <w:t>Reciba un cordial saludo</w:t>
      </w:r>
      <w:r w:rsidR="00796426">
        <w:rPr>
          <w:rFonts w:ascii="AvantGarde Bk BT" w:hAnsi="AvantGarde Bk BT" w:cs="Arial"/>
          <w:i/>
          <w:color w:val="000000" w:themeColor="text1"/>
        </w:rPr>
        <w:t>.</w:t>
      </w:r>
      <w:r w:rsidR="00CE2F90">
        <w:rPr>
          <w:rFonts w:ascii="AvantGarde Bk BT" w:hAnsi="AvantGarde Bk BT" w:cs="Arial"/>
          <w:color w:val="000000" w:themeColor="text1"/>
          <w:sz w:val="24"/>
          <w:szCs w:val="24"/>
        </w:rPr>
        <w:t>”</w:t>
      </w:r>
    </w:p>
    <w:p w14:paraId="02BE0104" w14:textId="259799D5" w:rsidR="00E76CB6" w:rsidRDefault="00E76CB6" w:rsidP="0082772D">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 xml:space="preserve">Ahora </w:t>
      </w:r>
      <w:r w:rsidR="003C258D" w:rsidRPr="00132E47">
        <w:rPr>
          <w:rFonts w:ascii="AvantGarde Bk BT" w:hAnsi="AvantGarde Bk BT" w:cs="Arial"/>
          <w:color w:val="000000" w:themeColor="text1"/>
          <w:sz w:val="24"/>
          <w:szCs w:val="24"/>
        </w:rPr>
        <w:t>bien, resulta oportuno precisar que</w:t>
      </w:r>
      <w:r w:rsidR="00B467E0" w:rsidRPr="00132E47">
        <w:rPr>
          <w:rFonts w:ascii="AvantGarde Bk BT" w:hAnsi="AvantGarde Bk BT" w:cs="Arial"/>
          <w:color w:val="000000" w:themeColor="text1"/>
          <w:sz w:val="24"/>
          <w:szCs w:val="24"/>
        </w:rPr>
        <w:t xml:space="preserve"> no es necesario que </w:t>
      </w:r>
      <w:r w:rsidR="003C258D" w:rsidRPr="00132E47">
        <w:rPr>
          <w:rFonts w:ascii="AvantGarde Bk BT" w:hAnsi="AvantGarde Bk BT" w:cs="Arial"/>
          <w:color w:val="000000" w:themeColor="text1"/>
          <w:sz w:val="24"/>
          <w:szCs w:val="24"/>
        </w:rPr>
        <w:t xml:space="preserve">esta Comisión </w:t>
      </w:r>
      <w:r w:rsidR="00B467E0" w:rsidRPr="00132E47">
        <w:rPr>
          <w:rFonts w:ascii="AvantGarde Bk BT" w:hAnsi="AvantGarde Bk BT" w:cs="Arial"/>
          <w:color w:val="000000" w:themeColor="text1"/>
          <w:sz w:val="24"/>
          <w:szCs w:val="24"/>
        </w:rPr>
        <w:t xml:space="preserve">transcriba </w:t>
      </w:r>
      <w:r w:rsidR="00C271DF" w:rsidRPr="00132E47">
        <w:rPr>
          <w:rFonts w:ascii="AvantGarde Bk BT" w:hAnsi="AvantGarde Bk BT" w:cs="Arial"/>
          <w:color w:val="000000" w:themeColor="text1"/>
          <w:sz w:val="24"/>
          <w:szCs w:val="24"/>
        </w:rPr>
        <w:t xml:space="preserve">los agravios vertidos por el ahora recurrente </w:t>
      </w:r>
      <w:r w:rsidR="00B467E0" w:rsidRPr="00132E47">
        <w:rPr>
          <w:rFonts w:ascii="AvantGarde Bk BT" w:hAnsi="AvantGarde Bk BT" w:cs="Arial"/>
          <w:color w:val="000000" w:themeColor="text1"/>
          <w:sz w:val="24"/>
          <w:szCs w:val="24"/>
        </w:rPr>
        <w:t>para efecto de cumplir con los principios de congruencia y exhaustividad en la resolución</w:t>
      </w:r>
      <w:r w:rsidR="006D7705" w:rsidRPr="00132E47">
        <w:rPr>
          <w:rFonts w:ascii="AvantGarde Bk BT" w:hAnsi="AvantGarde Bk BT" w:cs="Arial"/>
          <w:color w:val="000000" w:themeColor="text1"/>
          <w:sz w:val="24"/>
          <w:szCs w:val="24"/>
        </w:rPr>
        <w:t>, toda vez que dichos principios pueden ser satisfechos al establecer los puntos controvertidos dentro del recurso de revisión.</w:t>
      </w:r>
    </w:p>
    <w:p w14:paraId="098C1EC9" w14:textId="706DA89E" w:rsidR="006D7705" w:rsidRDefault="006D7705" w:rsidP="00CC5F74">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anterior, con fundamento en la siguiente jurisprudencia </w:t>
      </w:r>
      <w:r w:rsidR="009D5529">
        <w:rPr>
          <w:rFonts w:ascii="AvantGarde Bk BT" w:hAnsi="AvantGarde Bk BT" w:cs="Arial"/>
          <w:color w:val="000000" w:themeColor="text1"/>
          <w:sz w:val="24"/>
          <w:szCs w:val="24"/>
        </w:rPr>
        <w:t>aplicable por analogía de razón:</w:t>
      </w:r>
    </w:p>
    <w:p w14:paraId="39EAB60D" w14:textId="2D827EFD" w:rsidR="009D5529" w:rsidRDefault="009D5529" w:rsidP="009E2819">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847F87">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47F87">
        <w:rPr>
          <w:rFonts w:ascii="AvantGarde Bk BT" w:hAnsi="AvantGarde Bk BT" w:cs="Arial"/>
          <w:i/>
          <w:color w:val="000000" w:themeColor="text1"/>
          <w:szCs w:val="24"/>
        </w:rPr>
        <w:t>litis</w:t>
      </w:r>
      <w:proofErr w:type="spellEnd"/>
      <w:r w:rsidRPr="00847F87">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42793A93" w14:textId="2637DFFD" w:rsidR="002947D7" w:rsidRDefault="00D26EB0" w:rsidP="00CC5F74">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En é</w:t>
      </w:r>
      <w:r w:rsidR="002947D7" w:rsidRPr="00701A15">
        <w:rPr>
          <w:rFonts w:ascii="AvantGarde Bk BT" w:hAnsi="AvantGarde Bk BT" w:cs="Arial"/>
          <w:color w:val="000000" w:themeColor="text1"/>
          <w:sz w:val="24"/>
          <w:szCs w:val="24"/>
        </w:rPr>
        <w:t>ste contexto, el solicitante de la información interpuso este recurso de rev</w:t>
      </w:r>
      <w:r w:rsidR="009D5529" w:rsidRPr="00701A15">
        <w:rPr>
          <w:rFonts w:ascii="AvantGarde Bk BT" w:hAnsi="AvantGarde Bk BT" w:cs="Arial"/>
          <w:color w:val="000000" w:themeColor="text1"/>
          <w:sz w:val="24"/>
          <w:szCs w:val="24"/>
        </w:rPr>
        <w:t>isión contra dicha respuesta y medularmente</w:t>
      </w:r>
      <w:r w:rsidR="002947D7" w:rsidRPr="00701A15">
        <w:rPr>
          <w:rFonts w:ascii="AvantGarde Bk BT" w:hAnsi="AvantGarde Bk BT" w:cs="Arial"/>
          <w:color w:val="000000" w:themeColor="text1"/>
          <w:sz w:val="24"/>
          <w:szCs w:val="24"/>
        </w:rPr>
        <w:t xml:space="preserve"> señaló como agravio</w:t>
      </w:r>
      <w:r w:rsidR="00DF2E56">
        <w:rPr>
          <w:rFonts w:ascii="AvantGarde Bk BT" w:hAnsi="AvantGarde Bk BT" w:cs="Arial"/>
          <w:color w:val="000000" w:themeColor="text1"/>
          <w:sz w:val="24"/>
          <w:szCs w:val="24"/>
        </w:rPr>
        <w:t xml:space="preserve"> lo siguiente</w:t>
      </w:r>
      <w:r w:rsidR="002947D7" w:rsidRPr="00701A15">
        <w:rPr>
          <w:rFonts w:ascii="AvantGarde Bk BT" w:hAnsi="AvantGarde Bk BT" w:cs="Arial"/>
          <w:color w:val="000000" w:themeColor="text1"/>
          <w:sz w:val="24"/>
          <w:szCs w:val="24"/>
        </w:rPr>
        <w:t>:</w:t>
      </w:r>
    </w:p>
    <w:p w14:paraId="1A5A3236" w14:textId="085987D2" w:rsidR="00764B00" w:rsidRPr="00DF2E56" w:rsidRDefault="00FF7637" w:rsidP="00DF2E56">
      <w:pPr>
        <w:pStyle w:val="Prrafodelista"/>
        <w:numPr>
          <w:ilvl w:val="0"/>
          <w:numId w:val="23"/>
        </w:numPr>
        <w:spacing w:line="360" w:lineRule="auto"/>
        <w:ind w:left="680" w:firstLine="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Por la clasificación de la información</w:t>
      </w:r>
      <w:r w:rsidR="00A4471D" w:rsidRPr="00DF2E56">
        <w:rPr>
          <w:rFonts w:ascii="AvantGarde Bk BT" w:hAnsi="AvantGarde Bk BT" w:cs="Arial"/>
          <w:color w:val="000000" w:themeColor="text1"/>
          <w:sz w:val="24"/>
          <w:szCs w:val="24"/>
        </w:rPr>
        <w:t>.</w:t>
      </w:r>
    </w:p>
    <w:p w14:paraId="3628A98A" w14:textId="33E62AF7" w:rsidR="00A30E4A" w:rsidRDefault="00A30E4A" w:rsidP="00CC5F74">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Dicho lo anterior, </w:t>
      </w:r>
      <w:r w:rsidR="009E2819">
        <w:rPr>
          <w:rFonts w:ascii="AvantGarde Bk BT" w:hAnsi="AvantGarde Bk BT" w:cs="Arial"/>
          <w:color w:val="000000" w:themeColor="text1"/>
          <w:sz w:val="24"/>
          <w:szCs w:val="24"/>
        </w:rPr>
        <w:t>resulta oportuno citar</w:t>
      </w:r>
      <w:r>
        <w:rPr>
          <w:rFonts w:ascii="AvantGarde Bk BT" w:hAnsi="AvantGarde Bk BT" w:cs="Arial"/>
          <w:color w:val="000000" w:themeColor="text1"/>
          <w:sz w:val="24"/>
          <w:szCs w:val="24"/>
        </w:rPr>
        <w:t xml:space="preserve"> el Criterio 01/20 emitido por el Pleno del Instituto Nacional de Transparencia, Acceso a la Información y Protección de Datos Personales, mismo que a continuación se transcribe:</w:t>
      </w:r>
    </w:p>
    <w:p w14:paraId="50FCD54B" w14:textId="77777777" w:rsidR="00A30E4A" w:rsidRDefault="00A30E4A" w:rsidP="009E2819">
      <w:pPr>
        <w:spacing w:line="24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Criterio 01/</w:t>
      </w:r>
      <w:proofErr w:type="gramStart"/>
      <w:r w:rsidRPr="00847F87">
        <w:rPr>
          <w:rFonts w:ascii="AvantGarde Bk BT" w:hAnsi="AvantGarde Bk BT" w:cs="Arial"/>
          <w:b/>
          <w:i/>
          <w:color w:val="000000" w:themeColor="text1"/>
          <w:szCs w:val="24"/>
        </w:rPr>
        <w:t>20 .</w:t>
      </w:r>
      <w:proofErr w:type="gramEnd"/>
      <w:r w:rsidRPr="00847F87">
        <w:rPr>
          <w:rFonts w:ascii="AvantGarde Bk BT" w:hAnsi="AvantGarde Bk BT" w:cs="Arial"/>
          <w:b/>
          <w:i/>
          <w:color w:val="000000" w:themeColor="text1"/>
          <w:szCs w:val="24"/>
        </w:rPr>
        <w:t xml:space="preserve"> Actos consentidos tácitamente. Improcedencia de su análisis.</w:t>
      </w:r>
      <w:r w:rsidRPr="00847F87">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60012C2F" w14:textId="12B13D90" w:rsidR="009E2819" w:rsidRDefault="00A30E4A" w:rsidP="00D23668">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w:t>
      </w:r>
      <w:r w:rsidR="009E2819">
        <w:rPr>
          <w:rFonts w:ascii="AvantGarde Bk BT" w:hAnsi="AvantGarde Bk BT" w:cs="Arial"/>
          <w:color w:val="000000" w:themeColor="text1"/>
          <w:sz w:val="24"/>
          <w:szCs w:val="24"/>
        </w:rPr>
        <w:t xml:space="preserve">aprecia que, cuando en </w:t>
      </w:r>
      <w:r>
        <w:rPr>
          <w:rFonts w:ascii="AvantGarde Bk BT" w:hAnsi="AvantGarde Bk BT" w:cs="Arial"/>
          <w:color w:val="000000" w:themeColor="text1"/>
          <w:sz w:val="24"/>
          <w:szCs w:val="24"/>
        </w:rPr>
        <w:t>un recurso de revisió</w:t>
      </w:r>
      <w:r w:rsidR="009E2819">
        <w:rPr>
          <w:rFonts w:ascii="AvantGarde Bk BT" w:hAnsi="AvantGarde Bk BT" w:cs="Arial"/>
          <w:color w:val="000000" w:themeColor="text1"/>
          <w:sz w:val="24"/>
          <w:szCs w:val="24"/>
        </w:rPr>
        <w:t>n la parte recurrente no expresa</w:t>
      </w:r>
      <w:r>
        <w:rPr>
          <w:rFonts w:ascii="AvantGarde Bk BT" w:hAnsi="AvantGarde Bk BT" w:cs="Arial"/>
          <w:color w:val="000000" w:themeColor="text1"/>
          <w:sz w:val="24"/>
          <w:szCs w:val="24"/>
        </w:rPr>
        <w:t xml:space="preserve"> inconformidad alguna con determinados aspectos de la respuesta emitida por el sujeto obligado, se entiend</w:t>
      </w:r>
      <w:r w:rsidR="009E2819">
        <w:rPr>
          <w:rFonts w:ascii="AvantGarde Bk BT" w:hAnsi="AvantGarde Bk BT" w:cs="Arial"/>
          <w:color w:val="000000" w:themeColor="text1"/>
          <w:sz w:val="24"/>
          <w:szCs w:val="24"/>
        </w:rPr>
        <w:t>e</w:t>
      </w:r>
      <w:r>
        <w:rPr>
          <w:rFonts w:ascii="AvantGarde Bk BT" w:hAnsi="AvantGarde Bk BT" w:cs="Arial"/>
          <w:color w:val="000000" w:themeColor="text1"/>
          <w:sz w:val="24"/>
          <w:szCs w:val="24"/>
        </w:rPr>
        <w:t xml:space="preserve"> como tácitamente consentidas</w:t>
      </w:r>
      <w:r w:rsidR="009E2819">
        <w:rPr>
          <w:rFonts w:ascii="AvantGarde Bk BT" w:hAnsi="AvantGarde Bk BT" w:cs="Arial"/>
          <w:color w:val="000000" w:themeColor="text1"/>
          <w:sz w:val="24"/>
          <w:szCs w:val="24"/>
        </w:rPr>
        <w:t xml:space="preserve"> y, por ende, no forman parte del estudio de fondo de la resolución que al efecto se emita en el recurso de revisión respectivo.</w:t>
      </w:r>
    </w:p>
    <w:p w14:paraId="128009EC" w14:textId="59FE7368" w:rsidR="00D23668" w:rsidRDefault="009E2819" w:rsidP="00D23668">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ese tenor</w:t>
      </w:r>
      <w:r w:rsidR="00A30E4A">
        <w:rPr>
          <w:rFonts w:ascii="AvantGarde Bk BT" w:hAnsi="AvantGarde Bk BT" w:cs="Arial"/>
          <w:color w:val="000000" w:themeColor="text1"/>
          <w:sz w:val="24"/>
          <w:szCs w:val="24"/>
        </w:rPr>
        <w:t xml:space="preserve">,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queda</w:t>
      </w:r>
      <w:r w:rsidR="00A30E4A">
        <w:rPr>
          <w:rFonts w:ascii="AvantGarde Bk BT" w:hAnsi="AvantGarde Bk BT" w:cs="Arial"/>
          <w:b/>
          <w:color w:val="000000" w:themeColor="text1"/>
          <w:sz w:val="24"/>
          <w:szCs w:val="24"/>
        </w:rPr>
        <w:t xml:space="preserve"> firme</w:t>
      </w:r>
      <w:r w:rsidR="00D23668">
        <w:rPr>
          <w:rFonts w:ascii="AvantGarde Bk BT" w:hAnsi="AvantGarde Bk BT" w:cs="Arial"/>
          <w:color w:val="000000" w:themeColor="text1"/>
          <w:sz w:val="24"/>
          <w:szCs w:val="24"/>
        </w:rPr>
        <w:t>.</w:t>
      </w:r>
    </w:p>
    <w:p w14:paraId="0DDD23CA" w14:textId="2F76FC55" w:rsidR="00FF7637" w:rsidRPr="0077486D" w:rsidRDefault="009629AE" w:rsidP="0039064B">
      <w:pPr>
        <w:tabs>
          <w:tab w:val="left" w:pos="567"/>
        </w:tabs>
        <w:spacing w:line="360" w:lineRule="auto"/>
        <w:ind w:firstLine="680"/>
        <w:jc w:val="both"/>
        <w:rPr>
          <w:rFonts w:ascii="AvantGarde Bk BT" w:hAnsi="AvantGarde Bk BT" w:cs="Arial"/>
          <w:color w:val="000000" w:themeColor="text1"/>
          <w:sz w:val="24"/>
          <w:szCs w:val="24"/>
        </w:rPr>
      </w:pPr>
      <w:r w:rsidRPr="001A63E1">
        <w:rPr>
          <w:rFonts w:ascii="AvantGarde Bk BT" w:hAnsi="AvantGarde Bk BT" w:cs="Arial"/>
          <w:color w:val="000000" w:themeColor="text1"/>
          <w:sz w:val="24"/>
          <w:szCs w:val="24"/>
        </w:rPr>
        <w:t>Pues bien</w:t>
      </w:r>
      <w:r w:rsidR="00764B00" w:rsidRPr="001A63E1">
        <w:rPr>
          <w:rFonts w:ascii="AvantGarde Bk BT" w:hAnsi="AvantGarde Bk BT" w:cs="Arial"/>
          <w:color w:val="000000" w:themeColor="text1"/>
          <w:sz w:val="24"/>
          <w:szCs w:val="24"/>
        </w:rPr>
        <w:t xml:space="preserve">, </w:t>
      </w:r>
      <w:r w:rsidR="007B58D5" w:rsidRPr="001A63E1">
        <w:rPr>
          <w:rFonts w:ascii="AvantGarde Bk BT" w:hAnsi="AvantGarde Bk BT" w:cs="Arial"/>
          <w:color w:val="000000" w:themeColor="text1"/>
          <w:sz w:val="24"/>
          <w:szCs w:val="24"/>
        </w:rPr>
        <w:t>el particular se dolió de</w:t>
      </w:r>
      <w:r w:rsidR="0080705E" w:rsidRPr="001A63E1">
        <w:rPr>
          <w:rFonts w:ascii="AvantGarde Bk BT" w:hAnsi="AvantGarde Bk BT" w:cs="Arial"/>
          <w:color w:val="000000" w:themeColor="text1"/>
          <w:sz w:val="24"/>
          <w:szCs w:val="24"/>
        </w:rPr>
        <w:t xml:space="preserve"> la </w:t>
      </w:r>
      <w:r w:rsidR="00FF7637">
        <w:rPr>
          <w:rFonts w:ascii="AvantGarde Bk BT" w:hAnsi="AvantGarde Bk BT" w:cs="Arial"/>
          <w:color w:val="000000" w:themeColor="text1"/>
          <w:sz w:val="24"/>
          <w:szCs w:val="24"/>
        </w:rPr>
        <w:t>clasificación</w:t>
      </w:r>
      <w:r w:rsidR="007B0606">
        <w:rPr>
          <w:rFonts w:ascii="AvantGarde Bk BT" w:hAnsi="AvantGarde Bk BT" w:cs="Arial"/>
          <w:color w:val="000000" w:themeColor="text1"/>
          <w:sz w:val="24"/>
          <w:szCs w:val="24"/>
        </w:rPr>
        <w:t xml:space="preserve"> de la información</w:t>
      </w:r>
      <w:r w:rsidR="0077486D">
        <w:rPr>
          <w:rFonts w:ascii="AvantGarde Bk BT" w:hAnsi="AvantGarde Bk BT" w:cs="Arial"/>
          <w:color w:val="000000" w:themeColor="text1"/>
          <w:sz w:val="24"/>
          <w:szCs w:val="24"/>
        </w:rPr>
        <w:t xml:space="preserve">, pues el sujeto obligado respondió que la información </w:t>
      </w:r>
      <w:r w:rsidR="0077486D" w:rsidRPr="0077486D">
        <w:rPr>
          <w:rFonts w:ascii="AvantGarde Bk BT" w:hAnsi="AvantGarde Bk BT" w:cs="Arial"/>
          <w:color w:val="000000" w:themeColor="text1"/>
          <w:sz w:val="24"/>
          <w:szCs w:val="24"/>
        </w:rPr>
        <w:t xml:space="preserve">generada por el Grupo Interdisciplinario Especializado en Medio Ambiente, Agua, Salud y Lirio Acuático, </w:t>
      </w:r>
      <w:r w:rsidR="0077486D">
        <w:rPr>
          <w:rFonts w:ascii="AvantGarde Bk BT" w:hAnsi="AvantGarde Bk BT" w:cs="Arial"/>
          <w:color w:val="000000" w:themeColor="text1"/>
          <w:sz w:val="24"/>
          <w:szCs w:val="24"/>
        </w:rPr>
        <w:t>se encuentra reservada por estar</w:t>
      </w:r>
      <w:r w:rsidR="0077486D" w:rsidRPr="0077486D">
        <w:rPr>
          <w:rFonts w:ascii="AvantGarde Bk BT" w:hAnsi="AvantGarde Bk BT" w:cs="Arial"/>
          <w:color w:val="000000" w:themeColor="text1"/>
          <w:sz w:val="24"/>
          <w:szCs w:val="24"/>
        </w:rPr>
        <w:t xml:space="preserve"> relacionada directamente con el juicio de amparo indirecto 729/2018</w:t>
      </w:r>
      <w:r w:rsidR="0077486D">
        <w:rPr>
          <w:rFonts w:ascii="AvantGarde Bk BT" w:hAnsi="AvantGarde Bk BT" w:cs="Arial"/>
          <w:color w:val="000000" w:themeColor="text1"/>
          <w:sz w:val="24"/>
          <w:szCs w:val="24"/>
        </w:rPr>
        <w:t>.</w:t>
      </w:r>
    </w:p>
    <w:p w14:paraId="3D362ED1" w14:textId="3AEE59E8" w:rsidR="009629AE" w:rsidRPr="00F337EC" w:rsidRDefault="009629AE" w:rsidP="009629AE">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 xml:space="preserve">Al respecto, </w:t>
      </w:r>
      <w:r w:rsidRPr="00327C7F">
        <w:rPr>
          <w:rFonts w:ascii="AvantGarde Bk BT" w:hAnsi="AvantGarde Bk BT" w:cs="Arial"/>
          <w:sz w:val="24"/>
          <w:szCs w:val="24"/>
        </w:rPr>
        <w:t xml:space="preserve">se debe precisar que la Ley de Transparencia prevé que los sujetos obligados se encuentran constreñidos a proporcionar la información que se </w:t>
      </w:r>
      <w:r w:rsidRPr="00327C7F">
        <w:rPr>
          <w:rFonts w:ascii="AvantGarde Bk BT" w:hAnsi="AvantGarde Bk BT" w:cs="Arial"/>
          <w:sz w:val="24"/>
          <w:szCs w:val="24"/>
        </w:rPr>
        <w:lastRenderedPageBreak/>
        <w:t>encuentra en su posesión, lo anterior para efecto de permitir que el derecho de acceso a la información se encuentre satisfecho.</w:t>
      </w:r>
      <w:r w:rsidRPr="00327C7F">
        <w:rPr>
          <w:rFonts w:ascii="AvantGarde Bk BT" w:hAnsi="AvantGarde Bk BT" w:cs="Arial"/>
          <w:sz w:val="24"/>
          <w:szCs w:val="24"/>
          <w:vertAlign w:val="superscript"/>
        </w:rPr>
        <w:footnoteReference w:id="2"/>
      </w:r>
    </w:p>
    <w:p w14:paraId="62AEEDC0" w14:textId="77777777" w:rsidR="009629AE" w:rsidRDefault="009629AE" w:rsidP="009629AE">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w:t>
      </w:r>
      <w:r>
        <w:rPr>
          <w:rFonts w:ascii="AvantGarde Bk BT" w:hAnsi="AvantGarde Bk BT" w:cs="Arial"/>
          <w:sz w:val="24"/>
          <w:szCs w:val="24"/>
        </w:rPr>
        <w:t>a al peticionario</w:t>
      </w:r>
      <w:r w:rsidRPr="00F337EC">
        <w:rPr>
          <w:rFonts w:ascii="AvantGarde Bk BT" w:hAnsi="AvantGarde Bk BT" w:cs="Arial"/>
          <w:sz w:val="24"/>
          <w:szCs w:val="24"/>
        </w:rPr>
        <w:t xml:space="preserv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3"/>
      </w:r>
    </w:p>
    <w:p w14:paraId="6BE3D92E" w14:textId="77777777" w:rsidR="009629AE" w:rsidRDefault="009629AE" w:rsidP="009629A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1F0FB246" w14:textId="77777777" w:rsidR="009629AE" w:rsidRDefault="009629AE" w:rsidP="00CC5F7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3836E4F2" w14:textId="6E9D72F6" w:rsidR="009629AE" w:rsidRDefault="009629AE" w:rsidP="009E2819">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02/17. Congruencia y </w:t>
      </w:r>
      <w:proofErr w:type="gramStart"/>
      <w:r w:rsidRPr="00847F87">
        <w:rPr>
          <w:rFonts w:ascii="AvantGarde Bk BT" w:hAnsi="AvantGarde Bk BT" w:cs="Arial"/>
          <w:b/>
          <w:i/>
          <w:sz w:val="22"/>
          <w:szCs w:val="24"/>
        </w:rPr>
        <w:t>exhaustividad.-</w:t>
      </w:r>
      <w:proofErr w:type="gramEnd"/>
      <w:r w:rsidRPr="00847F87">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847F87">
        <w:rPr>
          <w:rFonts w:ascii="AvantGarde Bk BT" w:hAnsi="AvantGarde Bk BT" w:cs="Arial"/>
          <w:i/>
          <w:sz w:val="22"/>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847F87">
        <w:rPr>
          <w:rFonts w:ascii="AvantGarde Bk BT" w:hAnsi="AvantGarde Bk BT" w:cs="Arial"/>
          <w:i/>
          <w:sz w:val="22"/>
          <w:szCs w:val="24"/>
        </w:rPr>
        <w:t xml:space="preserve"> Por lo anterior, los </w:t>
      </w:r>
      <w:r w:rsidRPr="00847F87">
        <w:rPr>
          <w:rFonts w:ascii="AvantGarde Bk BT" w:hAnsi="AvantGarde Bk BT" w:cs="Arial"/>
          <w:i/>
          <w:sz w:val="22"/>
          <w:szCs w:val="24"/>
        </w:rPr>
        <w:lastRenderedPageBreak/>
        <w:t>sujetos obligados cumplirán con los principios de congruencia y exhaustividad, cuando las respuestas que emitan guarden una relación lógica con lo solicitado y atiendan de manera puntual y expresa, cada uno de los contenidos de información</w:t>
      </w:r>
      <w:r w:rsidRPr="005774AE">
        <w:rPr>
          <w:rFonts w:ascii="AvantGarde Bk BT" w:hAnsi="AvantGarde Bk BT" w:cs="Arial"/>
          <w:i/>
          <w:sz w:val="20"/>
          <w:szCs w:val="24"/>
        </w:rPr>
        <w:t>.</w:t>
      </w:r>
      <w:r>
        <w:rPr>
          <w:rFonts w:ascii="AvantGarde Bk BT" w:hAnsi="AvantGarde Bk BT" w:cs="Arial"/>
          <w:sz w:val="24"/>
          <w:szCs w:val="24"/>
        </w:rPr>
        <w:t>” (Énfasis añadido.)</w:t>
      </w:r>
    </w:p>
    <w:p w14:paraId="2CF9F6A0" w14:textId="77777777" w:rsidR="009629AE" w:rsidRDefault="009629AE" w:rsidP="009629A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a los requerimientos del peticionario.</w:t>
      </w:r>
    </w:p>
    <w:p w14:paraId="0C772262" w14:textId="77777777" w:rsidR="009629AE" w:rsidRDefault="009629AE" w:rsidP="00CC5F7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16EBD4D" w14:textId="7BA68E33" w:rsidR="009629AE" w:rsidRPr="00204353" w:rsidRDefault="009629AE" w:rsidP="00C278CA">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03/17.- No existe obligación de elaborar documentos ad hoc para atender las solicitudes de acceso a la información. </w:t>
      </w:r>
      <w:r w:rsidRPr="00847F87">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847F87">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847F87">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sidR="00847F87">
        <w:rPr>
          <w:rFonts w:ascii="AvantGarde Bk BT" w:hAnsi="AvantGarde Bk BT" w:cs="Arial"/>
          <w:sz w:val="24"/>
          <w:szCs w:val="24"/>
        </w:rPr>
        <w:t>” (Énfasis añadido</w:t>
      </w:r>
      <w:r>
        <w:rPr>
          <w:rFonts w:ascii="AvantGarde Bk BT" w:hAnsi="AvantGarde Bk BT" w:cs="Arial"/>
          <w:sz w:val="24"/>
          <w:szCs w:val="24"/>
        </w:rPr>
        <w:t>.)</w:t>
      </w:r>
    </w:p>
    <w:p w14:paraId="2061198D" w14:textId="77777777" w:rsidR="009629AE" w:rsidRPr="00F90B0A" w:rsidRDefault="009629AE" w:rsidP="009E2819">
      <w:pPr>
        <w:pStyle w:val="corte4fondo"/>
        <w:spacing w:after="240" w:line="240" w:lineRule="auto"/>
        <w:ind w:left="680" w:right="680" w:firstLine="0"/>
        <w:rPr>
          <w:rFonts w:ascii="AvantGarde Bk BT" w:hAnsi="AvantGarde Bk BT" w:cs="Arial"/>
          <w:sz w:val="22"/>
          <w:szCs w:val="24"/>
        </w:rPr>
      </w:pPr>
      <w:r>
        <w:rPr>
          <w:rFonts w:ascii="AvantGarde Bk BT" w:hAnsi="AvantGarde Bk BT" w:cs="Arial"/>
          <w:sz w:val="24"/>
          <w:szCs w:val="24"/>
        </w:rPr>
        <w:t xml:space="preserve"> “</w:t>
      </w:r>
      <w:r w:rsidRPr="00847F87">
        <w:rPr>
          <w:rFonts w:ascii="AvantGarde Bk BT" w:hAnsi="AvantGarde Bk BT" w:cs="Arial"/>
          <w:b/>
          <w:i/>
          <w:sz w:val="22"/>
          <w:szCs w:val="24"/>
        </w:rPr>
        <w:t xml:space="preserve">Criterio 16/17. Expresión </w:t>
      </w:r>
      <w:proofErr w:type="gramStart"/>
      <w:r w:rsidRPr="00847F87">
        <w:rPr>
          <w:rFonts w:ascii="AvantGarde Bk BT" w:hAnsi="AvantGarde Bk BT" w:cs="Arial"/>
          <w:b/>
          <w:i/>
          <w:sz w:val="22"/>
          <w:szCs w:val="24"/>
        </w:rPr>
        <w:t>documental.-</w:t>
      </w:r>
      <w:proofErr w:type="gramEnd"/>
      <w:r w:rsidRPr="00847F87">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0B37733A" w14:textId="77777777" w:rsidR="00BA5F2C" w:rsidRPr="00FB726F" w:rsidRDefault="00BA5F2C" w:rsidP="00BA5F2C">
      <w:pPr>
        <w:tabs>
          <w:tab w:val="left" w:pos="567"/>
        </w:tabs>
        <w:spacing w:after="240" w:line="360" w:lineRule="auto"/>
        <w:ind w:firstLine="680"/>
        <w:jc w:val="both"/>
        <w:rPr>
          <w:rFonts w:ascii="AvantGarde Bk BT" w:eastAsia="Times New Roman" w:hAnsi="AvantGarde Bk BT" w:cs="Arial"/>
          <w:color w:val="000000"/>
          <w:sz w:val="24"/>
          <w:szCs w:val="24"/>
          <w:lang w:val="es-ES"/>
        </w:rPr>
      </w:pPr>
      <w:r>
        <w:rPr>
          <w:rFonts w:ascii="AvantGarde Bk BT" w:hAnsi="AvantGarde Bk BT" w:cs="Arial"/>
          <w:color w:val="000000" w:themeColor="text1"/>
          <w:sz w:val="24"/>
          <w:szCs w:val="24"/>
        </w:rPr>
        <w:t xml:space="preserve">Ahora bien, es necesario recordar que </w:t>
      </w:r>
      <w:r>
        <w:rPr>
          <w:rFonts w:ascii="AvantGarde Bk BT" w:hAnsi="AvantGarde Bk BT" w:cs="Arial"/>
          <w:sz w:val="24"/>
          <w:szCs w:val="24"/>
        </w:rPr>
        <w:t xml:space="preserve">si bien toda la información en posesión de los sujetos obligados es pública, sin embargo, </w:t>
      </w:r>
      <w:r>
        <w:rPr>
          <w:rFonts w:ascii="AvantGarde Bk BT" w:hAnsi="AvantGarde Bk BT" w:cs="Arial"/>
          <w:color w:val="000000" w:themeColor="text1"/>
          <w:sz w:val="24"/>
          <w:szCs w:val="24"/>
        </w:rPr>
        <w:t xml:space="preserve">conforme a la Ley de Transparencia y Acceso a la Información Pública del Estado, </w:t>
      </w:r>
      <w:r>
        <w:rPr>
          <w:rFonts w:ascii="AvantGarde Bk BT" w:eastAsia="Times New Roman" w:hAnsi="AvantGarde Bk BT" w:cs="Arial"/>
          <w:color w:val="000000"/>
          <w:sz w:val="24"/>
          <w:szCs w:val="24"/>
          <w:lang w:val="es-ES"/>
        </w:rPr>
        <w:t>existen</w:t>
      </w:r>
      <w:r w:rsidRPr="00FB726F">
        <w:rPr>
          <w:rFonts w:ascii="AvantGarde Bk BT" w:eastAsia="Times New Roman" w:hAnsi="AvantGarde Bk BT" w:cs="Arial"/>
          <w:color w:val="000000"/>
          <w:sz w:val="24"/>
          <w:szCs w:val="24"/>
          <w:lang w:val="es-ES"/>
        </w:rPr>
        <w:t xml:space="preserve"> dos casos de excepción al derecho de acceso a la información</w:t>
      </w:r>
      <w:r>
        <w:rPr>
          <w:rFonts w:ascii="AvantGarde Bk BT" w:eastAsia="Times New Roman" w:hAnsi="AvantGarde Bk BT" w:cs="Arial"/>
          <w:color w:val="000000"/>
          <w:sz w:val="24"/>
          <w:szCs w:val="24"/>
          <w:lang w:val="es-ES"/>
        </w:rPr>
        <w:t xml:space="preserve">, es decir, </w:t>
      </w:r>
      <w:r w:rsidRPr="00FB726F">
        <w:rPr>
          <w:rFonts w:ascii="AvantGarde Bk BT" w:eastAsia="Times New Roman" w:hAnsi="AvantGarde Bk BT" w:cs="Arial"/>
          <w:color w:val="000000"/>
          <w:sz w:val="24"/>
          <w:szCs w:val="24"/>
          <w:lang w:val="es-ES"/>
        </w:rPr>
        <w:t>la informac</w:t>
      </w:r>
      <w:r>
        <w:rPr>
          <w:rFonts w:ascii="AvantGarde Bk BT" w:eastAsia="Times New Roman" w:hAnsi="AvantGarde Bk BT" w:cs="Arial"/>
          <w:color w:val="000000"/>
          <w:sz w:val="24"/>
          <w:szCs w:val="24"/>
          <w:lang w:val="es-ES"/>
        </w:rPr>
        <w:t>ión clasificada como reservada y la información clasificada como</w:t>
      </w:r>
      <w:r w:rsidRPr="00FB726F">
        <w:rPr>
          <w:rFonts w:ascii="AvantGarde Bk BT" w:eastAsia="Times New Roman" w:hAnsi="AvantGarde Bk BT" w:cs="Arial"/>
          <w:color w:val="000000"/>
          <w:sz w:val="24"/>
          <w:szCs w:val="24"/>
          <w:lang w:val="es-ES"/>
        </w:rPr>
        <w:t xml:space="preserve"> confidencial.</w:t>
      </w:r>
      <w:r>
        <w:rPr>
          <w:rStyle w:val="Refdenotaalpie"/>
          <w:rFonts w:ascii="AvantGarde Bk BT" w:eastAsia="Times New Roman" w:hAnsi="AvantGarde Bk BT" w:cs="Arial"/>
          <w:color w:val="000000"/>
          <w:sz w:val="24"/>
          <w:szCs w:val="24"/>
          <w:lang w:val="es-ES"/>
        </w:rPr>
        <w:footnoteReference w:id="4"/>
      </w:r>
      <w:r>
        <w:rPr>
          <w:rFonts w:ascii="AvantGarde Bk BT" w:eastAsia="Times New Roman" w:hAnsi="AvantGarde Bk BT" w:cs="Arial"/>
          <w:color w:val="000000"/>
          <w:sz w:val="24"/>
          <w:szCs w:val="24"/>
          <w:lang w:val="es-ES"/>
        </w:rPr>
        <w:t xml:space="preserve"> </w:t>
      </w:r>
    </w:p>
    <w:p w14:paraId="501DE241" w14:textId="77777777" w:rsidR="0028624B" w:rsidRPr="00966863" w:rsidRDefault="0028624B" w:rsidP="0028624B">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hAnsi="AvantGarde Bk BT" w:cs="Arial"/>
          <w:color w:val="000000" w:themeColor="text1"/>
          <w:sz w:val="24"/>
          <w:szCs w:val="24"/>
        </w:rPr>
        <w:lastRenderedPageBreak/>
        <w:t xml:space="preserve">Así, la información </w:t>
      </w:r>
      <w:r>
        <w:rPr>
          <w:rFonts w:ascii="AvantGarde Bk BT" w:eastAsia="Times New Roman" w:hAnsi="AvantGarde Bk BT" w:cs="Arial"/>
          <w:color w:val="000000"/>
          <w:sz w:val="24"/>
          <w:szCs w:val="24"/>
          <w:lang w:val="es-ES"/>
        </w:rPr>
        <w:t>clasificada como reservada</w:t>
      </w:r>
      <w:r w:rsidRPr="00966863">
        <w:rPr>
          <w:rFonts w:ascii="AvantGarde Bk BT" w:eastAsia="Times New Roman" w:hAnsi="AvantGarde Bk BT" w:cs="Arial"/>
          <w:color w:val="000000"/>
          <w:sz w:val="24"/>
          <w:szCs w:val="24"/>
        </w:rPr>
        <w:t xml:space="preserve"> es aquélla que, conforme a los </w:t>
      </w:r>
      <w:r>
        <w:rPr>
          <w:rFonts w:ascii="AvantGarde Bk BT" w:eastAsia="Times New Roman" w:hAnsi="AvantGarde Bk BT" w:cs="Arial"/>
          <w:color w:val="000000"/>
          <w:sz w:val="24"/>
          <w:szCs w:val="24"/>
        </w:rPr>
        <w:t>procedimientos previstos en la Ley de Transparencia, determine</w:t>
      </w:r>
      <w:r w:rsidRPr="00966863">
        <w:rPr>
          <w:rFonts w:ascii="AvantGarde Bk BT" w:eastAsia="Times New Roman" w:hAnsi="AvantGarde Bk BT" w:cs="Arial"/>
          <w:color w:val="000000"/>
          <w:sz w:val="24"/>
          <w:szCs w:val="24"/>
        </w:rPr>
        <w:t xml:space="preserve"> </w:t>
      </w:r>
      <w:r>
        <w:rPr>
          <w:rFonts w:ascii="AvantGarde Bk BT" w:eastAsia="Times New Roman" w:hAnsi="AvantGarde Bk BT" w:cs="Arial"/>
          <w:color w:val="000000"/>
          <w:sz w:val="24"/>
          <w:szCs w:val="24"/>
        </w:rPr>
        <w:t>el titular del área generadora o poseedora de la información con aprobación del Comité</w:t>
      </w:r>
      <w:r w:rsidRPr="00966863">
        <w:rPr>
          <w:rFonts w:ascii="AvantGarde Bk BT" w:eastAsia="Times New Roman" w:hAnsi="AvantGarde Bk BT" w:cs="Arial"/>
          <w:color w:val="000000"/>
          <w:sz w:val="24"/>
          <w:szCs w:val="24"/>
        </w:rPr>
        <w:t xml:space="preserve"> de </w:t>
      </w:r>
      <w:r>
        <w:rPr>
          <w:rFonts w:ascii="AvantGarde Bk BT" w:eastAsia="Times New Roman" w:hAnsi="AvantGarde Bk BT" w:cs="Arial"/>
          <w:color w:val="000000"/>
          <w:sz w:val="24"/>
          <w:szCs w:val="24"/>
        </w:rPr>
        <w:t>T</w:t>
      </w:r>
      <w:r w:rsidRPr="00966863">
        <w:rPr>
          <w:rFonts w:ascii="AvantGarde Bk BT" w:eastAsia="Times New Roman" w:hAnsi="AvantGarde Bk BT" w:cs="Arial"/>
          <w:color w:val="000000"/>
          <w:sz w:val="24"/>
          <w:szCs w:val="24"/>
        </w:rPr>
        <w:t>ransparencia de cada sujeto obligado</w:t>
      </w:r>
      <w:r>
        <w:rPr>
          <w:rFonts w:ascii="AvantGarde Bk BT" w:eastAsia="Times New Roman" w:hAnsi="AvantGarde Bk BT" w:cs="Arial"/>
          <w:color w:val="000000"/>
          <w:sz w:val="24"/>
          <w:szCs w:val="24"/>
        </w:rPr>
        <w:t>,</w:t>
      </w:r>
      <w:r w:rsidRPr="00966863">
        <w:rPr>
          <w:rFonts w:ascii="AvantGarde Bk BT" w:eastAsia="Times New Roman" w:hAnsi="AvantGarde Bk BT" w:cs="Arial"/>
          <w:color w:val="000000"/>
          <w:sz w:val="24"/>
          <w:szCs w:val="24"/>
        </w:rPr>
        <w:t xml:space="preserve"> mediante el acuerdo correspondiente cuando la publicación de dicha información</w:t>
      </w:r>
      <w:r>
        <w:rPr>
          <w:rFonts w:ascii="AvantGarde Bk BT" w:eastAsia="Times New Roman" w:hAnsi="AvantGarde Bk BT" w:cs="Arial"/>
          <w:color w:val="000000"/>
          <w:sz w:val="24"/>
          <w:szCs w:val="24"/>
        </w:rPr>
        <w:t xml:space="preserve"> actualice alguna de las causales previstas en el artículo 129 de la ley en comento, mismas que se transcriben a continuación</w:t>
      </w:r>
      <w:r w:rsidRPr="00966863">
        <w:rPr>
          <w:rFonts w:ascii="AvantGarde Bk BT" w:eastAsia="Times New Roman" w:hAnsi="AvantGarde Bk BT" w:cs="Arial"/>
          <w:color w:val="000000"/>
          <w:sz w:val="24"/>
          <w:szCs w:val="24"/>
        </w:rPr>
        <w:t xml:space="preserve">: </w:t>
      </w:r>
    </w:p>
    <w:p w14:paraId="257DC589" w14:textId="77777777" w:rsidR="0028624B" w:rsidRPr="00966863" w:rsidRDefault="0028624B" w:rsidP="0028624B">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“I. </w:t>
      </w:r>
      <w:r w:rsidRPr="00966863">
        <w:rPr>
          <w:rFonts w:ascii="AvantGarde Bk BT" w:eastAsia="Times New Roman" w:hAnsi="AvantGarde Bk BT" w:cs="Arial"/>
          <w:i/>
          <w:color w:val="000000"/>
          <w:szCs w:val="24"/>
        </w:rPr>
        <w:t xml:space="preserve">Comprometa la seguridad pública y cuente con un propósito genuino y un efecto demostrable; </w:t>
      </w:r>
    </w:p>
    <w:p w14:paraId="650FDE27" w14:textId="77777777" w:rsidR="0028624B" w:rsidRPr="00966863" w:rsidRDefault="0028624B" w:rsidP="0028624B">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II. </w:t>
      </w:r>
      <w:r w:rsidRPr="00966863">
        <w:rPr>
          <w:rFonts w:ascii="AvantGarde Bk BT" w:eastAsia="Times New Roman" w:hAnsi="AvantGarde Bk BT" w:cs="Arial"/>
          <w:i/>
          <w:color w:val="000000"/>
          <w:szCs w:val="24"/>
        </w:rPr>
        <w:t xml:space="preserve">Pueda menoscabar la conducción de las negociaciones y relaciones internacionales; </w:t>
      </w:r>
    </w:p>
    <w:p w14:paraId="2CCA5FA7" w14:textId="77777777" w:rsidR="0028624B" w:rsidRPr="00966863" w:rsidRDefault="0028624B" w:rsidP="0028624B">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III. </w:t>
      </w:r>
      <w:r w:rsidRPr="00966863">
        <w:rPr>
          <w:rFonts w:ascii="AvantGarde Bk BT" w:eastAsia="Times New Roman" w:hAnsi="AvantGarde Bk BT" w:cs="Arial"/>
          <w:i/>
          <w:color w:val="000000"/>
          <w:szCs w:val="24"/>
        </w:rPr>
        <w:t xml:space="preserve">Se entregue al Estado mexicano expresamente con ese carácter o el de confidencial por otro u otros sujetos de derecho internacional, excepto cuando se trate de violaciones graves de derechos humanos o delitos de lesa humanidad de conformidad con el derecho internacional; </w:t>
      </w:r>
    </w:p>
    <w:p w14:paraId="6AC44934" w14:textId="77777777" w:rsidR="0028624B" w:rsidRPr="00966863" w:rsidRDefault="0028624B" w:rsidP="0028624B">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IV. </w:t>
      </w:r>
      <w:r w:rsidRPr="00966863">
        <w:rPr>
          <w:rFonts w:ascii="AvantGarde Bk BT" w:eastAsia="Times New Roman" w:hAnsi="AvantGarde Bk BT" w:cs="Arial"/>
          <w:i/>
          <w:color w:val="000000"/>
          <w:szCs w:val="24"/>
        </w:rPr>
        <w:t xml:space="preserve">Pueda poner en riesgo la vida, seguridad o salud de una persona física; </w:t>
      </w:r>
    </w:p>
    <w:p w14:paraId="0739514C" w14:textId="77777777" w:rsidR="0028624B" w:rsidRPr="00966863" w:rsidRDefault="0028624B" w:rsidP="0028624B">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V. </w:t>
      </w:r>
      <w:r w:rsidRPr="00966863">
        <w:rPr>
          <w:rFonts w:ascii="AvantGarde Bk BT" w:eastAsia="Times New Roman" w:hAnsi="AvantGarde Bk BT" w:cs="Arial"/>
          <w:i/>
          <w:color w:val="000000"/>
          <w:szCs w:val="24"/>
        </w:rPr>
        <w:t xml:space="preserve">Obstruya las actividades de verificación, inspección y auditoría relativas al cumplimiento de las leyes o afecte la recaudación de contribuciones; </w:t>
      </w:r>
    </w:p>
    <w:p w14:paraId="3CF07866" w14:textId="77777777" w:rsidR="0028624B" w:rsidRPr="00966863" w:rsidRDefault="0028624B" w:rsidP="0028624B">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VI. </w:t>
      </w:r>
      <w:r w:rsidRPr="00966863">
        <w:rPr>
          <w:rFonts w:ascii="AvantGarde Bk BT" w:eastAsia="Times New Roman" w:hAnsi="AvantGarde Bk BT" w:cs="Arial"/>
          <w:i/>
          <w:color w:val="000000"/>
          <w:szCs w:val="24"/>
        </w:rPr>
        <w:t xml:space="preserve">Obstruya la prevención o persecución de los delitos; </w:t>
      </w:r>
    </w:p>
    <w:p w14:paraId="7047A5D6" w14:textId="77777777" w:rsidR="0028624B" w:rsidRPr="00966863" w:rsidRDefault="0028624B" w:rsidP="0028624B">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VII. </w:t>
      </w:r>
      <w:r w:rsidRPr="00966863">
        <w:rPr>
          <w:rFonts w:ascii="AvantGarde Bk BT" w:eastAsia="Times New Roman" w:hAnsi="AvantGarde Bk BT" w:cs="Arial"/>
          <w:i/>
          <w:color w:val="000000"/>
          <w:szCs w:val="24"/>
        </w:rPr>
        <w:t xml:space="preserve">La que contenga las opiniones, recomendaciones o puntos de vista que formen parte del proceso deliberativo de los servidores públicos, hasta en tanto no sea adoptada la decisión definitiva, la cual deberá estar documentada; </w:t>
      </w:r>
    </w:p>
    <w:p w14:paraId="07B1F935" w14:textId="77777777" w:rsidR="0028624B" w:rsidRPr="00966863" w:rsidRDefault="0028624B" w:rsidP="0028624B">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VIII. </w:t>
      </w:r>
      <w:r w:rsidRPr="00966863">
        <w:rPr>
          <w:rFonts w:ascii="AvantGarde Bk BT" w:eastAsia="Times New Roman" w:hAnsi="AvantGarde Bk BT" w:cs="Arial"/>
          <w:i/>
          <w:color w:val="000000"/>
          <w:szCs w:val="24"/>
        </w:rPr>
        <w:t xml:space="preserve">Obstruya los procedimientos para fincar responsabilidad a los Servidores Públicos, en tanto no se haya dictado la resolución administrativa; </w:t>
      </w:r>
    </w:p>
    <w:p w14:paraId="51B22079" w14:textId="77777777" w:rsidR="0028624B" w:rsidRPr="00966863" w:rsidRDefault="0028624B" w:rsidP="0028624B">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IX. </w:t>
      </w:r>
      <w:r w:rsidRPr="00966863">
        <w:rPr>
          <w:rFonts w:ascii="AvantGarde Bk BT" w:eastAsia="Times New Roman" w:hAnsi="AvantGarde Bk BT" w:cs="Arial"/>
          <w:i/>
          <w:color w:val="000000"/>
          <w:szCs w:val="24"/>
        </w:rPr>
        <w:t xml:space="preserve">Afecte los derechos del debido proceso; </w:t>
      </w:r>
    </w:p>
    <w:p w14:paraId="3994A0F8" w14:textId="77777777" w:rsidR="0028624B" w:rsidRPr="00966863" w:rsidRDefault="0028624B" w:rsidP="0028624B">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X. </w:t>
      </w:r>
      <w:r w:rsidRPr="00966863">
        <w:rPr>
          <w:rFonts w:ascii="AvantGarde Bk BT" w:eastAsia="Times New Roman" w:hAnsi="AvantGarde Bk BT" w:cs="Arial"/>
          <w:i/>
          <w:color w:val="000000"/>
          <w:szCs w:val="24"/>
        </w:rPr>
        <w:t xml:space="preserve">Vulnere la conducción de los Expedientes judiciales o de los procedimientos administrativos seguidos en forma de juicio, en tanto no hayan causado estado; </w:t>
      </w:r>
    </w:p>
    <w:p w14:paraId="15F009DC" w14:textId="77777777" w:rsidR="0028624B" w:rsidRPr="00966863" w:rsidRDefault="0028624B" w:rsidP="0028624B">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XI. </w:t>
      </w:r>
      <w:r w:rsidRPr="00966863">
        <w:rPr>
          <w:rFonts w:ascii="AvantGarde Bk BT" w:eastAsia="Times New Roman" w:hAnsi="AvantGarde Bk BT" w:cs="Arial"/>
          <w:i/>
          <w:color w:val="000000"/>
          <w:szCs w:val="24"/>
        </w:rPr>
        <w:t>Se encuentre contenida dentro de las investigaciones de hechos que la ley señale como delitos y se tramiten ante el Ministerio Público, y</w:t>
      </w:r>
    </w:p>
    <w:p w14:paraId="34B70681" w14:textId="77777777" w:rsidR="0028624B" w:rsidRPr="00966863" w:rsidRDefault="0028624B" w:rsidP="0028624B">
      <w:pPr>
        <w:tabs>
          <w:tab w:val="left" w:pos="567"/>
        </w:tabs>
        <w:spacing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XII. </w:t>
      </w:r>
      <w:r w:rsidRPr="00966863">
        <w:rPr>
          <w:rFonts w:ascii="AvantGarde Bk BT" w:eastAsia="Times New Roman" w:hAnsi="AvantGarde Bk BT" w:cs="Arial"/>
          <w:i/>
          <w:color w:val="000000"/>
          <w:szCs w:val="24"/>
        </w:rPr>
        <w:t>Las que por disposición expresa de una ley tengan tal carácter, siempre que sean acordes con las bases, principios y disposiciones establecidos en esta Ley y no la contravengan; así como las previstas en tratados internacionales.</w:t>
      </w:r>
      <w:r w:rsidRPr="00966863">
        <w:rPr>
          <w:rFonts w:ascii="AvantGarde Bk BT" w:eastAsia="Times New Roman" w:hAnsi="AvantGarde Bk BT" w:cs="Arial"/>
          <w:i/>
          <w:color w:val="000000"/>
          <w:szCs w:val="24"/>
          <w:vertAlign w:val="superscript"/>
        </w:rPr>
        <w:footnoteReference w:id="5"/>
      </w:r>
    </w:p>
    <w:p w14:paraId="6C814493" w14:textId="77777777" w:rsidR="0028624B" w:rsidRDefault="0028624B" w:rsidP="0028624B">
      <w:pPr>
        <w:pStyle w:val="corte4fondo"/>
        <w:spacing w:after="240"/>
        <w:rPr>
          <w:rFonts w:ascii="AvantGarde Bk BT" w:hAnsi="AvantGarde Bk BT" w:cs="Arial"/>
          <w:sz w:val="24"/>
          <w:szCs w:val="24"/>
        </w:rPr>
      </w:pPr>
      <w:r>
        <w:rPr>
          <w:rFonts w:ascii="AvantGarde Bk BT" w:hAnsi="AvantGarde Bk BT" w:cs="Arial"/>
          <w:sz w:val="24"/>
          <w:szCs w:val="24"/>
        </w:rPr>
        <w:t xml:space="preserve">De igual modo, es dable precisar que, en </w:t>
      </w:r>
      <w:r w:rsidRPr="00910978">
        <w:rPr>
          <w:rFonts w:ascii="AvantGarde Bk BT" w:hAnsi="AvantGarde Bk BT" w:cs="Arial"/>
          <w:sz w:val="24"/>
          <w:szCs w:val="24"/>
        </w:rPr>
        <w:t>la clasificación de información, el sujeto obligado debe observar en todo mome</w:t>
      </w:r>
      <w:r>
        <w:rPr>
          <w:rFonts w:ascii="AvantGarde Bk BT" w:hAnsi="AvantGarde Bk BT" w:cs="Arial"/>
          <w:sz w:val="24"/>
          <w:szCs w:val="24"/>
        </w:rPr>
        <w:t>nto lo establecido tanto en la Ley General de T</w:t>
      </w:r>
      <w:r w:rsidRPr="00910978">
        <w:rPr>
          <w:rFonts w:ascii="AvantGarde Bk BT" w:hAnsi="AvantGarde Bk BT" w:cs="Arial"/>
          <w:sz w:val="24"/>
          <w:szCs w:val="24"/>
        </w:rPr>
        <w:t>ransparenci</w:t>
      </w:r>
      <w:r>
        <w:rPr>
          <w:rFonts w:ascii="AvantGarde Bk BT" w:hAnsi="AvantGarde Bk BT" w:cs="Arial"/>
          <w:sz w:val="24"/>
          <w:szCs w:val="24"/>
        </w:rPr>
        <w:t>a y Acceso a la Información, como en la Ley de Transparencia y Acceso a la Información P</w:t>
      </w:r>
      <w:r w:rsidRPr="00910978">
        <w:rPr>
          <w:rFonts w:ascii="AvantGarde Bk BT" w:hAnsi="AvantGarde Bk BT" w:cs="Arial"/>
          <w:sz w:val="24"/>
          <w:szCs w:val="24"/>
        </w:rPr>
        <w:t>ú</w:t>
      </w:r>
      <w:r>
        <w:rPr>
          <w:rFonts w:ascii="AvantGarde Bk BT" w:hAnsi="AvantGarde Bk BT" w:cs="Arial"/>
          <w:sz w:val="24"/>
          <w:szCs w:val="24"/>
        </w:rPr>
        <w:t xml:space="preserve">blica del Estado y los Lineamientos </w:t>
      </w:r>
      <w:r>
        <w:rPr>
          <w:rFonts w:ascii="AvantGarde Bk BT" w:hAnsi="AvantGarde Bk BT" w:cs="Arial"/>
          <w:sz w:val="24"/>
          <w:szCs w:val="24"/>
        </w:rPr>
        <w:lastRenderedPageBreak/>
        <w:t>Generales en Materia de Clasificación y Desclasificación de la Información, así como para la Elaboración de Versiones Públicas.</w:t>
      </w:r>
      <w:r>
        <w:rPr>
          <w:rStyle w:val="Refdenotaalpie"/>
          <w:rFonts w:ascii="AvantGarde Bk BT" w:hAnsi="AvantGarde Bk BT" w:cs="Arial"/>
          <w:sz w:val="24"/>
          <w:szCs w:val="24"/>
        </w:rPr>
        <w:footnoteReference w:id="6"/>
      </w:r>
      <w:r>
        <w:rPr>
          <w:rFonts w:ascii="AvantGarde Bk BT" w:hAnsi="AvantGarde Bk BT" w:cs="Arial"/>
          <w:sz w:val="24"/>
          <w:szCs w:val="24"/>
          <w:vertAlign w:val="superscript"/>
        </w:rPr>
        <w:t xml:space="preserve"> </w:t>
      </w:r>
    </w:p>
    <w:p w14:paraId="3630A0B5" w14:textId="77777777" w:rsidR="0028624B" w:rsidRDefault="0028624B" w:rsidP="0028624B">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hAnsi="AvantGarde Bk BT" w:cs="Arial"/>
          <w:sz w:val="24"/>
          <w:szCs w:val="24"/>
        </w:rPr>
        <w:t>En ese tenor, la Ley de Transparencia local prescribe que</w:t>
      </w:r>
      <w:r>
        <w:rPr>
          <w:rFonts w:ascii="AvantGarde Bk BT" w:hAnsi="AvantGarde Bk BT" w:cs="Arial"/>
          <w:color w:val="000000"/>
          <w:sz w:val="24"/>
          <w:szCs w:val="24"/>
        </w:rPr>
        <w:t xml:space="preserve"> </w:t>
      </w:r>
      <w:r>
        <w:rPr>
          <w:rFonts w:ascii="AvantGarde Bk BT" w:eastAsia="Times New Roman" w:hAnsi="AvantGarde Bk BT" w:cs="Arial"/>
          <w:color w:val="000000"/>
          <w:sz w:val="24"/>
          <w:szCs w:val="24"/>
        </w:rPr>
        <w:t>el acuerdo que clasifique la información como reservada deberá contener lo siguiente:</w:t>
      </w:r>
    </w:p>
    <w:p w14:paraId="0292096A" w14:textId="77777777" w:rsidR="0028624B" w:rsidRPr="00E969EB" w:rsidRDefault="0028624B" w:rsidP="0028624B">
      <w:pPr>
        <w:pStyle w:val="Prrafodelista"/>
        <w:numPr>
          <w:ilvl w:val="0"/>
          <w:numId w:val="35"/>
        </w:numPr>
        <w:tabs>
          <w:tab w:val="left" w:pos="567"/>
        </w:tabs>
        <w:spacing w:after="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La fuente y el archivo donde se encuentra la información; </w:t>
      </w:r>
    </w:p>
    <w:p w14:paraId="377FC9D3" w14:textId="77777777" w:rsidR="0028624B" w:rsidRPr="00E969EB" w:rsidRDefault="0028624B" w:rsidP="0028624B">
      <w:pPr>
        <w:pStyle w:val="Prrafodelista"/>
        <w:numPr>
          <w:ilvl w:val="0"/>
          <w:numId w:val="35"/>
        </w:numPr>
        <w:tabs>
          <w:tab w:val="left" w:pos="567"/>
        </w:tabs>
        <w:spacing w:after="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La fundamentación y motivación del acuerdo; </w:t>
      </w:r>
    </w:p>
    <w:p w14:paraId="3C6E84D6" w14:textId="77777777" w:rsidR="0028624B" w:rsidRPr="00E969EB" w:rsidRDefault="0028624B" w:rsidP="0028624B">
      <w:pPr>
        <w:pStyle w:val="Prrafodelista"/>
        <w:numPr>
          <w:ilvl w:val="0"/>
          <w:numId w:val="35"/>
        </w:numPr>
        <w:tabs>
          <w:tab w:val="left" w:pos="567"/>
        </w:tabs>
        <w:spacing w:after="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El documento, la parte o las partes de los mismos, que se reservan; </w:t>
      </w:r>
    </w:p>
    <w:p w14:paraId="76EAE6C5" w14:textId="77777777" w:rsidR="0028624B" w:rsidRPr="00E969EB" w:rsidRDefault="0028624B" w:rsidP="0028624B">
      <w:pPr>
        <w:pStyle w:val="Prrafodelista"/>
        <w:numPr>
          <w:ilvl w:val="0"/>
          <w:numId w:val="35"/>
        </w:numPr>
        <w:tabs>
          <w:tab w:val="left" w:pos="567"/>
        </w:tabs>
        <w:spacing w:after="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El plazo por el que se reserva la información; </w:t>
      </w:r>
    </w:p>
    <w:p w14:paraId="2CA41C63" w14:textId="77777777" w:rsidR="0028624B" w:rsidRDefault="0028624B" w:rsidP="0028624B">
      <w:pPr>
        <w:pStyle w:val="Prrafodelista"/>
        <w:numPr>
          <w:ilvl w:val="0"/>
          <w:numId w:val="35"/>
        </w:numPr>
        <w:tabs>
          <w:tab w:val="left" w:pos="567"/>
        </w:tabs>
        <w:spacing w:after="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La designación de la autoridad re</w:t>
      </w:r>
      <w:r>
        <w:rPr>
          <w:rFonts w:ascii="AvantGarde Bk BT" w:eastAsia="Times New Roman" w:hAnsi="AvantGarde Bk BT" w:cs="Arial"/>
          <w:color w:val="000000"/>
          <w:sz w:val="24"/>
          <w:szCs w:val="24"/>
        </w:rPr>
        <w:t>sponsable de su protección;</w:t>
      </w:r>
    </w:p>
    <w:p w14:paraId="2EE1CF84" w14:textId="77777777" w:rsidR="0028624B" w:rsidRPr="00E969EB" w:rsidRDefault="0028624B" w:rsidP="0028624B">
      <w:pPr>
        <w:pStyle w:val="Prrafodelista"/>
        <w:numPr>
          <w:ilvl w:val="0"/>
          <w:numId w:val="35"/>
        </w:numPr>
        <w:tabs>
          <w:tab w:val="left" w:pos="567"/>
        </w:tabs>
        <w:spacing w:after="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Número de identificación del acuerdo de reserva; </w:t>
      </w:r>
    </w:p>
    <w:p w14:paraId="27E2D4B8" w14:textId="77777777" w:rsidR="0028624B" w:rsidRPr="00E969EB" w:rsidRDefault="0028624B" w:rsidP="0028624B">
      <w:pPr>
        <w:pStyle w:val="Prrafodelista"/>
        <w:numPr>
          <w:ilvl w:val="0"/>
          <w:numId w:val="35"/>
        </w:numPr>
        <w:tabs>
          <w:tab w:val="left" w:pos="567"/>
        </w:tabs>
        <w:spacing w:after="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La aplicación de la prueba del daño; </w:t>
      </w:r>
    </w:p>
    <w:p w14:paraId="4407618C" w14:textId="77777777" w:rsidR="0028624B" w:rsidRPr="00E969EB" w:rsidRDefault="0028624B" w:rsidP="0028624B">
      <w:pPr>
        <w:pStyle w:val="Prrafodelista"/>
        <w:numPr>
          <w:ilvl w:val="0"/>
          <w:numId w:val="35"/>
        </w:numPr>
        <w:tabs>
          <w:tab w:val="left" w:pos="567"/>
        </w:tabs>
        <w:spacing w:after="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Fecha del acuerdo de clasificación, y</w:t>
      </w:r>
    </w:p>
    <w:p w14:paraId="6A36155E" w14:textId="77777777" w:rsidR="0028624B" w:rsidRDefault="0028624B" w:rsidP="0028624B">
      <w:pPr>
        <w:pStyle w:val="Prrafodelista"/>
        <w:numPr>
          <w:ilvl w:val="0"/>
          <w:numId w:val="35"/>
        </w:numPr>
        <w:tabs>
          <w:tab w:val="left" w:pos="567"/>
        </w:tabs>
        <w:spacing w:after="240" w:line="36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La rúbrica de los miembros del Comité.</w:t>
      </w:r>
      <w:r>
        <w:rPr>
          <w:rStyle w:val="Refdenotaalpie"/>
          <w:rFonts w:ascii="AvantGarde Bk BT" w:eastAsia="Times New Roman" w:hAnsi="AvantGarde Bk BT" w:cs="Arial"/>
          <w:color w:val="000000"/>
          <w:sz w:val="24"/>
          <w:szCs w:val="24"/>
        </w:rPr>
        <w:footnoteReference w:id="7"/>
      </w:r>
      <w:r>
        <w:rPr>
          <w:rFonts w:ascii="AvantGarde Bk BT" w:eastAsia="Times New Roman" w:hAnsi="AvantGarde Bk BT" w:cs="Arial"/>
          <w:color w:val="000000"/>
          <w:sz w:val="24"/>
          <w:szCs w:val="24"/>
        </w:rPr>
        <w:t xml:space="preserve"> </w:t>
      </w:r>
    </w:p>
    <w:p w14:paraId="37DEAB5D" w14:textId="77777777" w:rsidR="0028624B" w:rsidRDefault="0028624B" w:rsidP="0028624B">
      <w:pPr>
        <w:tabs>
          <w:tab w:val="left" w:pos="567"/>
        </w:tabs>
        <w:spacing w:after="240" w:line="360" w:lineRule="auto"/>
        <w:ind w:firstLine="709"/>
        <w:jc w:val="both"/>
        <w:rPr>
          <w:rFonts w:ascii="AvantGarde Bk BT" w:eastAsia="Times New Roman" w:hAnsi="AvantGarde Bk BT" w:cs="Arial"/>
          <w:color w:val="000000"/>
          <w:sz w:val="24"/>
          <w:szCs w:val="24"/>
        </w:rPr>
      </w:pPr>
      <w:r>
        <w:rPr>
          <w:rFonts w:ascii="AvantGarde Bk BT" w:hAnsi="AvantGarde Bk BT" w:cs="Arial"/>
          <w:color w:val="000000"/>
          <w:sz w:val="24"/>
          <w:szCs w:val="24"/>
        </w:rPr>
        <w:t xml:space="preserve">Por otro lado y en lo que atañe al fondo del acuerdo de reserva, </w:t>
      </w:r>
      <w:r>
        <w:rPr>
          <w:rFonts w:ascii="AvantGarde Bk BT" w:eastAsia="Times New Roman" w:hAnsi="AvantGarde Bk BT" w:cs="Arial"/>
          <w:color w:val="000000"/>
          <w:sz w:val="24"/>
          <w:szCs w:val="24"/>
        </w:rPr>
        <w:t>la Ley de la materia prevé que la carga de la prueba para demostrar el menoscabo o afectación que se causaría en caso de divulgarse la información considerada como reservada, siempre será de los sujetos obligados, quienes a través de una prueba de daño, deberán realizar un análisis lógico-jurídico que justifique el daño real, demostrable e identificable de perjuicio significativo al interés público, mismo que supera el interés público general de conocer la información.</w:t>
      </w:r>
      <w:r>
        <w:rPr>
          <w:rStyle w:val="Refdenotaalpie"/>
          <w:rFonts w:ascii="AvantGarde Bk BT" w:eastAsia="Times New Roman" w:hAnsi="AvantGarde Bk BT" w:cs="Arial"/>
          <w:color w:val="000000"/>
          <w:sz w:val="24"/>
          <w:szCs w:val="24"/>
        </w:rPr>
        <w:footnoteReference w:id="8"/>
      </w:r>
      <w:r>
        <w:rPr>
          <w:rFonts w:ascii="AvantGarde Bk BT" w:eastAsia="Times New Roman" w:hAnsi="AvantGarde Bk BT" w:cs="Arial"/>
          <w:color w:val="000000"/>
          <w:sz w:val="24"/>
          <w:szCs w:val="24"/>
        </w:rPr>
        <w:t xml:space="preserve"> </w:t>
      </w:r>
    </w:p>
    <w:p w14:paraId="7460DE0E" w14:textId="77777777" w:rsidR="0028624B" w:rsidRDefault="0028624B" w:rsidP="0028624B">
      <w:pPr>
        <w:tabs>
          <w:tab w:val="left" w:pos="567"/>
        </w:tabs>
        <w:spacing w:after="0" w:line="360" w:lineRule="auto"/>
        <w:ind w:firstLine="709"/>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lastRenderedPageBreak/>
        <w:t xml:space="preserve">Con relación a lo antes expuesto, los Lineamientos Generales en Materia de Clasificación y Desclasificación de la Información, así como para la Elaboración de Versiones Públicas prevén que la prueba de daño deberá contener diversos elementos, motivo por el cual resulta necesario citar el </w:t>
      </w:r>
      <w:r w:rsidRPr="00392C5A">
        <w:rPr>
          <w:rFonts w:ascii="AvantGarde Bk BT" w:eastAsia="Times New Roman" w:hAnsi="AvantGarde Bk BT" w:cs="Arial"/>
          <w:color w:val="000000"/>
          <w:sz w:val="24"/>
          <w:szCs w:val="24"/>
        </w:rPr>
        <w:t>Lineamiento Trigésimo Tercero</w:t>
      </w:r>
      <w:r>
        <w:rPr>
          <w:rFonts w:ascii="AvantGarde Bk BT" w:eastAsia="Times New Roman" w:hAnsi="AvantGarde Bk BT" w:cs="Arial"/>
          <w:color w:val="000000"/>
          <w:sz w:val="24"/>
          <w:szCs w:val="24"/>
        </w:rPr>
        <w:t>, mismo que a la letra dice:</w:t>
      </w:r>
    </w:p>
    <w:p w14:paraId="4333C608" w14:textId="77777777" w:rsidR="0028624B" w:rsidRPr="00EE54EA" w:rsidRDefault="0028624B" w:rsidP="0028624B">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color w:val="000000"/>
          <w:sz w:val="24"/>
          <w:szCs w:val="24"/>
        </w:rPr>
        <w:t>“</w:t>
      </w:r>
      <w:r w:rsidRPr="00EE54EA">
        <w:rPr>
          <w:rFonts w:ascii="AvantGarde Bk BT" w:eastAsia="Times New Roman" w:hAnsi="AvantGarde Bk BT" w:cs="Arial"/>
          <w:i/>
          <w:color w:val="000000"/>
          <w:szCs w:val="24"/>
        </w:rPr>
        <w:t xml:space="preserve">Trigésimo tercero. Para la aplicación de la prueba de daño a la que hace referencia el artículo 104 de la Ley General, los sujetos obligados atenderán lo siguiente: </w:t>
      </w:r>
    </w:p>
    <w:p w14:paraId="3440FFFE" w14:textId="77777777" w:rsidR="0028624B" w:rsidRPr="00EE54EA" w:rsidRDefault="0028624B" w:rsidP="0028624B">
      <w:pPr>
        <w:tabs>
          <w:tab w:val="left" w:pos="567"/>
        </w:tabs>
        <w:spacing w:after="0"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 xml:space="preserve">I. Se deberá citar la fracción y, en su caso, la causal aplicable del artículo 113 de la Ley General, vinculándola con el Lineamiento específico del presente ordenamiento y, cuando corresponda, el supuesto normativo que expresamente le otorga el carácter de información reservada; </w:t>
      </w:r>
    </w:p>
    <w:p w14:paraId="3CA97A02" w14:textId="77777777" w:rsidR="0028624B" w:rsidRPr="00EE54EA" w:rsidRDefault="0028624B" w:rsidP="0028624B">
      <w:pPr>
        <w:tabs>
          <w:tab w:val="left" w:pos="567"/>
        </w:tabs>
        <w:spacing w:after="0"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 xml:space="preserve">II. Mediante la ponderación de los intereses en conflicto, los sujetos obligados deberán demostrar que la publicidad de la información solicitada generaría un riesgo de perjuicio </w:t>
      </w:r>
      <w:proofErr w:type="gramStart"/>
      <w:r w:rsidRPr="00EE54EA">
        <w:rPr>
          <w:rFonts w:ascii="AvantGarde Bk BT" w:eastAsia="Times New Roman" w:hAnsi="AvantGarde Bk BT" w:cs="Arial"/>
          <w:i/>
          <w:color w:val="000000"/>
          <w:szCs w:val="24"/>
        </w:rPr>
        <w:t>y</w:t>
      </w:r>
      <w:proofErr w:type="gramEnd"/>
      <w:r w:rsidRPr="00EE54EA">
        <w:rPr>
          <w:rFonts w:ascii="AvantGarde Bk BT" w:eastAsia="Times New Roman" w:hAnsi="AvantGarde Bk BT" w:cs="Arial"/>
          <w:i/>
          <w:color w:val="000000"/>
          <w:szCs w:val="24"/>
        </w:rPr>
        <w:t xml:space="preserve"> por lo tanto, tendrán que acreditar que este último rebasa el interés público protegido por la reserva; </w:t>
      </w:r>
    </w:p>
    <w:p w14:paraId="4CBA642F" w14:textId="77777777" w:rsidR="0028624B" w:rsidRPr="00EE54EA" w:rsidRDefault="0028624B" w:rsidP="0028624B">
      <w:pPr>
        <w:tabs>
          <w:tab w:val="left" w:pos="567"/>
        </w:tabs>
        <w:spacing w:after="0"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 xml:space="preserve">III. Se debe de acreditar el vínculo entre la difusión de la información y la afectación del interés jurídico tutelado de que se trate; </w:t>
      </w:r>
    </w:p>
    <w:p w14:paraId="25A24787" w14:textId="77777777" w:rsidR="0028624B" w:rsidRPr="00EE54EA" w:rsidRDefault="0028624B" w:rsidP="0028624B">
      <w:pPr>
        <w:tabs>
          <w:tab w:val="left" w:pos="567"/>
        </w:tabs>
        <w:spacing w:after="0"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 xml:space="preserve">IV. Precisar las razones objetivas por las que la apertura de la información generaría una afectación, a través de los elementos de un riesgo real, demostrable e identificable; </w:t>
      </w:r>
    </w:p>
    <w:p w14:paraId="5D9EC176" w14:textId="77777777" w:rsidR="0028624B" w:rsidRPr="00EE54EA" w:rsidRDefault="0028624B" w:rsidP="0028624B">
      <w:pPr>
        <w:tabs>
          <w:tab w:val="left" w:pos="567"/>
        </w:tabs>
        <w:spacing w:after="0"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 xml:space="preserve">V. En la motivación de la clasificación, el sujeto obligado deberá acreditar las circunstancias de modo, tiempo y lugar del daño, y </w:t>
      </w:r>
    </w:p>
    <w:p w14:paraId="2E70A748" w14:textId="77777777" w:rsidR="0028624B" w:rsidRPr="00EE54EA" w:rsidRDefault="0028624B" w:rsidP="0028624B">
      <w:pPr>
        <w:tabs>
          <w:tab w:val="left" w:pos="567"/>
        </w:tabs>
        <w:spacing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VI. Deberán elegir la opción de excepción al acceso a la información que menos lo restrinja, la cual será adecuada y proporcional para la protección del interés público, y deberá interferir lo menos posible en el ejercicio efectivo del derecho de acceso a la información.”</w:t>
      </w:r>
    </w:p>
    <w:p w14:paraId="32CE3FB6" w14:textId="77777777" w:rsidR="0028624B" w:rsidRPr="00FB726F" w:rsidRDefault="0028624B" w:rsidP="0028624B">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Dicho lo anterior, es necesario precisar que toda determinación que clasifique la información deberá</w:t>
      </w:r>
      <w:r w:rsidRPr="00FB726F">
        <w:rPr>
          <w:rFonts w:ascii="AvantGarde Bk BT" w:eastAsia="Times New Roman" w:hAnsi="AvantGarde Bk BT" w:cs="Arial"/>
          <w:color w:val="000000"/>
          <w:sz w:val="24"/>
          <w:szCs w:val="24"/>
        </w:rPr>
        <w:t xml:space="preserve"> de </w:t>
      </w:r>
      <w:r>
        <w:rPr>
          <w:rFonts w:ascii="AvantGarde Bk BT" w:eastAsia="Times New Roman" w:hAnsi="AvantGarde Bk BT" w:cs="Arial"/>
          <w:color w:val="000000"/>
          <w:sz w:val="24"/>
          <w:szCs w:val="24"/>
        </w:rPr>
        <w:t>encontrarse debidamente fundada y motivada</w:t>
      </w:r>
      <w:r w:rsidRPr="00FB726F">
        <w:rPr>
          <w:rFonts w:ascii="AvantGarde Bk BT" w:eastAsia="Times New Roman" w:hAnsi="AvantGarde Bk BT" w:cs="Arial"/>
          <w:color w:val="000000"/>
          <w:sz w:val="24"/>
          <w:szCs w:val="24"/>
        </w:rPr>
        <w:t xml:space="preserve">, en la inteligencia de que la fundamentación es el conjunto de preceptos legales, ya sean de carácter sustantivo –parte </w:t>
      </w:r>
      <w:r>
        <w:rPr>
          <w:rFonts w:ascii="AvantGarde Bk BT" w:eastAsia="Times New Roman" w:hAnsi="AvantGarde Bk BT" w:cs="Arial"/>
          <w:color w:val="000000"/>
          <w:sz w:val="24"/>
          <w:szCs w:val="24"/>
        </w:rPr>
        <w:t>normativa</w:t>
      </w:r>
      <w:r w:rsidRPr="00FB726F">
        <w:rPr>
          <w:rFonts w:ascii="AvantGarde Bk BT" w:eastAsia="Times New Roman" w:hAnsi="AvantGarde Bk BT" w:cs="Arial"/>
          <w:color w:val="000000"/>
          <w:sz w:val="24"/>
          <w:szCs w:val="24"/>
        </w:rPr>
        <w:t xml:space="preserve"> que confiere derechos o impone obligaciones</w:t>
      </w:r>
      <w:r>
        <w:rPr>
          <w:rFonts w:ascii="AvantGarde Bk BT" w:eastAsia="Times New Roman" w:hAnsi="AvantGarde Bk BT" w:cs="Arial"/>
          <w:color w:val="000000"/>
          <w:sz w:val="24"/>
          <w:szCs w:val="24"/>
        </w:rPr>
        <w:t>- o adjetivo –cuerpo normativo</w:t>
      </w:r>
      <w:r w:rsidRPr="00FB726F">
        <w:rPr>
          <w:rFonts w:ascii="AvantGarde Bk BT" w:eastAsia="Times New Roman" w:hAnsi="AvantGarde Bk BT" w:cs="Arial"/>
          <w:color w:val="000000"/>
          <w:sz w:val="24"/>
          <w:szCs w:val="24"/>
        </w:rPr>
        <w:t xml:space="preserve"> que regula el procedimiento- y, la motivación es el conjunto de razonamientos lógico-jurídicos que justifiquen el porqué de su actuar de cada caso concreto; sirve de apoyo la siguiente tesis emitida por los </w:t>
      </w:r>
      <w:r>
        <w:rPr>
          <w:rFonts w:ascii="AvantGarde Bk BT" w:eastAsia="Times New Roman" w:hAnsi="AvantGarde Bk BT" w:cs="Arial"/>
          <w:color w:val="000000"/>
          <w:sz w:val="24"/>
          <w:szCs w:val="24"/>
        </w:rPr>
        <w:t>Tribunales de la F</w:t>
      </w:r>
      <w:r w:rsidRPr="00FB726F">
        <w:rPr>
          <w:rFonts w:ascii="AvantGarde Bk BT" w:eastAsia="Times New Roman" w:hAnsi="AvantGarde Bk BT" w:cs="Arial"/>
          <w:color w:val="000000"/>
          <w:sz w:val="24"/>
          <w:szCs w:val="24"/>
        </w:rPr>
        <w:t>ederación</w:t>
      </w:r>
      <w:r>
        <w:rPr>
          <w:rFonts w:ascii="AvantGarde Bk BT" w:eastAsia="Times New Roman" w:hAnsi="AvantGarde Bk BT" w:cs="Arial"/>
          <w:color w:val="000000"/>
          <w:sz w:val="24"/>
          <w:szCs w:val="24"/>
        </w:rPr>
        <w:t>, misma que se transcribe a continuación</w:t>
      </w:r>
      <w:r w:rsidRPr="00FB726F">
        <w:rPr>
          <w:rFonts w:ascii="AvantGarde Bk BT" w:eastAsia="Times New Roman" w:hAnsi="AvantGarde Bk BT" w:cs="Arial"/>
          <w:color w:val="000000"/>
          <w:sz w:val="24"/>
          <w:szCs w:val="24"/>
        </w:rPr>
        <w:t>:</w:t>
      </w:r>
    </w:p>
    <w:p w14:paraId="2D6EF8B1" w14:textId="77777777" w:rsidR="0028624B" w:rsidRPr="00EE54EA" w:rsidRDefault="0028624B" w:rsidP="0028624B">
      <w:pPr>
        <w:tabs>
          <w:tab w:val="left" w:pos="567"/>
        </w:tabs>
        <w:spacing w:line="240" w:lineRule="auto"/>
        <w:ind w:left="680" w:right="680"/>
        <w:jc w:val="both"/>
        <w:rPr>
          <w:rFonts w:ascii="AvantGarde Bk BT" w:eastAsia="Times New Roman" w:hAnsi="AvantGarde Bk BT" w:cs="Arial"/>
          <w:i/>
          <w:color w:val="000000"/>
          <w:sz w:val="20"/>
          <w:szCs w:val="24"/>
        </w:rPr>
      </w:pPr>
      <w:r w:rsidRPr="00FB726F">
        <w:rPr>
          <w:rFonts w:ascii="AvantGarde Bk BT" w:eastAsia="Times New Roman" w:hAnsi="AvantGarde Bk BT" w:cs="Arial"/>
          <w:i/>
          <w:color w:val="000000"/>
          <w:sz w:val="24"/>
          <w:szCs w:val="24"/>
        </w:rPr>
        <w:t>“</w:t>
      </w:r>
      <w:r w:rsidRPr="00EE54EA">
        <w:rPr>
          <w:rFonts w:ascii="AvantGarde Bk BT" w:eastAsia="Times New Roman" w:hAnsi="AvantGarde Bk BT" w:cs="Arial"/>
          <w:b/>
          <w:i/>
          <w:color w:val="000000"/>
          <w:szCs w:val="24"/>
        </w:rPr>
        <w:t>Fundamentación y motivación, concepto de.-</w:t>
      </w:r>
      <w:r w:rsidRPr="00EE54EA">
        <w:rPr>
          <w:rFonts w:ascii="AvantGarde Bk BT" w:eastAsia="Times New Roman" w:hAnsi="AvantGarde Bk BT" w:cs="Arial"/>
          <w:i/>
          <w:color w:val="000000"/>
          <w:szCs w:val="24"/>
        </w:rPr>
        <w:t xml:space="preserve"> La garantía de legalidad consagrada en el artículo 16 de nuestra Carta Magna, establece que todo acto de autoridad precisa encontrarse debidamente fundado y motivado, entendiéndose por lo primero la obligación de la autoridad que lo emite, para </w:t>
      </w:r>
      <w:r w:rsidRPr="00EE54EA">
        <w:rPr>
          <w:rFonts w:ascii="AvantGarde Bk BT" w:eastAsia="Times New Roman" w:hAnsi="AvantGarde Bk BT" w:cs="Arial"/>
          <w:i/>
          <w:color w:val="000000"/>
          <w:szCs w:val="24"/>
        </w:rPr>
        <w:lastRenderedPageBreak/>
        <w:t>citar los preceptos legales, sustantivos y adjetivos, en que se apoye la determinación adoptada; y por lo segundo, que exprese una serie de razonamientos lógico-jurídicos sobre el por qué consideró que el caso concreto se ajusta a la hipótesis normativa</w:t>
      </w:r>
      <w:r w:rsidRPr="006E366C">
        <w:rPr>
          <w:rFonts w:ascii="AvantGarde Bk BT" w:eastAsia="Times New Roman" w:hAnsi="AvantGarde Bk BT" w:cs="Arial"/>
          <w:i/>
          <w:color w:val="000000"/>
          <w:sz w:val="20"/>
          <w:szCs w:val="24"/>
        </w:rPr>
        <w:t>.</w:t>
      </w:r>
      <w:r w:rsidRPr="00FB726F">
        <w:rPr>
          <w:rFonts w:ascii="AvantGarde Bk BT" w:eastAsia="Times New Roman" w:hAnsi="AvantGarde Bk BT" w:cs="Arial"/>
          <w:i/>
          <w:color w:val="000000"/>
          <w:sz w:val="24"/>
          <w:szCs w:val="24"/>
        </w:rPr>
        <w:t>”</w:t>
      </w:r>
      <w:r>
        <w:rPr>
          <w:rStyle w:val="Refdenotaalpie"/>
          <w:rFonts w:ascii="AvantGarde Bk BT" w:eastAsia="Times New Roman" w:hAnsi="AvantGarde Bk BT" w:cs="Arial"/>
          <w:i/>
          <w:color w:val="000000"/>
          <w:sz w:val="24"/>
          <w:szCs w:val="24"/>
        </w:rPr>
        <w:footnoteReference w:id="9"/>
      </w:r>
    </w:p>
    <w:p w14:paraId="15477465" w14:textId="77777777" w:rsidR="0028624B" w:rsidRDefault="0028624B" w:rsidP="0028624B">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Así, </w:t>
      </w:r>
      <w:r w:rsidRPr="005849D2">
        <w:rPr>
          <w:rFonts w:ascii="AvantGarde Bk BT" w:eastAsia="Times New Roman" w:hAnsi="AvantGarde Bk BT" w:cs="Arial"/>
          <w:color w:val="000000"/>
          <w:sz w:val="24"/>
          <w:szCs w:val="24"/>
        </w:rPr>
        <w:t>de una in</w:t>
      </w:r>
      <w:r>
        <w:rPr>
          <w:rFonts w:ascii="AvantGarde Bk BT" w:eastAsia="Times New Roman" w:hAnsi="AvantGarde Bk BT" w:cs="Arial"/>
          <w:color w:val="000000"/>
          <w:sz w:val="24"/>
          <w:szCs w:val="24"/>
        </w:rPr>
        <w:t>terpretación sistemática de la Ley de T</w:t>
      </w:r>
      <w:r w:rsidRPr="005849D2">
        <w:rPr>
          <w:rFonts w:ascii="AvantGarde Bk BT" w:eastAsia="Times New Roman" w:hAnsi="AvantGarde Bk BT" w:cs="Arial"/>
          <w:color w:val="000000"/>
          <w:sz w:val="24"/>
          <w:szCs w:val="24"/>
        </w:rPr>
        <w:t>ransparencia, resulta evidente que</w:t>
      </w:r>
      <w:r>
        <w:rPr>
          <w:rFonts w:ascii="AvantGarde Bk BT" w:eastAsia="Times New Roman" w:hAnsi="AvantGarde Bk BT" w:cs="Arial"/>
          <w:color w:val="000000"/>
          <w:sz w:val="24"/>
          <w:szCs w:val="24"/>
        </w:rPr>
        <w:t xml:space="preserve">, </w:t>
      </w:r>
      <w:r w:rsidRPr="009B722B">
        <w:rPr>
          <w:rFonts w:ascii="AvantGarde Bk BT" w:eastAsia="Times New Roman" w:hAnsi="AvantGarde Bk BT" w:cs="Arial"/>
          <w:b/>
          <w:color w:val="000000"/>
          <w:sz w:val="24"/>
          <w:szCs w:val="24"/>
          <w:u w:val="single"/>
        </w:rPr>
        <w:t>para que la clasificación de la información sea válida, es necesario que el Comité de Transparencia del sujeto obligado confirme la determinación de clasificación</w:t>
      </w:r>
      <w:r w:rsidRPr="005849D2">
        <w:rPr>
          <w:rFonts w:ascii="AvantGarde Bk BT" w:eastAsia="Times New Roman" w:hAnsi="AvantGarde Bk BT" w:cs="Arial"/>
          <w:color w:val="000000"/>
          <w:sz w:val="24"/>
          <w:szCs w:val="24"/>
        </w:rPr>
        <w:t xml:space="preserve"> cuando se actualice alguna causal </w:t>
      </w:r>
      <w:r>
        <w:rPr>
          <w:rFonts w:ascii="AvantGarde Bk BT" w:eastAsia="Times New Roman" w:hAnsi="AvantGarde Bk BT" w:cs="Arial"/>
          <w:color w:val="000000"/>
          <w:sz w:val="24"/>
          <w:szCs w:val="24"/>
        </w:rPr>
        <w:t>prevista en la Ley</w:t>
      </w:r>
      <w:r w:rsidRPr="005849D2">
        <w:rPr>
          <w:rFonts w:ascii="AvantGarde Bk BT" w:eastAsia="Times New Roman" w:hAnsi="AvantGarde Bk BT" w:cs="Arial"/>
          <w:color w:val="000000"/>
          <w:sz w:val="24"/>
          <w:szCs w:val="24"/>
        </w:rPr>
        <w:t>.</w:t>
      </w:r>
      <w:r>
        <w:rPr>
          <w:rFonts w:ascii="AvantGarde Bk BT" w:eastAsia="Times New Roman" w:hAnsi="AvantGarde Bk BT" w:cs="Arial"/>
          <w:color w:val="000000"/>
          <w:sz w:val="24"/>
          <w:szCs w:val="24"/>
        </w:rPr>
        <w:t xml:space="preserve"> </w:t>
      </w:r>
      <w:r>
        <w:rPr>
          <w:rStyle w:val="Refdenotaalpie"/>
          <w:rFonts w:ascii="AvantGarde Bk BT" w:eastAsia="Times New Roman" w:hAnsi="AvantGarde Bk BT" w:cs="Arial"/>
          <w:color w:val="000000"/>
          <w:sz w:val="24"/>
          <w:szCs w:val="24"/>
        </w:rPr>
        <w:footnoteReference w:id="10"/>
      </w:r>
    </w:p>
    <w:p w14:paraId="71491537" w14:textId="77777777" w:rsidR="0028624B" w:rsidRDefault="0028624B" w:rsidP="0028624B">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esta tesitura, </w:t>
      </w:r>
      <w:r w:rsidRPr="002F3814">
        <w:rPr>
          <w:rFonts w:ascii="AvantGarde Bk BT" w:hAnsi="AvantGarde Bk BT" w:cs="Arial"/>
          <w:b/>
          <w:color w:val="000000" w:themeColor="text1"/>
          <w:sz w:val="24"/>
          <w:szCs w:val="24"/>
          <w:u w:val="single"/>
        </w:rPr>
        <w:t>es necesario precisar que, la Ley en comento prescribe que la clasificación de la información deberá realizarse</w:t>
      </w:r>
      <w:r>
        <w:rPr>
          <w:rFonts w:ascii="AvantGarde Bk BT" w:hAnsi="AvantGarde Bk BT" w:cs="Arial"/>
          <w:color w:val="000000" w:themeColor="text1"/>
          <w:sz w:val="24"/>
          <w:szCs w:val="24"/>
        </w:rPr>
        <w:t xml:space="preserve"> en los siguientes supuestos: </w:t>
      </w:r>
      <w:r w:rsidRPr="002F3814">
        <w:rPr>
          <w:rFonts w:ascii="AvantGarde Bk BT" w:hAnsi="AvantGarde Bk BT" w:cs="Arial"/>
          <w:b/>
          <w:color w:val="000000" w:themeColor="text1"/>
          <w:sz w:val="24"/>
          <w:szCs w:val="24"/>
          <w:u w:val="single"/>
        </w:rPr>
        <w:t>I. Se reciba una solicitud de acceso a la información;</w:t>
      </w:r>
      <w:r w:rsidRPr="002F3814">
        <w:rPr>
          <w:rFonts w:ascii="AvantGarde Bk BT" w:hAnsi="AvantGarde Bk BT" w:cs="Arial"/>
          <w:color w:val="000000" w:themeColor="text1"/>
          <w:sz w:val="24"/>
          <w:szCs w:val="24"/>
        </w:rPr>
        <w:t xml:space="preserve"> II. Se determine mediante resolución de autoridad</w:t>
      </w:r>
      <w:r>
        <w:rPr>
          <w:rFonts w:ascii="AvantGarde Bk BT" w:hAnsi="AvantGarde Bk BT" w:cs="Arial"/>
          <w:color w:val="000000" w:themeColor="text1"/>
          <w:sz w:val="24"/>
          <w:szCs w:val="24"/>
        </w:rPr>
        <w:t xml:space="preserve"> </w:t>
      </w:r>
      <w:r w:rsidRPr="002F3814">
        <w:rPr>
          <w:rFonts w:ascii="AvantGarde Bk BT" w:hAnsi="AvantGarde Bk BT" w:cs="Arial"/>
          <w:color w:val="000000" w:themeColor="text1"/>
          <w:sz w:val="24"/>
          <w:szCs w:val="24"/>
        </w:rPr>
        <w:t>competente, o III. Se generen versiones públicas para dar cumplimiento a las obligaciones de transparencia previstas en esta Ley.</w:t>
      </w:r>
      <w:r>
        <w:rPr>
          <w:rStyle w:val="Refdenotaalpie"/>
          <w:rFonts w:ascii="AvantGarde Bk BT" w:hAnsi="AvantGarde Bk BT" w:cs="Arial"/>
          <w:color w:val="000000" w:themeColor="text1"/>
          <w:sz w:val="24"/>
          <w:szCs w:val="24"/>
        </w:rPr>
        <w:footnoteReference w:id="11"/>
      </w:r>
      <w:r>
        <w:rPr>
          <w:rFonts w:ascii="AvantGarde Bk BT" w:hAnsi="AvantGarde Bk BT" w:cs="Arial"/>
          <w:color w:val="000000" w:themeColor="text1"/>
          <w:sz w:val="24"/>
          <w:szCs w:val="24"/>
        </w:rPr>
        <w:t xml:space="preserve"> </w:t>
      </w:r>
    </w:p>
    <w:p w14:paraId="18C25146" w14:textId="39CB0BE3" w:rsidR="0028624B" w:rsidRDefault="0028624B" w:rsidP="00BA5F2C">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Ahor</w:t>
      </w:r>
      <w:r w:rsidR="00D863B9">
        <w:rPr>
          <w:rFonts w:ascii="AvantGarde Bk BT" w:eastAsia="Times New Roman" w:hAnsi="AvantGarde Bk BT" w:cs="Arial"/>
          <w:color w:val="000000"/>
          <w:sz w:val="24"/>
          <w:szCs w:val="24"/>
        </w:rPr>
        <w:t xml:space="preserve">a, cabe destacar que </w:t>
      </w:r>
      <w:r w:rsidR="00D863B9" w:rsidRPr="005F6EB6">
        <w:rPr>
          <w:rFonts w:ascii="AvantGarde Bk BT" w:eastAsia="Times New Roman" w:hAnsi="AvantGarde Bk BT" w:cs="Arial"/>
          <w:b/>
          <w:color w:val="000000"/>
          <w:sz w:val="24"/>
          <w:szCs w:val="24"/>
        </w:rPr>
        <w:t xml:space="preserve">el sujeto obligado no proporcionó al particular el acuerdo de reserva respectivo, por lo que </w:t>
      </w:r>
      <w:r w:rsidR="005F6EB6" w:rsidRPr="005F6EB6">
        <w:rPr>
          <w:rFonts w:ascii="AvantGarde Bk BT" w:eastAsia="Times New Roman" w:hAnsi="AvantGarde Bk BT" w:cs="Arial"/>
          <w:b/>
          <w:color w:val="000000"/>
          <w:sz w:val="24"/>
          <w:szCs w:val="24"/>
        </w:rPr>
        <w:t>éste no pudo acceder a las causas y a los razonamientos jurídicos por los cuales no se le proporcionó la información solicitada</w:t>
      </w:r>
      <w:r w:rsidR="005F6EB6">
        <w:rPr>
          <w:rFonts w:ascii="AvantGarde Bk BT" w:eastAsia="Times New Roman" w:hAnsi="AvantGarde Bk BT" w:cs="Arial"/>
          <w:color w:val="000000"/>
          <w:sz w:val="24"/>
          <w:szCs w:val="24"/>
        </w:rPr>
        <w:t>.</w:t>
      </w:r>
    </w:p>
    <w:p w14:paraId="3D93DA00" w14:textId="26E37868" w:rsidR="005F6EB6" w:rsidRDefault="005F6EB6" w:rsidP="00BA5F2C">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eastAsia="Times New Roman" w:hAnsi="AvantGarde Bk BT" w:cs="Arial"/>
          <w:color w:val="000000"/>
          <w:sz w:val="24"/>
          <w:szCs w:val="24"/>
        </w:rPr>
        <w:t>En este contexto y con el objeto de mejor proveer, esta Comisión requirió al sujeto obligado para efecto de que remitiera el acuerdo de reserva mediante el cual clasificó la</w:t>
      </w:r>
      <w:r>
        <w:rPr>
          <w:rFonts w:ascii="AvantGarde Bk BT" w:hAnsi="AvantGarde Bk BT" w:cs="Arial"/>
          <w:color w:val="000000" w:themeColor="text1"/>
          <w:sz w:val="24"/>
          <w:szCs w:val="24"/>
        </w:rPr>
        <w:t xml:space="preserve"> información </w:t>
      </w:r>
      <w:r w:rsidRPr="0077486D">
        <w:rPr>
          <w:rFonts w:ascii="AvantGarde Bk BT" w:hAnsi="AvantGarde Bk BT" w:cs="Arial"/>
          <w:color w:val="000000" w:themeColor="text1"/>
          <w:sz w:val="24"/>
          <w:szCs w:val="24"/>
        </w:rPr>
        <w:t>generada por el Grupo Interdisciplinario Especializado en Medio Ambiente, Agua, Salud y Lirio Acuático</w:t>
      </w:r>
      <w:r>
        <w:rPr>
          <w:rFonts w:ascii="AvantGarde Bk BT" w:hAnsi="AvantGarde Bk BT" w:cs="Arial"/>
          <w:color w:val="000000" w:themeColor="text1"/>
          <w:sz w:val="24"/>
          <w:szCs w:val="24"/>
        </w:rPr>
        <w:t>.</w:t>
      </w:r>
    </w:p>
    <w:p w14:paraId="7F8EFC61" w14:textId="3EA5A29C" w:rsidR="005F6EB6" w:rsidRDefault="005F6EB6" w:rsidP="00BA5F2C">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hAnsi="AvantGarde Bk BT" w:cs="Arial"/>
          <w:color w:val="000000" w:themeColor="text1"/>
          <w:sz w:val="24"/>
          <w:szCs w:val="24"/>
        </w:rPr>
        <w:t xml:space="preserve">Por ello, el sujeto obligado, por conducto de la Titular de la Unidad de Transparencia, </w:t>
      </w:r>
      <w:r w:rsidR="00303E78">
        <w:rPr>
          <w:rFonts w:ascii="AvantGarde Bk BT" w:hAnsi="AvantGarde Bk BT" w:cs="Arial"/>
          <w:color w:val="000000" w:themeColor="text1"/>
          <w:sz w:val="24"/>
          <w:szCs w:val="24"/>
        </w:rPr>
        <w:t xml:space="preserve">remitió a este Órgano Garante el acta de la primera sesión del Comité </w:t>
      </w:r>
      <w:r w:rsidR="00303E78">
        <w:rPr>
          <w:rFonts w:ascii="AvantGarde Bk BT" w:hAnsi="AvantGarde Bk BT" w:cs="Arial"/>
          <w:color w:val="000000" w:themeColor="text1"/>
          <w:sz w:val="24"/>
          <w:szCs w:val="24"/>
        </w:rPr>
        <w:lastRenderedPageBreak/>
        <w:t>de Transparencia del Consejo Potosino de Ciencia y Tecnología, celebrada el nueve de agosto de dos mil veinticuatro, misma que se encuentra visible de foja 36 a 38 de autos.</w:t>
      </w:r>
    </w:p>
    <w:p w14:paraId="28EBAC91" w14:textId="7AA78D93" w:rsidR="00D8141A" w:rsidRPr="00D8141A" w:rsidRDefault="005A4764" w:rsidP="00D8141A">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Así, de la lectura del acta proporcionada, se desprende que el sujeto obligado señaló que </w:t>
      </w:r>
      <w:r w:rsidRPr="005A4764">
        <w:rPr>
          <w:rFonts w:ascii="AvantGarde Bk BT" w:eastAsia="Times New Roman" w:hAnsi="AvantGarde Bk BT" w:cs="Arial"/>
          <w:color w:val="000000"/>
          <w:sz w:val="24"/>
          <w:szCs w:val="24"/>
        </w:rPr>
        <w:t>la información generada por el Grupo Interdisciplinario Especializado en Medio Ambiente, Agua, Salud y Lirio Acuático</w:t>
      </w:r>
      <w:r>
        <w:rPr>
          <w:rFonts w:ascii="AvantGarde Bk BT" w:eastAsia="Times New Roman" w:hAnsi="AvantGarde Bk BT" w:cs="Arial"/>
          <w:color w:val="000000"/>
          <w:sz w:val="24"/>
          <w:szCs w:val="24"/>
        </w:rPr>
        <w:t xml:space="preserve"> debía ser clasificada como reservada en virtud de que </w:t>
      </w:r>
      <w:r w:rsidR="00D8141A">
        <w:rPr>
          <w:rFonts w:ascii="AvantGarde Bk BT" w:eastAsia="Times New Roman" w:hAnsi="AvantGarde Bk BT" w:cs="Arial"/>
          <w:color w:val="000000"/>
          <w:sz w:val="24"/>
          <w:szCs w:val="24"/>
        </w:rPr>
        <w:t>e</w:t>
      </w:r>
      <w:r w:rsidR="00D8141A" w:rsidRPr="00D8141A">
        <w:rPr>
          <w:rFonts w:ascii="AvantGarde Bk BT" w:eastAsia="Times New Roman" w:hAnsi="AvantGarde Bk BT" w:cs="Arial"/>
          <w:color w:val="000000"/>
          <w:sz w:val="24"/>
          <w:szCs w:val="24"/>
        </w:rPr>
        <w:t xml:space="preserve">l </w:t>
      </w:r>
      <w:r w:rsidR="00D8141A">
        <w:rPr>
          <w:rFonts w:ascii="AvantGarde Bk BT" w:eastAsia="Times New Roman" w:hAnsi="AvantGarde Bk BT" w:cs="Arial"/>
          <w:color w:val="000000"/>
          <w:sz w:val="24"/>
          <w:szCs w:val="24"/>
        </w:rPr>
        <w:t>veintinueve</w:t>
      </w:r>
      <w:r w:rsidR="00D8141A" w:rsidRPr="00D8141A">
        <w:rPr>
          <w:rFonts w:ascii="AvantGarde Bk BT" w:eastAsia="Times New Roman" w:hAnsi="AvantGarde Bk BT" w:cs="Arial"/>
          <w:color w:val="000000"/>
          <w:sz w:val="24"/>
          <w:szCs w:val="24"/>
        </w:rPr>
        <w:t xml:space="preserve"> de abril de </w:t>
      </w:r>
      <w:r w:rsidR="00D8141A">
        <w:rPr>
          <w:rFonts w:ascii="AvantGarde Bk BT" w:eastAsia="Times New Roman" w:hAnsi="AvantGarde Bk BT" w:cs="Arial"/>
          <w:color w:val="000000"/>
          <w:sz w:val="24"/>
          <w:szCs w:val="24"/>
        </w:rPr>
        <w:t>dos mil veinticuatro</w:t>
      </w:r>
      <w:r w:rsidR="00D8141A" w:rsidRPr="00D8141A">
        <w:rPr>
          <w:rFonts w:ascii="AvantGarde Bk BT" w:eastAsia="Times New Roman" w:hAnsi="AvantGarde Bk BT" w:cs="Arial"/>
          <w:b/>
          <w:color w:val="000000"/>
          <w:sz w:val="24"/>
          <w:szCs w:val="24"/>
        </w:rPr>
        <w:t xml:space="preserve">, se recibió en el Consejo Potosino de Ciencia y Tecnología un oficio sin número, remitido por los titulares de la Secretaría de Ecología y Gestión Ambiental y la Comisión Estatal del Agua, a través del cual solicitaron al Consejo convocar a expertos en el tema de lirio acuático para </w:t>
      </w:r>
      <w:r w:rsidR="00D8141A" w:rsidRPr="00D8141A">
        <w:rPr>
          <w:rFonts w:ascii="AvantGarde Bk BT" w:eastAsia="Times New Roman" w:hAnsi="AvantGarde Bk BT" w:cs="Arial"/>
          <w:b/>
          <w:color w:val="000000"/>
          <w:sz w:val="24"/>
          <w:szCs w:val="24"/>
          <w:u w:val="single"/>
        </w:rPr>
        <w:t>poner a su consideración los efectos técnicos a cumplir por parte del Poder Ejecutivo del Estado del juicio de amparo indirecto 729/2018 del Índice del Juzgado Octavo de Distrito del Noveno Circuito</w:t>
      </w:r>
      <w:r w:rsidR="00D8141A">
        <w:rPr>
          <w:rFonts w:ascii="AvantGarde Bk BT" w:eastAsia="Times New Roman" w:hAnsi="AvantGarde Bk BT" w:cs="Arial"/>
          <w:color w:val="000000"/>
          <w:sz w:val="24"/>
          <w:szCs w:val="24"/>
        </w:rPr>
        <w:t>.</w:t>
      </w:r>
    </w:p>
    <w:p w14:paraId="40244805" w14:textId="4A80A840" w:rsidR="00D8141A" w:rsidRPr="00D8141A" w:rsidRDefault="00D8141A" w:rsidP="00D8141A">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Derivado de lo anterior, el Consejo</w:t>
      </w:r>
      <w:r w:rsidRPr="00D8141A">
        <w:rPr>
          <w:rFonts w:ascii="AvantGarde Bk BT" w:eastAsia="Times New Roman" w:hAnsi="AvantGarde Bk BT" w:cs="Arial"/>
          <w:color w:val="000000"/>
          <w:sz w:val="24"/>
          <w:szCs w:val="24"/>
        </w:rPr>
        <w:t xml:space="preserve"> ha coordinado las reuniones del Grupo Interdisciplinario Especializado en Medio Ambiente, Agua, Salud y Lirio Acuático </w:t>
      </w:r>
      <w:r w:rsidRPr="00B23DAA">
        <w:rPr>
          <w:rFonts w:ascii="AvantGarde Bk BT" w:eastAsia="Times New Roman" w:hAnsi="AvantGarde Bk BT" w:cs="Arial"/>
          <w:b/>
          <w:color w:val="000000"/>
          <w:sz w:val="24"/>
          <w:szCs w:val="24"/>
          <w:u w:val="single"/>
        </w:rPr>
        <w:t>conformado con el objetivo de elaborar un Programa Conjunto para garantizar la protección al medio ambiente, impedir la contaminación del agua y garantizar el suministro de agua salubre, respecto del crecimiento y reproducción del lirio acuático en el cuerpo de agua "Presa de San José"</w:t>
      </w:r>
      <w:r w:rsidRPr="00D8141A">
        <w:rPr>
          <w:rFonts w:ascii="AvantGarde Bk BT" w:eastAsia="Times New Roman" w:hAnsi="AvantGarde Bk BT" w:cs="Arial"/>
          <w:color w:val="000000"/>
          <w:sz w:val="24"/>
          <w:szCs w:val="24"/>
        </w:rPr>
        <w:t xml:space="preserve"> y </w:t>
      </w:r>
      <w:r w:rsidR="00B23DAA">
        <w:rPr>
          <w:rFonts w:ascii="AvantGarde Bk BT" w:eastAsia="Times New Roman" w:hAnsi="AvantGarde Bk BT" w:cs="Arial"/>
          <w:color w:val="000000"/>
          <w:sz w:val="24"/>
          <w:szCs w:val="24"/>
        </w:rPr>
        <w:t>dado</w:t>
      </w:r>
      <w:r w:rsidRPr="00D8141A">
        <w:rPr>
          <w:rFonts w:ascii="AvantGarde Bk BT" w:eastAsia="Times New Roman" w:hAnsi="AvantGarde Bk BT" w:cs="Arial"/>
          <w:color w:val="000000"/>
          <w:sz w:val="24"/>
          <w:szCs w:val="24"/>
        </w:rPr>
        <w:t xml:space="preserve"> seguimiento a dicho juicio a través de diver</w:t>
      </w:r>
      <w:r>
        <w:rPr>
          <w:rFonts w:ascii="AvantGarde Bk BT" w:eastAsia="Times New Roman" w:hAnsi="AvantGarde Bk BT" w:cs="Arial"/>
          <w:color w:val="000000"/>
          <w:sz w:val="24"/>
          <w:szCs w:val="24"/>
        </w:rPr>
        <w:t>sos comunicados con el Juzgado.</w:t>
      </w:r>
    </w:p>
    <w:p w14:paraId="5A4DB881" w14:textId="6DEAF31A" w:rsidR="00D8141A" w:rsidRPr="00D8141A" w:rsidRDefault="00B23DAA" w:rsidP="00B23DAA">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De este modo, el sujeto obligado precisó que derivado de</w:t>
      </w:r>
      <w:r w:rsidR="00D8141A" w:rsidRPr="00D8141A">
        <w:rPr>
          <w:rFonts w:ascii="AvantGarde Bk BT" w:eastAsia="Times New Roman" w:hAnsi="AvantGarde Bk BT" w:cs="Arial"/>
          <w:color w:val="000000"/>
          <w:sz w:val="24"/>
          <w:szCs w:val="24"/>
        </w:rPr>
        <w:t xml:space="preserve"> la existencia del juicio</w:t>
      </w:r>
      <w:r>
        <w:rPr>
          <w:rFonts w:ascii="AvantGarde Bk BT" w:eastAsia="Times New Roman" w:hAnsi="AvantGarde Bk BT" w:cs="Arial"/>
          <w:color w:val="000000"/>
          <w:sz w:val="24"/>
          <w:szCs w:val="24"/>
        </w:rPr>
        <w:t xml:space="preserve"> de amparo indirecto 729/2018 </w:t>
      </w:r>
      <w:r w:rsidR="00D8141A" w:rsidRPr="00D8141A">
        <w:rPr>
          <w:rFonts w:ascii="AvantGarde Bk BT" w:eastAsia="Times New Roman" w:hAnsi="AvantGarde Bk BT" w:cs="Arial"/>
          <w:color w:val="000000"/>
          <w:sz w:val="24"/>
          <w:szCs w:val="24"/>
        </w:rPr>
        <w:t>que aún se encuentra vigente, por lo que no ha caus</w:t>
      </w:r>
      <w:r w:rsidR="00D8141A">
        <w:rPr>
          <w:rFonts w:ascii="AvantGarde Bk BT" w:eastAsia="Times New Roman" w:hAnsi="AvantGarde Bk BT" w:cs="Arial"/>
          <w:color w:val="000000"/>
          <w:sz w:val="24"/>
          <w:szCs w:val="24"/>
        </w:rPr>
        <w:t xml:space="preserve">ado estado, se considera que la </w:t>
      </w:r>
      <w:r>
        <w:rPr>
          <w:rFonts w:ascii="AvantGarde Bk BT" w:eastAsia="Times New Roman" w:hAnsi="AvantGarde Bk BT" w:cs="Arial"/>
          <w:color w:val="000000"/>
          <w:sz w:val="24"/>
          <w:szCs w:val="24"/>
        </w:rPr>
        <w:t xml:space="preserve">información generada por el </w:t>
      </w:r>
      <w:r w:rsidR="00D8141A">
        <w:rPr>
          <w:rFonts w:ascii="AvantGarde Bk BT" w:eastAsia="Times New Roman" w:hAnsi="AvantGarde Bk BT" w:cs="Arial"/>
          <w:color w:val="000000"/>
          <w:sz w:val="24"/>
          <w:szCs w:val="24"/>
        </w:rPr>
        <w:t xml:space="preserve">Grupo Interdisciplinario </w:t>
      </w:r>
      <w:r w:rsidRPr="00D8141A">
        <w:rPr>
          <w:rFonts w:ascii="AvantGarde Bk BT" w:eastAsia="Times New Roman" w:hAnsi="AvantGarde Bk BT" w:cs="Arial"/>
          <w:color w:val="000000"/>
          <w:sz w:val="24"/>
          <w:szCs w:val="24"/>
        </w:rPr>
        <w:t>Especializado en Medio Ambiente, Agua, Salud y Lirio Acuático</w:t>
      </w:r>
      <w:r>
        <w:rPr>
          <w:rFonts w:ascii="AvantGarde Bk BT" w:eastAsia="Times New Roman" w:hAnsi="AvantGarde Bk BT" w:cs="Arial"/>
          <w:color w:val="000000"/>
          <w:sz w:val="24"/>
          <w:szCs w:val="24"/>
        </w:rPr>
        <w:t xml:space="preserve"> </w:t>
      </w:r>
      <w:r w:rsidR="00D8141A" w:rsidRPr="00D8141A">
        <w:rPr>
          <w:rFonts w:ascii="AvantGarde Bk BT" w:eastAsia="Times New Roman" w:hAnsi="AvantGarde Bk BT" w:cs="Arial"/>
          <w:color w:val="000000"/>
          <w:sz w:val="24"/>
          <w:szCs w:val="24"/>
        </w:rPr>
        <w:t>debe clasificarse como información reservada dado que su difusión podría afectar el proceso del juicio referido.</w:t>
      </w:r>
    </w:p>
    <w:p w14:paraId="72AC15D6" w14:textId="6AB1EA09" w:rsidR="00D8141A" w:rsidRDefault="00863F49" w:rsidP="00863F49">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Bajo esta directriz, el sujeto obligado señaló como prueba de daño lo siguiente:</w:t>
      </w:r>
    </w:p>
    <w:p w14:paraId="1326A418" w14:textId="051194E9" w:rsidR="00863F49" w:rsidRPr="00863F49" w:rsidRDefault="00863F49" w:rsidP="00863F49">
      <w:pPr>
        <w:tabs>
          <w:tab w:val="left" w:pos="567"/>
        </w:tabs>
        <w:spacing w:after="24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color w:val="000000"/>
          <w:sz w:val="24"/>
          <w:szCs w:val="24"/>
        </w:rPr>
        <w:t>“</w:t>
      </w:r>
      <w:r w:rsidRPr="00863F49">
        <w:rPr>
          <w:rFonts w:ascii="AvantGarde Bk BT" w:eastAsia="Times New Roman" w:hAnsi="AvantGarde Bk BT" w:cs="Arial"/>
          <w:i/>
          <w:color w:val="000000"/>
          <w:szCs w:val="24"/>
        </w:rPr>
        <w:t xml:space="preserve">De conformidad con lo establecido en los artículos 113, fracción XI de la Ley General de Transparencia y Acceso a la Información Pública; </w:t>
      </w:r>
      <w:r w:rsidRPr="00544127">
        <w:rPr>
          <w:rFonts w:ascii="AvantGarde Bk BT" w:eastAsia="Times New Roman" w:hAnsi="AvantGarde Bk BT" w:cs="Arial"/>
          <w:b/>
          <w:i/>
          <w:color w:val="000000"/>
          <w:szCs w:val="24"/>
          <w:u w:val="single"/>
        </w:rPr>
        <w:t xml:space="preserve">129, fracción X de la Ley de Transparencia y Acceso a la Información Pública del Estado de San Luis Potosí y Trigésimo de los Lineamientos Generales en Materia de Clasificación y </w:t>
      </w:r>
      <w:r w:rsidRPr="00544127">
        <w:rPr>
          <w:rFonts w:ascii="AvantGarde Bk BT" w:eastAsia="Times New Roman" w:hAnsi="AvantGarde Bk BT" w:cs="Arial"/>
          <w:b/>
          <w:i/>
          <w:color w:val="000000"/>
          <w:szCs w:val="24"/>
          <w:u w:val="single"/>
        </w:rPr>
        <w:lastRenderedPageBreak/>
        <w:t>Desclasificación de la Información, así como para la Elaboración de Versiones Públicas</w:t>
      </w:r>
      <w:r w:rsidRPr="00863F49">
        <w:rPr>
          <w:rFonts w:ascii="AvantGarde Bk BT" w:eastAsia="Times New Roman" w:hAnsi="AvantGarde Bk BT" w:cs="Arial"/>
          <w:i/>
          <w:color w:val="000000"/>
          <w:szCs w:val="24"/>
        </w:rPr>
        <w:t>, se solicita reservar totalmente la información bajo el resguardo del COPOCYT generada por el Grupo Interdisciplinario Especializado en Medio Ambiente, Agua, Salud y Lirio Acuático, que a la fecha de la solicitud consta de copia de Actas de las Reuniones, listas de asistencia de las reuniones y correspondencia con el Tribunal, en virtud de que se encuentra relacionada directamente con el proceso del juicio de amparo indirecto 729/2018, resguardada por la Dirección General del COPOCYT, hasta en tanto no se tome una decisión definitiva de dicho proceso o cause estado, dado que de lo contrario se vulnera la conducción del juicio referido.</w:t>
      </w:r>
    </w:p>
    <w:p w14:paraId="0A097526" w14:textId="467DBAA9" w:rsidR="00863F49" w:rsidRPr="00D8141A" w:rsidRDefault="00863F49" w:rsidP="00863F49">
      <w:pPr>
        <w:tabs>
          <w:tab w:val="left" w:pos="567"/>
        </w:tabs>
        <w:spacing w:after="240" w:line="240" w:lineRule="auto"/>
        <w:ind w:left="680" w:right="680"/>
        <w:jc w:val="both"/>
        <w:rPr>
          <w:rFonts w:ascii="AvantGarde Bk BT" w:eastAsia="Times New Roman" w:hAnsi="AvantGarde Bk BT" w:cs="Arial"/>
          <w:color w:val="000000"/>
          <w:sz w:val="24"/>
          <w:szCs w:val="24"/>
        </w:rPr>
      </w:pPr>
      <w:r w:rsidRPr="00863F49">
        <w:rPr>
          <w:rFonts w:ascii="AvantGarde Bk BT" w:eastAsia="Times New Roman" w:hAnsi="AvantGarde Bk BT" w:cs="Arial"/>
          <w:i/>
          <w:color w:val="000000"/>
          <w:szCs w:val="24"/>
        </w:rPr>
        <w:t xml:space="preserve">De esta manera, </w:t>
      </w:r>
      <w:r w:rsidRPr="00544127">
        <w:rPr>
          <w:rFonts w:ascii="AvantGarde Bk BT" w:eastAsia="Times New Roman" w:hAnsi="AvantGarde Bk BT" w:cs="Arial"/>
          <w:b/>
          <w:i/>
          <w:color w:val="000000"/>
          <w:szCs w:val="24"/>
          <w:u w:val="single"/>
        </w:rPr>
        <w:t>el daño probable y específico que podría implicar la difusión de la información en cuestión, es que se vulnere el proceso que permanece vigente y que se afecte o vuelva tendenciosa la toma de decisiones, igualmente con la difusión de las actuaciones, diligencias o constancias propias del Grupo Interdisciplinario Especializado en Medio Ambiente, Agua, Salud y Lirio Acuático se perjudicaría el proceso del juicio</w:t>
      </w:r>
      <w:r w:rsidRPr="00863F49">
        <w:rPr>
          <w:rFonts w:ascii="AvantGarde Bk BT" w:eastAsia="Times New Roman" w:hAnsi="AvantGarde Bk BT" w:cs="Arial"/>
          <w:color w:val="000000"/>
          <w:sz w:val="24"/>
          <w:szCs w:val="24"/>
        </w:rPr>
        <w:t>.</w:t>
      </w:r>
      <w:r>
        <w:rPr>
          <w:rFonts w:ascii="AvantGarde Bk BT" w:eastAsia="Times New Roman" w:hAnsi="AvantGarde Bk BT" w:cs="Arial"/>
          <w:color w:val="000000"/>
          <w:sz w:val="24"/>
          <w:szCs w:val="24"/>
        </w:rPr>
        <w:t>”</w:t>
      </w:r>
      <w:r w:rsidR="00544127">
        <w:rPr>
          <w:rFonts w:ascii="AvantGarde Bk BT" w:eastAsia="Times New Roman" w:hAnsi="AvantGarde Bk BT" w:cs="Arial"/>
          <w:color w:val="000000"/>
          <w:sz w:val="24"/>
          <w:szCs w:val="24"/>
        </w:rPr>
        <w:t xml:space="preserve"> Énfasis añadido.</w:t>
      </w:r>
    </w:p>
    <w:p w14:paraId="1F5BFCBC" w14:textId="5FF3F71C" w:rsidR="00B04C7C" w:rsidRDefault="00B04C7C" w:rsidP="0073758E">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De lo previamente anotado, se advierte que el sujeto obligado fundó su determinación en la fracción X del artículo 129 de la Ley de Transparencia local</w:t>
      </w:r>
      <w:r>
        <w:rPr>
          <w:rStyle w:val="Refdenotaalpie"/>
          <w:rFonts w:ascii="AvantGarde Bk BT" w:eastAsia="Times New Roman" w:hAnsi="AvantGarde Bk BT" w:cs="Arial"/>
          <w:color w:val="000000"/>
          <w:sz w:val="24"/>
          <w:szCs w:val="24"/>
        </w:rPr>
        <w:footnoteReference w:id="12"/>
      </w:r>
      <w:r>
        <w:rPr>
          <w:rFonts w:ascii="AvantGarde Bk BT" w:eastAsia="Times New Roman" w:hAnsi="AvantGarde Bk BT" w:cs="Arial"/>
          <w:color w:val="000000"/>
          <w:sz w:val="24"/>
          <w:szCs w:val="24"/>
        </w:rPr>
        <w:t xml:space="preserve"> y del Lineamiento Trigésimo de los Lineamientos Generales en Materia de Clasificación y Desclasificación de la Información, así como para la Elaboración de Versiones Públicas.</w:t>
      </w:r>
      <w:r>
        <w:rPr>
          <w:rStyle w:val="Refdenotaalpie"/>
          <w:rFonts w:ascii="AvantGarde Bk BT" w:eastAsia="Times New Roman" w:hAnsi="AvantGarde Bk BT" w:cs="Arial"/>
          <w:color w:val="000000"/>
          <w:sz w:val="24"/>
          <w:szCs w:val="24"/>
        </w:rPr>
        <w:footnoteReference w:id="13"/>
      </w:r>
    </w:p>
    <w:p w14:paraId="2D5BDB51" w14:textId="3E3BA9DE" w:rsidR="00B04C7C" w:rsidRDefault="00B04C7C" w:rsidP="00B8015B">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Resulta oportuno precisar que la normativa invocada por el </w:t>
      </w:r>
      <w:r w:rsidR="00B8015B">
        <w:rPr>
          <w:rFonts w:ascii="AvantGarde Bk BT" w:eastAsia="Times New Roman" w:hAnsi="AvantGarde Bk BT" w:cs="Arial"/>
          <w:color w:val="000000"/>
          <w:sz w:val="24"/>
          <w:szCs w:val="24"/>
        </w:rPr>
        <w:t>sujeto</w:t>
      </w:r>
      <w:r>
        <w:rPr>
          <w:rFonts w:ascii="AvantGarde Bk BT" w:eastAsia="Times New Roman" w:hAnsi="AvantGarde Bk BT" w:cs="Arial"/>
          <w:color w:val="000000"/>
          <w:sz w:val="24"/>
          <w:szCs w:val="24"/>
        </w:rPr>
        <w:t xml:space="preserve"> obligado prescribe que </w:t>
      </w:r>
      <w:r w:rsidR="00B8015B">
        <w:rPr>
          <w:rFonts w:ascii="AvantGarde Bk BT" w:eastAsia="Times New Roman" w:hAnsi="AvantGarde Bk BT" w:cs="Arial"/>
          <w:color w:val="000000"/>
          <w:sz w:val="24"/>
          <w:szCs w:val="24"/>
        </w:rPr>
        <w:t>podrá clasificarse como reservada la información cuya divulgación vulnere la conducción de los e</w:t>
      </w:r>
      <w:r w:rsidR="00B8015B" w:rsidRPr="0073758E">
        <w:rPr>
          <w:rFonts w:ascii="AvantGarde Bk BT" w:eastAsia="Times New Roman" w:hAnsi="AvantGarde Bk BT" w:cs="Arial"/>
          <w:color w:val="000000"/>
          <w:sz w:val="24"/>
          <w:szCs w:val="24"/>
        </w:rPr>
        <w:t xml:space="preserve">xpedientes judiciales o de los procedimientos administrativos seguidos en forma de juicio, </w:t>
      </w:r>
      <w:r w:rsidR="00B8015B" w:rsidRPr="00B8015B">
        <w:rPr>
          <w:rFonts w:ascii="AvantGarde Bk BT" w:eastAsia="Times New Roman" w:hAnsi="AvantGarde Bk BT" w:cs="Arial"/>
          <w:b/>
          <w:color w:val="000000"/>
          <w:sz w:val="24"/>
          <w:szCs w:val="24"/>
        </w:rPr>
        <w:t>en tanto no hayan causado estado</w:t>
      </w:r>
      <w:r w:rsidR="00B8015B">
        <w:rPr>
          <w:rFonts w:ascii="AvantGarde Bk BT" w:eastAsia="Times New Roman" w:hAnsi="AvantGarde Bk BT" w:cs="Arial"/>
          <w:color w:val="000000"/>
          <w:sz w:val="24"/>
          <w:szCs w:val="24"/>
        </w:rPr>
        <w:t xml:space="preserve">, </w:t>
      </w:r>
      <w:r w:rsidR="00B8015B" w:rsidRPr="00B8015B">
        <w:rPr>
          <w:rFonts w:ascii="AvantGarde Bk BT" w:eastAsia="Times New Roman" w:hAnsi="AvantGarde Bk BT" w:cs="Arial"/>
          <w:b/>
          <w:color w:val="000000"/>
          <w:sz w:val="24"/>
          <w:szCs w:val="24"/>
        </w:rPr>
        <w:t>debiendo acreditar  que el juicio</w:t>
      </w:r>
      <w:r w:rsidR="00B8015B" w:rsidRPr="0073758E">
        <w:rPr>
          <w:rFonts w:ascii="AvantGarde Bk BT" w:eastAsia="Times New Roman" w:hAnsi="AvantGarde Bk BT" w:cs="Arial"/>
          <w:color w:val="000000"/>
          <w:sz w:val="24"/>
          <w:szCs w:val="24"/>
        </w:rPr>
        <w:t xml:space="preserve"> o procedimiento administrativo materialmente </w:t>
      </w:r>
      <w:r w:rsidR="00B8015B" w:rsidRPr="0073758E">
        <w:rPr>
          <w:rFonts w:ascii="AvantGarde Bk BT" w:eastAsia="Times New Roman" w:hAnsi="AvantGarde Bk BT" w:cs="Arial"/>
          <w:color w:val="000000"/>
          <w:sz w:val="24"/>
          <w:szCs w:val="24"/>
        </w:rPr>
        <w:lastRenderedPageBreak/>
        <w:t xml:space="preserve">jurisdiccional, </w:t>
      </w:r>
      <w:r w:rsidR="00B8015B" w:rsidRPr="00B8015B">
        <w:rPr>
          <w:rFonts w:ascii="AvantGarde Bk BT" w:eastAsia="Times New Roman" w:hAnsi="AvantGarde Bk BT" w:cs="Arial"/>
          <w:b/>
          <w:color w:val="000000"/>
          <w:sz w:val="24"/>
          <w:szCs w:val="24"/>
        </w:rPr>
        <w:t>se encuentre en trámite</w:t>
      </w:r>
      <w:r w:rsidR="00B8015B">
        <w:rPr>
          <w:rFonts w:ascii="AvantGarde Bk BT" w:eastAsia="Times New Roman" w:hAnsi="AvantGarde Bk BT" w:cs="Arial"/>
          <w:color w:val="000000"/>
          <w:sz w:val="24"/>
          <w:szCs w:val="24"/>
        </w:rPr>
        <w:t xml:space="preserve"> y </w:t>
      </w:r>
      <w:r w:rsidR="00B8015B" w:rsidRPr="00B8015B">
        <w:rPr>
          <w:rFonts w:ascii="AvantGarde Bk BT" w:eastAsia="Times New Roman" w:hAnsi="AvantGarde Bk BT" w:cs="Arial"/>
          <w:b/>
          <w:color w:val="000000"/>
          <w:sz w:val="24"/>
          <w:szCs w:val="24"/>
        </w:rPr>
        <w:t>que la información solicitada se refiera a actuaciones, diligencias o constancias propias del procedimiento</w:t>
      </w:r>
      <w:r w:rsidR="00B8015B" w:rsidRPr="0073758E">
        <w:rPr>
          <w:rFonts w:ascii="AvantGarde Bk BT" w:eastAsia="Times New Roman" w:hAnsi="AvantGarde Bk BT" w:cs="Arial"/>
          <w:color w:val="000000"/>
          <w:sz w:val="24"/>
          <w:szCs w:val="24"/>
        </w:rPr>
        <w:t>.</w:t>
      </w:r>
    </w:p>
    <w:p w14:paraId="3E57574D" w14:textId="7A7046F8" w:rsidR="00544127" w:rsidRDefault="00544127" w:rsidP="0073758E">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Establecido lo anterior, el Pleno de esta Comisión considera que la causal de reserva invocada por el sujeto obligado no resulta aplicable en el caso concreto, pues </w:t>
      </w:r>
      <w:r w:rsidR="00654A6B">
        <w:rPr>
          <w:rFonts w:ascii="AvantGarde Bk BT" w:eastAsia="Times New Roman" w:hAnsi="AvantGarde Bk BT" w:cs="Arial"/>
          <w:color w:val="000000"/>
          <w:sz w:val="24"/>
          <w:szCs w:val="24"/>
        </w:rPr>
        <w:t xml:space="preserve">de </w:t>
      </w:r>
      <w:r w:rsidR="00B8015B">
        <w:rPr>
          <w:rFonts w:ascii="AvantGarde Bk BT" w:eastAsia="Times New Roman" w:hAnsi="AvantGarde Bk BT" w:cs="Arial"/>
          <w:color w:val="000000"/>
          <w:sz w:val="24"/>
          <w:szCs w:val="24"/>
        </w:rPr>
        <w:t>la lectura de las constancias se puede apreciar que, en primer término, el juicio de amparo ya causó estado; es decir, en dicho juicio ya fue dictada una sentencia que quedó firme.</w:t>
      </w:r>
    </w:p>
    <w:p w14:paraId="405F9D17" w14:textId="2214BD82" w:rsidR="00B8015B" w:rsidRPr="0073758E" w:rsidRDefault="00B8015B" w:rsidP="0073758E">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Lo anterior se puede afirmar debido a que el Comité de Transparencia señaló que el Titular de la Secretaría de Ecología y Gestión Ambiental y el Titular de la Comisión Estatal del Agua solicitaron al Consejo Potosino de Ciencia y Tecnología que convocara a expertos en materia de lirio acuático </w:t>
      </w:r>
      <w:r w:rsidRPr="00B8015B">
        <w:rPr>
          <w:rFonts w:ascii="AvantGarde Bk BT" w:eastAsia="Times New Roman" w:hAnsi="AvantGarde Bk BT" w:cs="Arial"/>
          <w:b/>
          <w:color w:val="000000"/>
          <w:sz w:val="24"/>
          <w:szCs w:val="24"/>
        </w:rPr>
        <w:t xml:space="preserve">para efecto de poner a su consideración los efectos técnicos </w:t>
      </w:r>
      <w:r w:rsidRPr="00B8015B">
        <w:rPr>
          <w:rFonts w:ascii="AvantGarde Bk BT" w:eastAsia="Times New Roman" w:hAnsi="AvantGarde Bk BT" w:cs="Arial"/>
          <w:b/>
          <w:color w:val="000000"/>
          <w:sz w:val="24"/>
          <w:szCs w:val="24"/>
          <w:u w:val="single"/>
        </w:rPr>
        <w:t>a cumplir</w:t>
      </w:r>
      <w:r w:rsidRPr="00B8015B">
        <w:rPr>
          <w:rFonts w:ascii="AvantGarde Bk BT" w:eastAsia="Times New Roman" w:hAnsi="AvantGarde Bk BT" w:cs="Arial"/>
          <w:b/>
          <w:color w:val="000000"/>
          <w:sz w:val="24"/>
          <w:szCs w:val="24"/>
        </w:rPr>
        <w:t xml:space="preserve"> por parte del Poder Ejecutivo del Estado</w:t>
      </w:r>
      <w:r>
        <w:rPr>
          <w:rFonts w:ascii="AvantGarde Bk BT" w:eastAsia="Times New Roman" w:hAnsi="AvantGarde Bk BT" w:cs="Arial"/>
          <w:color w:val="000000"/>
          <w:sz w:val="24"/>
          <w:szCs w:val="24"/>
        </w:rPr>
        <w:t xml:space="preserve"> </w:t>
      </w:r>
      <w:r w:rsidRPr="0047789D">
        <w:rPr>
          <w:rFonts w:ascii="AvantGarde Bk BT" w:eastAsia="Times New Roman" w:hAnsi="AvantGarde Bk BT" w:cs="Arial"/>
          <w:b/>
          <w:color w:val="000000"/>
          <w:sz w:val="24"/>
          <w:szCs w:val="24"/>
          <w:u w:val="single"/>
        </w:rPr>
        <w:t xml:space="preserve">dentro del </w:t>
      </w:r>
      <w:r w:rsidR="00C7185D" w:rsidRPr="0047789D">
        <w:rPr>
          <w:rFonts w:ascii="AvantGarde Bk BT" w:eastAsia="Times New Roman" w:hAnsi="AvantGarde Bk BT" w:cs="Arial"/>
          <w:b/>
          <w:color w:val="000000"/>
          <w:sz w:val="24"/>
          <w:szCs w:val="24"/>
          <w:u w:val="single"/>
        </w:rPr>
        <w:t xml:space="preserve">juicio de amparo indirecto </w:t>
      </w:r>
      <w:r w:rsidRPr="0047789D">
        <w:rPr>
          <w:rFonts w:ascii="AvantGarde Bk BT" w:eastAsia="Times New Roman" w:hAnsi="AvantGarde Bk BT" w:cs="Arial"/>
          <w:b/>
          <w:color w:val="000000"/>
          <w:sz w:val="24"/>
          <w:szCs w:val="24"/>
          <w:u w:val="single"/>
        </w:rPr>
        <w:t>729/2018</w:t>
      </w:r>
      <w:r w:rsidR="0047789D">
        <w:rPr>
          <w:rFonts w:ascii="AvantGarde Bk BT" w:eastAsia="Times New Roman" w:hAnsi="AvantGarde Bk BT" w:cs="Arial"/>
          <w:b/>
          <w:color w:val="000000"/>
          <w:sz w:val="24"/>
          <w:szCs w:val="24"/>
          <w:u w:val="single"/>
        </w:rPr>
        <w:t xml:space="preserve">; </w:t>
      </w:r>
      <w:r w:rsidR="0047789D" w:rsidRPr="0047789D">
        <w:rPr>
          <w:rFonts w:ascii="AvantGarde Bk BT" w:eastAsia="Times New Roman" w:hAnsi="AvantGarde Bk BT" w:cs="Arial"/>
          <w:b/>
          <w:color w:val="000000"/>
          <w:sz w:val="24"/>
          <w:szCs w:val="24"/>
          <w:u w:val="single"/>
        </w:rPr>
        <w:t>de ahí que el juicio de amparo no se encuentre en trámite pendiente de sentencia.</w:t>
      </w:r>
    </w:p>
    <w:p w14:paraId="1D7BF3B6" w14:textId="4C40819A" w:rsidR="00283D21" w:rsidRDefault="00E477EA" w:rsidP="00BA5F2C">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En segundo término, </w:t>
      </w:r>
      <w:r w:rsidR="00C7185D" w:rsidRPr="00C7185D">
        <w:rPr>
          <w:rFonts w:ascii="AvantGarde Bk BT" w:eastAsia="Times New Roman" w:hAnsi="AvantGarde Bk BT" w:cs="Arial"/>
          <w:b/>
          <w:color w:val="000000"/>
          <w:sz w:val="24"/>
          <w:szCs w:val="24"/>
          <w:u w:val="single"/>
        </w:rPr>
        <w:t xml:space="preserve">el sujeto obligado </w:t>
      </w:r>
      <w:r w:rsidRPr="00C7185D">
        <w:rPr>
          <w:rFonts w:ascii="AvantGarde Bk BT" w:eastAsia="Times New Roman" w:hAnsi="AvantGarde Bk BT" w:cs="Arial"/>
          <w:b/>
          <w:color w:val="000000"/>
          <w:sz w:val="24"/>
          <w:szCs w:val="24"/>
          <w:u w:val="single"/>
        </w:rPr>
        <w:t xml:space="preserve">no </w:t>
      </w:r>
      <w:r w:rsidR="00C7185D" w:rsidRPr="00C7185D">
        <w:rPr>
          <w:rFonts w:ascii="AvantGarde Bk BT" w:eastAsia="Times New Roman" w:hAnsi="AvantGarde Bk BT" w:cs="Arial"/>
          <w:b/>
          <w:color w:val="000000"/>
          <w:sz w:val="24"/>
          <w:szCs w:val="24"/>
          <w:u w:val="single"/>
        </w:rPr>
        <w:t xml:space="preserve">acreditó que </w:t>
      </w:r>
      <w:r w:rsidRPr="00C7185D">
        <w:rPr>
          <w:rFonts w:ascii="AvantGarde Bk BT" w:eastAsia="Times New Roman" w:hAnsi="AvantGarde Bk BT" w:cs="Arial"/>
          <w:b/>
          <w:color w:val="000000"/>
          <w:sz w:val="24"/>
          <w:szCs w:val="24"/>
          <w:u w:val="single"/>
        </w:rPr>
        <w:t>la informaci</w:t>
      </w:r>
      <w:r w:rsidR="00C7185D" w:rsidRPr="00C7185D">
        <w:rPr>
          <w:rFonts w:ascii="AvantGarde Bk BT" w:eastAsia="Times New Roman" w:hAnsi="AvantGarde Bk BT" w:cs="Arial"/>
          <w:b/>
          <w:color w:val="000000"/>
          <w:sz w:val="24"/>
          <w:szCs w:val="24"/>
          <w:u w:val="single"/>
        </w:rPr>
        <w:t>ón requerida corresponde</w:t>
      </w:r>
      <w:r w:rsidRPr="00C7185D">
        <w:rPr>
          <w:rFonts w:ascii="AvantGarde Bk BT" w:eastAsia="Times New Roman" w:hAnsi="AvantGarde Bk BT" w:cs="Arial"/>
          <w:b/>
          <w:color w:val="000000"/>
          <w:sz w:val="24"/>
          <w:szCs w:val="24"/>
          <w:u w:val="single"/>
        </w:rPr>
        <w:t xml:space="preserve"> a actuaciones, diligencias o constancias propias del </w:t>
      </w:r>
      <w:r w:rsidR="00C7185D" w:rsidRPr="00C7185D">
        <w:rPr>
          <w:rFonts w:ascii="AvantGarde Bk BT" w:eastAsia="Times New Roman" w:hAnsi="AvantGarde Bk BT" w:cs="Arial"/>
          <w:b/>
          <w:color w:val="000000"/>
          <w:sz w:val="24"/>
          <w:szCs w:val="24"/>
          <w:u w:val="single"/>
        </w:rPr>
        <w:t>juicio de amparo indirecto</w:t>
      </w:r>
      <w:r w:rsidRPr="00C7185D">
        <w:rPr>
          <w:rFonts w:ascii="AvantGarde Bk BT" w:eastAsia="Times New Roman" w:hAnsi="AvantGarde Bk BT" w:cs="Arial"/>
          <w:b/>
          <w:color w:val="000000"/>
          <w:sz w:val="24"/>
          <w:szCs w:val="24"/>
          <w:u w:val="single"/>
        </w:rPr>
        <w:t xml:space="preserve"> 729/2018</w:t>
      </w:r>
      <w:r>
        <w:rPr>
          <w:rFonts w:ascii="AvantGarde Bk BT" w:eastAsia="Times New Roman" w:hAnsi="AvantGarde Bk BT" w:cs="Arial"/>
          <w:color w:val="000000"/>
          <w:sz w:val="24"/>
          <w:szCs w:val="24"/>
        </w:rPr>
        <w:t xml:space="preserve">, </w:t>
      </w:r>
      <w:r w:rsidR="00283D21">
        <w:rPr>
          <w:rFonts w:ascii="AvantGarde Bk BT" w:eastAsia="Times New Roman" w:hAnsi="AvantGarde Bk BT" w:cs="Arial"/>
          <w:color w:val="000000"/>
          <w:sz w:val="24"/>
          <w:szCs w:val="24"/>
        </w:rPr>
        <w:t>pues si bien señaló que parte de la información reservada consistía en oficios enviados al Juzgado Octavo de Distrito del Noveno Circuito; sin embargo, no acreditó que la información requerida por el particular conste en los aludidos oficios.</w:t>
      </w:r>
    </w:p>
    <w:p w14:paraId="1E7EA903" w14:textId="655DB97A" w:rsidR="0077480F" w:rsidRDefault="00521691" w:rsidP="0077480F">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Además de lo anterior, </w:t>
      </w:r>
      <w:r w:rsidRPr="0077480F">
        <w:rPr>
          <w:rFonts w:ascii="AvantGarde Bk BT" w:eastAsia="Times New Roman" w:hAnsi="AvantGarde Bk BT" w:cs="Arial"/>
          <w:b/>
          <w:color w:val="000000"/>
          <w:sz w:val="24"/>
          <w:szCs w:val="24"/>
        </w:rPr>
        <w:t xml:space="preserve">resulta necesario precisar que </w:t>
      </w:r>
      <w:r w:rsidR="00704116" w:rsidRPr="0077480F">
        <w:rPr>
          <w:rFonts w:ascii="AvantGarde Bk BT" w:eastAsia="Times New Roman" w:hAnsi="AvantGarde Bk BT" w:cs="Arial"/>
          <w:b/>
          <w:color w:val="000000"/>
          <w:sz w:val="24"/>
          <w:szCs w:val="24"/>
        </w:rPr>
        <w:t xml:space="preserve">la prueba de daño contenida en </w:t>
      </w:r>
      <w:r w:rsidRPr="0077480F">
        <w:rPr>
          <w:rFonts w:ascii="AvantGarde Bk BT" w:eastAsia="Times New Roman" w:hAnsi="AvantGarde Bk BT" w:cs="Arial"/>
          <w:b/>
          <w:color w:val="000000"/>
          <w:sz w:val="24"/>
          <w:szCs w:val="24"/>
        </w:rPr>
        <w:t>el acuerdo de reserva que remitió el sujeto obligado no cumple con los requisitos que señala el ya cit</w:t>
      </w:r>
      <w:r w:rsidR="00704116" w:rsidRPr="0077480F">
        <w:rPr>
          <w:rFonts w:ascii="AvantGarde Bk BT" w:eastAsia="Times New Roman" w:hAnsi="AvantGarde Bk BT" w:cs="Arial"/>
          <w:b/>
          <w:color w:val="000000"/>
          <w:sz w:val="24"/>
          <w:szCs w:val="24"/>
        </w:rPr>
        <w:t xml:space="preserve">ado </w:t>
      </w:r>
      <w:r w:rsidR="0077480F" w:rsidRPr="0077480F">
        <w:rPr>
          <w:rFonts w:ascii="AvantGarde Bk BT" w:eastAsia="Times New Roman" w:hAnsi="AvantGarde Bk BT" w:cs="Arial"/>
          <w:b/>
          <w:color w:val="000000"/>
          <w:sz w:val="24"/>
          <w:szCs w:val="24"/>
        </w:rPr>
        <w:t>Lineamiento trigésimo tercero</w:t>
      </w:r>
      <w:r w:rsidR="0077480F">
        <w:rPr>
          <w:rFonts w:ascii="AvantGarde Bk BT" w:eastAsia="Times New Roman" w:hAnsi="AvantGarde Bk BT" w:cs="Arial"/>
          <w:color w:val="000000"/>
          <w:sz w:val="24"/>
          <w:szCs w:val="24"/>
        </w:rPr>
        <w:t xml:space="preserve">, pues no realizó la </w:t>
      </w:r>
      <w:r w:rsidR="0077480F" w:rsidRPr="0077480F">
        <w:rPr>
          <w:rFonts w:ascii="AvantGarde Bk BT" w:eastAsia="Times New Roman" w:hAnsi="AvantGarde Bk BT" w:cs="Arial"/>
          <w:color w:val="000000"/>
          <w:sz w:val="24"/>
          <w:szCs w:val="24"/>
        </w:rPr>
        <w:t>ponderación de los intereses en conflicto</w:t>
      </w:r>
      <w:r w:rsidR="0077480F">
        <w:rPr>
          <w:rFonts w:ascii="AvantGarde Bk BT" w:eastAsia="Times New Roman" w:hAnsi="AvantGarde Bk BT" w:cs="Arial"/>
          <w:color w:val="000000"/>
          <w:sz w:val="24"/>
          <w:szCs w:val="24"/>
        </w:rPr>
        <w:t xml:space="preserve"> para</w:t>
      </w:r>
      <w:r w:rsidR="0077480F" w:rsidRPr="0077480F">
        <w:rPr>
          <w:rFonts w:ascii="AvantGarde Bk BT" w:eastAsia="Times New Roman" w:hAnsi="AvantGarde Bk BT" w:cs="Arial"/>
          <w:color w:val="000000"/>
          <w:sz w:val="24"/>
          <w:szCs w:val="24"/>
        </w:rPr>
        <w:t xml:space="preserve"> demostrar que la publicidad de la información solicitada generaría un riesgo de perjuicio y por lo tanto, tendrán que acreditar que este último rebasa el interés público protegido por la reserva; </w:t>
      </w:r>
      <w:r w:rsidR="0077480F">
        <w:rPr>
          <w:rFonts w:ascii="AvantGarde Bk BT" w:eastAsia="Times New Roman" w:hAnsi="AvantGarde Bk BT" w:cs="Arial"/>
          <w:color w:val="000000"/>
          <w:sz w:val="24"/>
          <w:szCs w:val="24"/>
        </w:rPr>
        <w:t xml:space="preserve">ni acreditó </w:t>
      </w:r>
      <w:r w:rsidR="0077480F" w:rsidRPr="0077480F">
        <w:rPr>
          <w:rFonts w:ascii="AvantGarde Bk BT" w:eastAsia="Times New Roman" w:hAnsi="AvantGarde Bk BT" w:cs="Arial"/>
          <w:color w:val="000000"/>
          <w:sz w:val="24"/>
          <w:szCs w:val="24"/>
        </w:rPr>
        <w:t xml:space="preserve">el vínculo entre la difusión de la información y la afectación del interés jurídico tutelado de que se trate; </w:t>
      </w:r>
      <w:r w:rsidR="0077480F">
        <w:rPr>
          <w:rFonts w:ascii="AvantGarde Bk BT" w:eastAsia="Times New Roman" w:hAnsi="AvantGarde Bk BT" w:cs="Arial"/>
          <w:color w:val="000000"/>
          <w:sz w:val="24"/>
          <w:szCs w:val="24"/>
        </w:rPr>
        <w:t xml:space="preserve">así como tampoco precisó </w:t>
      </w:r>
      <w:r w:rsidR="0077480F" w:rsidRPr="0077480F">
        <w:rPr>
          <w:rFonts w:ascii="AvantGarde Bk BT" w:eastAsia="Times New Roman" w:hAnsi="AvantGarde Bk BT" w:cs="Arial"/>
          <w:color w:val="000000"/>
          <w:sz w:val="24"/>
          <w:szCs w:val="24"/>
        </w:rPr>
        <w:t xml:space="preserve">las razones objetivas por las que la apertura de la información generaría una afectación, a través de los elementos de un riesgo real, demostrable e identificable; </w:t>
      </w:r>
      <w:r w:rsidR="0077480F">
        <w:rPr>
          <w:rFonts w:ascii="AvantGarde Bk BT" w:eastAsia="Times New Roman" w:hAnsi="AvantGarde Bk BT" w:cs="Arial"/>
          <w:color w:val="000000"/>
          <w:sz w:val="24"/>
          <w:szCs w:val="24"/>
        </w:rPr>
        <w:t xml:space="preserve">y finalmente, en </w:t>
      </w:r>
      <w:r w:rsidR="0077480F" w:rsidRPr="0077480F">
        <w:rPr>
          <w:rFonts w:ascii="AvantGarde Bk BT" w:eastAsia="Times New Roman" w:hAnsi="AvantGarde Bk BT" w:cs="Arial"/>
          <w:color w:val="000000"/>
          <w:sz w:val="24"/>
          <w:szCs w:val="24"/>
        </w:rPr>
        <w:t xml:space="preserve">la motivación de la </w:t>
      </w:r>
      <w:r w:rsidR="0077480F" w:rsidRPr="0077480F">
        <w:rPr>
          <w:rFonts w:ascii="AvantGarde Bk BT" w:eastAsia="Times New Roman" w:hAnsi="AvantGarde Bk BT" w:cs="Arial"/>
          <w:color w:val="000000"/>
          <w:sz w:val="24"/>
          <w:szCs w:val="24"/>
        </w:rPr>
        <w:lastRenderedPageBreak/>
        <w:t xml:space="preserve">clasificación, el sujeto obligado </w:t>
      </w:r>
      <w:r w:rsidR="0077480F">
        <w:rPr>
          <w:rFonts w:ascii="AvantGarde Bk BT" w:eastAsia="Times New Roman" w:hAnsi="AvantGarde Bk BT" w:cs="Arial"/>
          <w:color w:val="000000"/>
          <w:sz w:val="24"/>
          <w:szCs w:val="24"/>
        </w:rPr>
        <w:t>no acreditó</w:t>
      </w:r>
      <w:r w:rsidR="0077480F" w:rsidRPr="0077480F">
        <w:rPr>
          <w:rFonts w:ascii="AvantGarde Bk BT" w:eastAsia="Times New Roman" w:hAnsi="AvantGarde Bk BT" w:cs="Arial"/>
          <w:color w:val="000000"/>
          <w:sz w:val="24"/>
          <w:szCs w:val="24"/>
        </w:rPr>
        <w:t xml:space="preserve"> las circunstancias de</w:t>
      </w:r>
      <w:r w:rsidR="0077480F">
        <w:rPr>
          <w:rFonts w:ascii="AvantGarde Bk BT" w:eastAsia="Times New Roman" w:hAnsi="AvantGarde Bk BT" w:cs="Arial"/>
          <w:color w:val="000000"/>
          <w:sz w:val="24"/>
          <w:szCs w:val="24"/>
        </w:rPr>
        <w:t xml:space="preserve"> modo, tiempo y lugar del daño.</w:t>
      </w:r>
    </w:p>
    <w:p w14:paraId="6A3CFC92" w14:textId="0A12378C" w:rsidR="00CD672E" w:rsidRDefault="00CD672E" w:rsidP="00BA5F2C">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Así, </w:t>
      </w:r>
      <w:r w:rsidRPr="00CD672E">
        <w:rPr>
          <w:rFonts w:ascii="AvantGarde Bk BT" w:eastAsia="Times New Roman" w:hAnsi="AvantGarde Bk BT" w:cs="Arial"/>
          <w:b/>
          <w:color w:val="000000"/>
          <w:sz w:val="24"/>
          <w:szCs w:val="24"/>
        </w:rPr>
        <w:t xml:space="preserve">conforme a las consideraciones previamente anotadas, se puede concluir que </w:t>
      </w:r>
      <w:r w:rsidRPr="00521691">
        <w:rPr>
          <w:rFonts w:ascii="AvantGarde Bk BT" w:eastAsia="Times New Roman" w:hAnsi="AvantGarde Bk BT" w:cs="Arial"/>
          <w:b/>
          <w:color w:val="000000"/>
          <w:sz w:val="24"/>
          <w:szCs w:val="24"/>
          <w:u w:val="single"/>
        </w:rPr>
        <w:t>la determinación adoptada por el sujeto obligado resultó incorrecta al no acreditar los extremos de la causal de reserva invocada</w:t>
      </w:r>
      <w:r>
        <w:rPr>
          <w:rFonts w:ascii="AvantGarde Bk BT" w:eastAsia="Times New Roman" w:hAnsi="AvantGarde Bk BT" w:cs="Arial"/>
          <w:color w:val="000000"/>
          <w:sz w:val="24"/>
          <w:szCs w:val="24"/>
        </w:rPr>
        <w:t>.</w:t>
      </w:r>
    </w:p>
    <w:p w14:paraId="74E87114" w14:textId="4A49B373" w:rsidR="00C86DD7" w:rsidRDefault="00CD672E" w:rsidP="00BA5F2C">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No obstante lo anterior, </w:t>
      </w:r>
      <w:r w:rsidR="00521691">
        <w:rPr>
          <w:rFonts w:ascii="AvantGarde Bk BT" w:eastAsia="Times New Roman" w:hAnsi="AvantGarde Bk BT" w:cs="Arial"/>
          <w:color w:val="000000"/>
          <w:sz w:val="24"/>
          <w:szCs w:val="24"/>
        </w:rPr>
        <w:t xml:space="preserve">el Pleno de esta Comisión advierte que de acuerdo a las constancias que integran el recurso de revisión, podría actualizarse la causal de reserva que </w:t>
      </w:r>
      <w:r w:rsidR="0077480F">
        <w:rPr>
          <w:rFonts w:ascii="AvantGarde Bk BT" w:eastAsia="Times New Roman" w:hAnsi="AvantGarde Bk BT" w:cs="Arial"/>
          <w:color w:val="000000"/>
          <w:sz w:val="24"/>
          <w:szCs w:val="24"/>
        </w:rPr>
        <w:t xml:space="preserve">prevé la fracción </w:t>
      </w:r>
      <w:r w:rsidR="009560E9">
        <w:rPr>
          <w:rFonts w:ascii="AvantGarde Bk BT" w:eastAsia="Times New Roman" w:hAnsi="AvantGarde Bk BT" w:cs="Arial"/>
          <w:color w:val="000000"/>
          <w:sz w:val="24"/>
          <w:szCs w:val="24"/>
        </w:rPr>
        <w:t>VII del artículo 129 de la Ley de Transparencia local</w:t>
      </w:r>
      <w:r w:rsidR="009A45AA">
        <w:rPr>
          <w:rStyle w:val="Refdenotaalpie"/>
          <w:rFonts w:ascii="AvantGarde Bk BT" w:eastAsia="Times New Roman" w:hAnsi="AvantGarde Bk BT" w:cs="Arial"/>
          <w:color w:val="000000"/>
          <w:sz w:val="24"/>
          <w:szCs w:val="24"/>
        </w:rPr>
        <w:footnoteReference w:id="14"/>
      </w:r>
      <w:r w:rsidR="009560E9">
        <w:rPr>
          <w:rFonts w:ascii="AvantGarde Bk BT" w:eastAsia="Times New Roman" w:hAnsi="AvantGarde Bk BT" w:cs="Arial"/>
          <w:color w:val="000000"/>
          <w:sz w:val="24"/>
          <w:szCs w:val="24"/>
        </w:rPr>
        <w:t xml:space="preserve"> </w:t>
      </w:r>
      <w:r w:rsidR="009A45AA">
        <w:rPr>
          <w:rFonts w:ascii="AvantGarde Bk BT" w:eastAsia="Times New Roman" w:hAnsi="AvantGarde Bk BT" w:cs="Arial"/>
          <w:color w:val="000000"/>
          <w:sz w:val="24"/>
          <w:szCs w:val="24"/>
        </w:rPr>
        <w:t xml:space="preserve">y el Lineamiento vigésimo séptimo de los </w:t>
      </w:r>
      <w:r w:rsidR="009A45AA" w:rsidRPr="009A45AA">
        <w:rPr>
          <w:rFonts w:ascii="AvantGarde Bk BT" w:eastAsia="Times New Roman" w:hAnsi="AvantGarde Bk BT" w:cs="Arial"/>
          <w:color w:val="000000"/>
          <w:sz w:val="24"/>
          <w:szCs w:val="24"/>
        </w:rPr>
        <w:t>Lineamientos Generales en Materia de Clasificación y Desclasificación de la Información, así como para la Elaboración de Versiones Públicas</w:t>
      </w:r>
      <w:r w:rsidR="009A45AA">
        <w:rPr>
          <w:rStyle w:val="Refdenotaalpie"/>
          <w:rFonts w:ascii="AvantGarde Bk BT" w:eastAsia="Times New Roman" w:hAnsi="AvantGarde Bk BT" w:cs="Arial"/>
          <w:color w:val="000000"/>
          <w:sz w:val="24"/>
          <w:szCs w:val="24"/>
        </w:rPr>
        <w:footnoteReference w:id="15"/>
      </w:r>
      <w:r w:rsidR="00C86DD7">
        <w:rPr>
          <w:rFonts w:ascii="AvantGarde Bk BT" w:eastAsia="Times New Roman" w:hAnsi="AvantGarde Bk BT" w:cs="Arial"/>
          <w:color w:val="000000"/>
          <w:sz w:val="24"/>
          <w:szCs w:val="24"/>
        </w:rPr>
        <w:t>; por lo que, en todo caso, el área responsable de la información y el Comité de Transparencia del sujeto obligado debieron analiz</w:t>
      </w:r>
      <w:r w:rsidR="008945C2">
        <w:rPr>
          <w:rFonts w:ascii="AvantGarde Bk BT" w:eastAsia="Times New Roman" w:hAnsi="AvantGarde Bk BT" w:cs="Arial"/>
          <w:color w:val="000000"/>
          <w:sz w:val="24"/>
          <w:szCs w:val="24"/>
        </w:rPr>
        <w:t>ar los extremos de dicha causal y de</w:t>
      </w:r>
      <w:r w:rsidR="00C86DD7">
        <w:rPr>
          <w:rFonts w:ascii="AvantGarde Bk BT" w:eastAsia="Times New Roman" w:hAnsi="AvantGarde Bk BT" w:cs="Arial"/>
          <w:color w:val="000000"/>
          <w:sz w:val="24"/>
          <w:szCs w:val="24"/>
        </w:rPr>
        <w:t xml:space="preserve"> acreditarse</w:t>
      </w:r>
      <w:r w:rsidR="008945C2">
        <w:rPr>
          <w:rFonts w:ascii="AvantGarde Bk BT" w:eastAsia="Times New Roman" w:hAnsi="AvantGarde Bk BT" w:cs="Arial"/>
          <w:color w:val="000000"/>
          <w:sz w:val="24"/>
          <w:szCs w:val="24"/>
        </w:rPr>
        <w:t>,</w:t>
      </w:r>
      <w:r w:rsidR="00C86DD7">
        <w:rPr>
          <w:rFonts w:ascii="AvantGarde Bk BT" w:eastAsia="Times New Roman" w:hAnsi="AvantGarde Bk BT" w:cs="Arial"/>
          <w:color w:val="000000"/>
          <w:sz w:val="24"/>
          <w:szCs w:val="24"/>
        </w:rPr>
        <w:t xml:space="preserve"> </w:t>
      </w:r>
      <w:r w:rsidR="008945C2">
        <w:rPr>
          <w:rFonts w:ascii="AvantGarde Bk BT" w:eastAsia="Times New Roman" w:hAnsi="AvantGarde Bk BT" w:cs="Arial"/>
          <w:color w:val="000000"/>
          <w:sz w:val="24"/>
          <w:szCs w:val="24"/>
        </w:rPr>
        <w:t xml:space="preserve">proceder a </w:t>
      </w:r>
      <w:r w:rsidR="00C86DD7">
        <w:rPr>
          <w:rFonts w:ascii="AvantGarde Bk BT" w:eastAsia="Times New Roman" w:hAnsi="AvantGarde Bk BT" w:cs="Arial"/>
          <w:color w:val="000000"/>
          <w:sz w:val="24"/>
          <w:szCs w:val="24"/>
        </w:rPr>
        <w:t>clasificar la información</w:t>
      </w:r>
      <w:r w:rsidR="008945C2">
        <w:rPr>
          <w:rFonts w:ascii="AvantGarde Bk BT" w:eastAsia="Times New Roman" w:hAnsi="AvantGarde Bk BT" w:cs="Arial"/>
          <w:color w:val="000000"/>
          <w:sz w:val="24"/>
          <w:szCs w:val="24"/>
        </w:rPr>
        <w:t xml:space="preserve"> o, en caso contrario, proporcionar la información requerida.</w:t>
      </w:r>
    </w:p>
    <w:p w14:paraId="5FC8C991" w14:textId="1ECA830F" w:rsidR="00C86DD7" w:rsidRPr="00C86DD7" w:rsidRDefault="00C86DD7" w:rsidP="00C86DD7">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 ahí que</w:t>
      </w:r>
      <w:r>
        <w:rPr>
          <w:rFonts w:ascii="AvantGarde Bk BT" w:hAnsi="AvantGarde Bk BT" w:cs="Arial"/>
          <w:b/>
          <w:color w:val="000000" w:themeColor="text1"/>
          <w:sz w:val="24"/>
          <w:szCs w:val="24"/>
        </w:rPr>
        <w:t>,</w:t>
      </w:r>
      <w:r w:rsidRPr="009E2819">
        <w:rPr>
          <w:rFonts w:ascii="AvantGarde Bk BT" w:hAnsi="AvantGarde Bk BT" w:cs="Arial"/>
          <w:b/>
          <w:color w:val="000000" w:themeColor="text1"/>
          <w:sz w:val="24"/>
          <w:szCs w:val="24"/>
        </w:rPr>
        <w:t xml:space="preserve"> en el caso concreto</w:t>
      </w:r>
      <w:r>
        <w:rPr>
          <w:rFonts w:ascii="AvantGarde Bk BT" w:hAnsi="AvantGarde Bk BT" w:cs="Arial"/>
          <w:b/>
          <w:color w:val="000000" w:themeColor="text1"/>
          <w:sz w:val="24"/>
          <w:szCs w:val="24"/>
        </w:rPr>
        <w:t>, los</w:t>
      </w:r>
      <w:r w:rsidRPr="009E2819">
        <w:rPr>
          <w:rFonts w:ascii="AvantGarde Bk BT" w:hAnsi="AvantGarde Bk BT" w:cs="Arial"/>
          <w:b/>
          <w:color w:val="000000" w:themeColor="text1"/>
          <w:sz w:val="24"/>
          <w:szCs w:val="24"/>
        </w:rPr>
        <w:t xml:space="preserve"> agravio</w:t>
      </w:r>
      <w:r>
        <w:rPr>
          <w:rFonts w:ascii="AvantGarde Bk BT" w:hAnsi="AvantGarde Bk BT" w:cs="Arial"/>
          <w:b/>
          <w:color w:val="000000" w:themeColor="text1"/>
          <w:sz w:val="24"/>
          <w:szCs w:val="24"/>
        </w:rPr>
        <w:t>s</w:t>
      </w:r>
      <w:r w:rsidRPr="009E2819">
        <w:rPr>
          <w:rFonts w:ascii="AvantGarde Bk BT" w:hAnsi="AvantGarde Bk BT" w:cs="Arial"/>
          <w:b/>
          <w:color w:val="000000" w:themeColor="text1"/>
          <w:sz w:val="24"/>
          <w:szCs w:val="24"/>
        </w:rPr>
        <w:t xml:space="preserve"> vertido</w:t>
      </w:r>
      <w:r>
        <w:rPr>
          <w:rFonts w:ascii="AvantGarde Bk BT" w:hAnsi="AvantGarde Bk BT" w:cs="Arial"/>
          <w:b/>
          <w:color w:val="000000" w:themeColor="text1"/>
          <w:sz w:val="24"/>
          <w:szCs w:val="24"/>
        </w:rPr>
        <w:t>s</w:t>
      </w:r>
      <w:r w:rsidRPr="009E2819">
        <w:rPr>
          <w:rFonts w:ascii="AvantGarde Bk BT" w:hAnsi="AvantGarde Bk BT" w:cs="Arial"/>
          <w:b/>
          <w:color w:val="000000" w:themeColor="text1"/>
          <w:sz w:val="24"/>
          <w:szCs w:val="24"/>
        </w:rPr>
        <w:t xml:space="preserve"> por el recurrente resulta</w:t>
      </w:r>
      <w:r>
        <w:rPr>
          <w:rFonts w:ascii="AvantGarde Bk BT" w:hAnsi="AvantGarde Bk BT" w:cs="Arial"/>
          <w:b/>
          <w:color w:val="000000" w:themeColor="text1"/>
          <w:sz w:val="24"/>
          <w:szCs w:val="24"/>
        </w:rPr>
        <w:t>ran</w:t>
      </w:r>
      <w:r w:rsidRPr="009E2819">
        <w:rPr>
          <w:rFonts w:ascii="AvantGarde Bk BT" w:hAnsi="AvantGarde Bk BT" w:cs="Arial"/>
          <w:b/>
          <w:color w:val="000000" w:themeColor="text1"/>
          <w:sz w:val="24"/>
          <w:szCs w:val="24"/>
        </w:rPr>
        <w:t xml:space="preserve"> fundado</w:t>
      </w:r>
      <w:r>
        <w:rPr>
          <w:rFonts w:ascii="AvantGarde Bk BT" w:hAnsi="AvantGarde Bk BT" w:cs="Arial"/>
          <w:b/>
          <w:color w:val="000000" w:themeColor="text1"/>
          <w:sz w:val="24"/>
          <w:szCs w:val="24"/>
        </w:rPr>
        <w:t>s</w:t>
      </w:r>
      <w:r w:rsidRPr="009E2819">
        <w:rPr>
          <w:rFonts w:ascii="AvantGarde Bk BT" w:hAnsi="AvantGarde Bk BT" w:cs="Arial"/>
          <w:b/>
          <w:color w:val="000000" w:themeColor="text1"/>
          <w:sz w:val="24"/>
          <w:szCs w:val="24"/>
        </w:rPr>
        <w:t xml:space="preserve"> y suficiente</w:t>
      </w:r>
      <w:r>
        <w:rPr>
          <w:rFonts w:ascii="AvantGarde Bk BT" w:hAnsi="AvantGarde Bk BT" w:cs="Arial"/>
          <w:b/>
          <w:color w:val="000000" w:themeColor="text1"/>
          <w:sz w:val="24"/>
          <w:szCs w:val="24"/>
        </w:rPr>
        <w:t>s</w:t>
      </w:r>
      <w:r w:rsidRPr="009E2819">
        <w:rPr>
          <w:rFonts w:ascii="AvantGarde Bk BT" w:hAnsi="AvantGarde Bk BT" w:cs="Arial"/>
          <w:b/>
          <w:color w:val="000000" w:themeColor="text1"/>
          <w:sz w:val="24"/>
          <w:szCs w:val="24"/>
        </w:rPr>
        <w:t xml:space="preserve"> para modificar el acto impugnado</w:t>
      </w:r>
      <w:r>
        <w:rPr>
          <w:rFonts w:ascii="AvantGarde Bk BT" w:hAnsi="AvantGarde Bk BT" w:cs="Arial"/>
          <w:color w:val="000000" w:themeColor="text1"/>
          <w:sz w:val="24"/>
          <w:szCs w:val="24"/>
        </w:rPr>
        <w:t>.</w:t>
      </w:r>
    </w:p>
    <w:p w14:paraId="4FAF8AF3" w14:textId="77777777" w:rsidR="003A6C5C" w:rsidRPr="00F87B25"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1C726598" w14:textId="45DE051B" w:rsidR="003A6C5C" w:rsidRDefault="003A6C5C" w:rsidP="00105712">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lastRenderedPageBreak/>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A50C59">
        <w:rPr>
          <w:rFonts w:ascii="AvantGarde Bk BT" w:hAnsi="AvantGarde Bk BT" w:cs="Arial"/>
          <w:b/>
          <w:bCs/>
          <w:color w:val="000000" w:themeColor="text1"/>
          <w:sz w:val="24"/>
          <w:szCs w:val="24"/>
        </w:rPr>
        <w:t>MODIFI</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Pr="00FB1B04">
        <w:rPr>
          <w:rFonts w:ascii="AvantGarde Bk BT" w:hAnsi="AvantGarde Bk BT" w:cs="Arial"/>
          <w:color w:val="000000" w:themeColor="text1"/>
          <w:sz w:val="24"/>
          <w:szCs w:val="24"/>
        </w:rPr>
        <w:t xml:space="preserve"> </w:t>
      </w:r>
    </w:p>
    <w:p w14:paraId="6B973F06" w14:textId="30F46103" w:rsidR="00C86DD7" w:rsidRPr="00A50C59" w:rsidRDefault="00A50C59" w:rsidP="00A50C59">
      <w:pPr>
        <w:pStyle w:val="Prrafodelista"/>
        <w:numPr>
          <w:ilvl w:val="0"/>
          <w:numId w:val="2"/>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El Director General del </w:t>
      </w:r>
      <w:r>
        <w:rPr>
          <w:rFonts w:ascii="AvantGarde Bk BT" w:eastAsia="Times New Roman" w:hAnsi="AvantGarde Bk BT" w:cs="Arial"/>
          <w:color w:val="000000"/>
          <w:sz w:val="24"/>
          <w:szCs w:val="24"/>
        </w:rPr>
        <w:t>Consejo Potosino de Ciencia y Tecnología</w:t>
      </w:r>
      <w:r>
        <w:rPr>
          <w:rFonts w:ascii="AvantGarde Bk BT" w:eastAsia="Times New Roman" w:hAnsi="AvantGarde Bk BT" w:cs="Arial"/>
          <w:color w:val="000000"/>
          <w:sz w:val="24"/>
          <w:szCs w:val="24"/>
        </w:rPr>
        <w:t xml:space="preserve"> realice la búsqueda de la información relacionada con el programa conjunto del Grupo Interdisciplinario para la l</w:t>
      </w:r>
      <w:r w:rsidRPr="00A50C59">
        <w:rPr>
          <w:rFonts w:ascii="AvantGarde Bk BT" w:eastAsia="Times New Roman" w:hAnsi="AvantGarde Bk BT" w:cs="Arial"/>
          <w:color w:val="000000"/>
          <w:sz w:val="24"/>
          <w:szCs w:val="24"/>
        </w:rPr>
        <w:t>impieza y co</w:t>
      </w:r>
      <w:r>
        <w:rPr>
          <w:rFonts w:ascii="AvantGarde Bk BT" w:eastAsia="Times New Roman" w:hAnsi="AvantGarde Bk BT" w:cs="Arial"/>
          <w:color w:val="000000"/>
          <w:sz w:val="24"/>
          <w:szCs w:val="24"/>
        </w:rPr>
        <w:t>nservación de la presa San José;</w:t>
      </w:r>
      <w:r w:rsidRPr="00A50C59">
        <w:rPr>
          <w:rFonts w:ascii="AvantGarde Bk BT" w:eastAsia="Times New Roman" w:hAnsi="AvantGarde Bk BT" w:cs="Arial"/>
          <w:color w:val="000000"/>
          <w:sz w:val="24"/>
          <w:szCs w:val="24"/>
        </w:rPr>
        <w:t xml:space="preserve"> el Subprograma de trabajo para la implementación de </w:t>
      </w:r>
      <w:r>
        <w:rPr>
          <w:rFonts w:ascii="AvantGarde Bk BT" w:eastAsia="Times New Roman" w:hAnsi="AvantGarde Bk BT" w:cs="Arial"/>
          <w:color w:val="000000"/>
          <w:sz w:val="24"/>
          <w:szCs w:val="24"/>
        </w:rPr>
        <w:t>dicho plan;</w:t>
      </w:r>
      <w:r w:rsidRPr="00A50C59">
        <w:rPr>
          <w:rFonts w:ascii="AvantGarde Bk BT" w:eastAsia="Times New Roman" w:hAnsi="AvantGarde Bk BT" w:cs="Arial"/>
          <w:color w:val="000000"/>
          <w:sz w:val="24"/>
          <w:szCs w:val="24"/>
        </w:rPr>
        <w:t xml:space="preserve"> el plan conjunto y el cronograma de actuación con objetivos </w:t>
      </w:r>
      <w:r w:rsidR="002871FD">
        <w:rPr>
          <w:rFonts w:ascii="AvantGarde Bk BT" w:eastAsia="Times New Roman" w:hAnsi="AvantGarde Bk BT" w:cs="Arial"/>
          <w:color w:val="000000"/>
          <w:sz w:val="24"/>
          <w:szCs w:val="24"/>
        </w:rPr>
        <w:t>a corto, mediano y largo plazo; así como</w:t>
      </w:r>
      <w:r w:rsidRPr="00A50C59">
        <w:rPr>
          <w:rFonts w:ascii="AvantGarde Bk BT" w:eastAsia="Times New Roman" w:hAnsi="AvantGarde Bk BT" w:cs="Arial"/>
          <w:color w:val="000000"/>
          <w:sz w:val="24"/>
          <w:szCs w:val="24"/>
        </w:rPr>
        <w:t xml:space="preserve"> todas </w:t>
      </w:r>
      <w:r w:rsidR="002871FD">
        <w:rPr>
          <w:rFonts w:ascii="AvantGarde Bk BT" w:eastAsia="Times New Roman" w:hAnsi="AvantGarde Bk BT" w:cs="Arial"/>
          <w:color w:val="000000"/>
          <w:sz w:val="24"/>
          <w:szCs w:val="24"/>
        </w:rPr>
        <w:t>las a</w:t>
      </w:r>
      <w:r w:rsidRPr="00A50C59">
        <w:rPr>
          <w:rFonts w:ascii="AvantGarde Bk BT" w:eastAsia="Times New Roman" w:hAnsi="AvantGarde Bk BT" w:cs="Arial"/>
          <w:color w:val="000000"/>
          <w:sz w:val="24"/>
          <w:szCs w:val="24"/>
        </w:rPr>
        <w:t>ctas y/o acuerdos que haya celebrado dicho grupo interdisciplinario, desde su conformación a la fecha</w:t>
      </w:r>
      <w:r>
        <w:rPr>
          <w:rFonts w:ascii="AvantGarde Bk BT" w:eastAsia="Times New Roman" w:hAnsi="AvantGarde Bk BT" w:cs="Arial"/>
          <w:color w:val="000000"/>
          <w:sz w:val="24"/>
          <w:szCs w:val="24"/>
        </w:rPr>
        <w:t xml:space="preserve"> de presentación de la solicitud de información</w:t>
      </w:r>
      <w:r w:rsidRPr="00A50C59">
        <w:rPr>
          <w:rFonts w:ascii="AvantGarde Bk BT" w:eastAsia="Times New Roman" w:hAnsi="AvantGarde Bk BT" w:cs="Arial"/>
          <w:color w:val="000000"/>
          <w:sz w:val="24"/>
          <w:szCs w:val="24"/>
        </w:rPr>
        <w:t>.</w:t>
      </w:r>
    </w:p>
    <w:p w14:paraId="24F7DF9C" w14:textId="09B592AC" w:rsidR="00A50C59" w:rsidRDefault="002871FD" w:rsidP="00A50C59">
      <w:pPr>
        <w:pStyle w:val="Prrafodelista"/>
        <w:spacing w:line="360" w:lineRule="auto"/>
        <w:ind w:left="1068"/>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Lo anterior en la inteligencia de que e</w:t>
      </w:r>
      <w:r w:rsidR="00A50C59">
        <w:rPr>
          <w:rFonts w:ascii="AvantGarde Bk BT" w:eastAsia="Times New Roman" w:hAnsi="AvantGarde Bk BT" w:cs="Arial"/>
          <w:color w:val="000000"/>
          <w:sz w:val="24"/>
          <w:szCs w:val="24"/>
        </w:rPr>
        <w:t>n caso de actualizarse la causal de reserv</w:t>
      </w:r>
      <w:r>
        <w:rPr>
          <w:rFonts w:ascii="AvantGarde Bk BT" w:eastAsia="Times New Roman" w:hAnsi="AvantGarde Bk BT" w:cs="Arial"/>
          <w:color w:val="000000"/>
          <w:sz w:val="24"/>
          <w:szCs w:val="24"/>
        </w:rPr>
        <w:t xml:space="preserve">a prevista en </w:t>
      </w:r>
      <w:r w:rsidRPr="002871FD">
        <w:rPr>
          <w:rFonts w:ascii="AvantGarde Bk BT" w:eastAsia="Times New Roman" w:hAnsi="AvantGarde Bk BT" w:cs="Arial"/>
          <w:color w:val="000000"/>
          <w:sz w:val="24"/>
          <w:szCs w:val="24"/>
        </w:rPr>
        <w:t>la fracción VII del artículo 129 de la Ley de Transparencia local y el Lineamiento vigésimo séptimo de los Lineamientos Generales en Materia de Clasificación y Desclasificación de la Información, así como para la Elaboración de Versiones Públicas</w:t>
      </w:r>
      <w:r>
        <w:rPr>
          <w:rFonts w:ascii="AvantGarde Bk BT" w:eastAsia="Times New Roman" w:hAnsi="AvantGarde Bk BT" w:cs="Arial"/>
          <w:color w:val="000000"/>
          <w:sz w:val="24"/>
          <w:szCs w:val="24"/>
        </w:rPr>
        <w:t>; el sujeto obligado deberá apegarse al procedimiento previsto en la Ley y los Lineamientos antes aludidos y clasificar como reservada dicha información, sin poder omitir la entrega del acuerdo de reserva respectivo al particular.</w:t>
      </w:r>
    </w:p>
    <w:p w14:paraId="15C89905" w14:textId="32693047" w:rsidR="002871FD" w:rsidRPr="00A50C59" w:rsidRDefault="002871FD" w:rsidP="00A50C59">
      <w:pPr>
        <w:pStyle w:val="Prrafodelista"/>
        <w:spacing w:line="360" w:lineRule="auto"/>
        <w:ind w:left="1068"/>
        <w:jc w:val="both"/>
        <w:rPr>
          <w:rFonts w:ascii="AvantGarde Bk BT" w:hAnsi="AvantGarde Bk BT" w:cs="Arial"/>
          <w:color w:val="000000" w:themeColor="text1"/>
          <w:sz w:val="24"/>
          <w:szCs w:val="24"/>
        </w:rPr>
      </w:pPr>
      <w:r>
        <w:rPr>
          <w:rFonts w:ascii="AvantGarde Bk BT" w:eastAsia="Times New Roman" w:hAnsi="AvantGarde Bk BT" w:cs="Arial"/>
          <w:color w:val="000000"/>
          <w:sz w:val="24"/>
          <w:szCs w:val="24"/>
        </w:rPr>
        <w:t>Ahora, en caso de no acreditarse la causal de reserva previamente señalada, el sujeto obligado deberá entregar la información requerida al peticionario.</w:t>
      </w:r>
    </w:p>
    <w:p w14:paraId="637FFB31" w14:textId="77777777" w:rsidR="003A6C5C" w:rsidRDefault="003A6C5C" w:rsidP="003A6C5C">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5.2. </w:t>
      </w:r>
      <w:r>
        <w:rPr>
          <w:rFonts w:ascii="AvantGarde Bk BT" w:hAnsi="AvantGarde Bk BT" w:cs="Arial"/>
          <w:b/>
          <w:sz w:val="24"/>
          <w:szCs w:val="24"/>
        </w:rPr>
        <w:t xml:space="preserve">Precisiones para el cumplimiento de la resolución. </w:t>
      </w:r>
    </w:p>
    <w:p w14:paraId="3FD478EB" w14:textId="77777777" w:rsidR="003A6C5C" w:rsidRDefault="003A6C5C" w:rsidP="003A6C5C">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52F9B59" w14:textId="77777777" w:rsidR="003A6C5C" w:rsidRPr="00F331D9" w:rsidRDefault="003A6C5C" w:rsidP="003A6C5C">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E678637" w14:textId="77777777" w:rsidR="003A6C5C" w:rsidRPr="00BB5524" w:rsidRDefault="003A6C5C" w:rsidP="003A6C5C">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0494C081" w14:textId="77777777" w:rsidR="003A6C5C" w:rsidRPr="00C12794" w:rsidRDefault="003A6C5C"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5</w:t>
      </w:r>
      <w:r w:rsidRPr="00BB5524">
        <w:rPr>
          <w:rFonts w:ascii="AvantGarde Bk BT" w:hAnsi="AvantGarde Bk BT" w:cs="Arial"/>
          <w:b/>
          <w:color w:val="000000" w:themeColor="text1"/>
          <w:sz w:val="24"/>
          <w:szCs w:val="24"/>
        </w:rPr>
        <w:t>.3.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0D68A85" w14:textId="77777777" w:rsidR="003A6C5C" w:rsidRPr="004C15C0"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5.4</w:t>
      </w:r>
      <w:r w:rsidRPr="00831D47">
        <w:rPr>
          <w:rFonts w:ascii="AvantGarde Bk BT" w:hAnsi="AvantGarde Bk BT" w:cs="Arial"/>
          <w:b/>
          <w:color w:val="000000" w:themeColor="text1"/>
          <w:sz w:val="24"/>
          <w:szCs w:val="24"/>
        </w:rPr>
        <w:t>. Medida de apremio en caso de incumplimiento a la resolución.</w:t>
      </w:r>
    </w:p>
    <w:p w14:paraId="218CEA4F" w14:textId="77777777"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77777777" w:rsidR="003A6C5C" w:rsidRPr="00684218"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0EBCC211" w14:textId="77777777" w:rsidR="003A6C5C" w:rsidRPr="003358EE" w:rsidRDefault="003A6C5C" w:rsidP="003A6C5C">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64E2BB93"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2871FD">
        <w:rPr>
          <w:rFonts w:ascii="AvantGarde Bk BT" w:hAnsi="AvantGarde Bk BT" w:cs="Arial"/>
          <w:b/>
          <w:bCs/>
          <w:color w:val="000000" w:themeColor="text1"/>
          <w:sz w:val="24"/>
          <w:szCs w:val="24"/>
        </w:rPr>
        <w:t>MODIFI</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1CD94679" w14:textId="17965134" w:rsidR="00B90A51" w:rsidRPr="00B90A51" w:rsidRDefault="00B90A51" w:rsidP="00B90A5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2D554563" w14:textId="71D64529" w:rsidR="00B90A51" w:rsidRDefault="003B3106" w:rsidP="003A6C5C">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2871FD">
        <w:rPr>
          <w:rFonts w:ascii="AvantGarde Bk BT" w:hAnsi="AvantGarde Bk BT"/>
          <w:sz w:val="24"/>
          <w:szCs w:val="24"/>
        </w:rPr>
        <w:t>O</w:t>
      </w:r>
      <w:r w:rsidR="00F005F1">
        <w:rPr>
          <w:rFonts w:ascii="AvantGarde Bk BT" w:hAnsi="AvantGarde Bk BT"/>
          <w:sz w:val="24"/>
          <w:szCs w:val="24"/>
        </w:rPr>
        <w:t>rdinaria de</w:t>
      </w:r>
      <w:r w:rsidRPr="00E0750B">
        <w:rPr>
          <w:rFonts w:ascii="AvantGarde Bk BT" w:hAnsi="AvantGarde Bk BT"/>
          <w:sz w:val="24"/>
          <w:szCs w:val="24"/>
        </w:rPr>
        <w:t xml:space="preserve">l </w:t>
      </w:r>
      <w:r w:rsidR="002871FD">
        <w:rPr>
          <w:rFonts w:ascii="AvantGarde Bk BT" w:hAnsi="AvantGarde Bk BT"/>
          <w:sz w:val="24"/>
          <w:szCs w:val="24"/>
        </w:rPr>
        <w:t>seis de noviembre</w:t>
      </w:r>
      <w:r w:rsidR="00AD7CC3">
        <w:rPr>
          <w:rFonts w:ascii="AvantGarde Bk BT" w:hAnsi="AvantGarde Bk BT"/>
          <w:sz w:val="24"/>
          <w:szCs w:val="24"/>
        </w:rPr>
        <w:t xml:space="preserve"> </w:t>
      </w:r>
      <w:r w:rsidR="00020754">
        <w:rPr>
          <w:rFonts w:ascii="AvantGarde Bk BT" w:hAnsi="AvantGarde Bk BT"/>
          <w:sz w:val="24"/>
          <w:szCs w:val="24"/>
        </w:rPr>
        <w:t>de</w:t>
      </w:r>
      <w:r w:rsidR="002B05CF">
        <w:rPr>
          <w:rFonts w:ascii="AvantGarde Bk BT" w:hAnsi="AvantGarde Bk BT"/>
          <w:sz w:val="24"/>
          <w:szCs w:val="24"/>
        </w:rPr>
        <w:t xml:space="preserve"> dos mil veinticuatro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00D12DAB" w:rsidRPr="00D12DAB">
        <w:rPr>
          <w:rFonts w:ascii="AvantGarde Bk BT" w:hAnsi="AvantGarde Bk BT" w:cs="Arial"/>
          <w:b/>
          <w:color w:val="000000" w:themeColor="text1"/>
          <w:sz w:val="24"/>
          <w:szCs w:val="24"/>
        </w:rPr>
        <w:t xml:space="preserve">José Gerardo Navarro </w:t>
      </w:r>
      <w:proofErr w:type="spellStart"/>
      <w:r w:rsidR="00D12DAB" w:rsidRPr="00D12DAB">
        <w:rPr>
          <w:rFonts w:ascii="AvantGarde Bk BT" w:hAnsi="AvantGarde Bk BT" w:cs="Arial"/>
          <w:b/>
          <w:color w:val="000000" w:themeColor="text1"/>
          <w:sz w:val="24"/>
          <w:szCs w:val="24"/>
        </w:rPr>
        <w:t>Alviso</w:t>
      </w:r>
      <w:proofErr w:type="spellEnd"/>
      <w:r>
        <w:rPr>
          <w:rFonts w:ascii="AvantGarde Bk BT" w:hAnsi="AvantGarde Bk BT" w:cs="Arial"/>
          <w:color w:val="000000" w:themeColor="text1"/>
          <w:sz w:val="24"/>
          <w:szCs w:val="24"/>
        </w:rPr>
        <w:t xml:space="preserve">, </w:t>
      </w:r>
      <w:r w:rsidR="00D12DAB">
        <w:rPr>
          <w:rFonts w:ascii="AvantGarde Bk BT" w:hAnsi="AvantGarde Bk BT" w:cs="Arial"/>
          <w:color w:val="000000" w:themeColor="text1"/>
          <w:sz w:val="24"/>
          <w:szCs w:val="24"/>
        </w:rPr>
        <w:t>Maestra</w:t>
      </w:r>
      <w:r>
        <w:rPr>
          <w:rFonts w:ascii="AvantGarde Bk BT" w:hAnsi="AvantGarde Bk BT" w:cs="Arial"/>
          <w:color w:val="000000" w:themeColor="text1"/>
          <w:sz w:val="24"/>
          <w:szCs w:val="24"/>
        </w:rPr>
        <w:t xml:space="preserve"> </w:t>
      </w:r>
      <w:r w:rsidR="00D12DAB" w:rsidRPr="00D12DAB">
        <w:rPr>
          <w:rFonts w:ascii="AvantGarde Bk BT" w:hAnsi="AvantGarde Bk BT" w:cs="Arial"/>
          <w:color w:val="000000" w:themeColor="text1"/>
          <w:sz w:val="24"/>
          <w:szCs w:val="24"/>
        </w:rPr>
        <w:t xml:space="preserve">Sara Viridiana Tapia Rincón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 xml:space="preserve">quienes firman con la Licenciada Rosa María Motilla García, </w:t>
      </w:r>
      <w:r w:rsidR="009E2819">
        <w:rPr>
          <w:rFonts w:ascii="AvantGarde Bk BT" w:hAnsi="AvantGarde Bk BT"/>
          <w:color w:val="000000" w:themeColor="text1"/>
          <w:sz w:val="24"/>
          <w:szCs w:val="24"/>
        </w:rPr>
        <w:t>Secretaria de Pleno que</w:t>
      </w:r>
      <w:r>
        <w:rPr>
          <w:rFonts w:ascii="AvantGarde Bk BT" w:hAnsi="AvantGarde Bk BT"/>
          <w:color w:val="000000" w:themeColor="text1"/>
          <w:sz w:val="24"/>
          <w:szCs w:val="24"/>
        </w:rPr>
        <w:t xml:space="preserve"> autoriza y da fe</w:t>
      </w:r>
      <w:r w:rsidRPr="004A0C7D">
        <w:rPr>
          <w:rFonts w:ascii="AvantGarde Bk BT" w:hAnsi="AvantGarde Bk BT" w:cs="Arial"/>
          <w:color w:val="000000" w:themeColor="text1"/>
          <w:sz w:val="24"/>
          <w:szCs w:val="24"/>
        </w:rPr>
        <w:t>.</w:t>
      </w:r>
    </w:p>
    <w:p w14:paraId="3CE87F14" w14:textId="77777777" w:rsidR="00105712" w:rsidRPr="006809EF" w:rsidRDefault="00105712" w:rsidP="003A6C5C">
      <w:pPr>
        <w:pStyle w:val="corte4fondo"/>
        <w:tabs>
          <w:tab w:val="left" w:pos="567"/>
        </w:tabs>
        <w:spacing w:after="240"/>
        <w:rPr>
          <w:rFonts w:ascii="AvantGarde Bk BT" w:hAnsi="AvantGarde Bk BT" w:cs="Arial"/>
          <w:color w:val="000000" w:themeColor="text1"/>
          <w:sz w:val="24"/>
          <w:szCs w:val="24"/>
        </w:rPr>
      </w:pPr>
    </w:p>
    <w:p w14:paraId="3739C17A" w14:textId="6D197BB8" w:rsidR="003B3106" w:rsidRPr="003358EE" w:rsidRDefault="003B3106" w:rsidP="003B3106">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COMISIONADA</w:t>
      </w:r>
    </w:p>
    <w:p w14:paraId="3DC0321F" w14:textId="77777777" w:rsidR="003B3106" w:rsidRPr="003358EE" w:rsidRDefault="003B3106" w:rsidP="003B3106">
      <w:pPr>
        <w:pStyle w:val="NormalWeb"/>
        <w:jc w:val="both"/>
        <w:rPr>
          <w:rFonts w:ascii="AvantGarde Bk BT" w:hAnsi="AvantGarde Bk BT" w:cs="Arial"/>
          <w:b/>
          <w:color w:val="000000" w:themeColor="text1"/>
          <w:lang w:val="es-MX"/>
        </w:rPr>
      </w:pPr>
    </w:p>
    <w:p w14:paraId="726C6F7F" w14:textId="28E581D6" w:rsidR="00B90A51" w:rsidRDefault="003B3106" w:rsidP="003A6C5C">
      <w:pPr>
        <w:pStyle w:val="NormalWeb"/>
        <w:spacing w:line="600" w:lineRule="auto"/>
        <w:jc w:val="center"/>
        <w:rPr>
          <w:rFonts w:ascii="AvantGarde Bk BT" w:hAnsi="AvantGarde Bk BT" w:cs="Arial"/>
          <w:b/>
          <w:bCs/>
          <w:color w:val="000000" w:themeColor="text1"/>
          <w:lang w:val="es-MX"/>
        </w:rPr>
      </w:pPr>
      <w:r w:rsidRPr="003358EE">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LIC. </w:t>
      </w:r>
      <w:r w:rsidR="00834DC6"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834DC6">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sidR="00834DC6" w:rsidRPr="00834DC6">
        <w:rPr>
          <w:rFonts w:ascii="AvantGarde Bk BT" w:hAnsi="AvantGarde Bk BT" w:cs="Arial"/>
          <w:b/>
          <w:bCs/>
          <w:color w:val="000000" w:themeColor="text1"/>
          <w:lang w:val="es-MX"/>
        </w:rPr>
        <w:t>SARA VIRIDIANA TAPIA RINCÓN</w:t>
      </w:r>
      <w:r w:rsidRPr="00834DC6">
        <w:rPr>
          <w:rFonts w:ascii="AvantGarde Bk BT" w:hAnsi="AvantGarde Bk BT" w:cs="Arial"/>
          <w:b/>
          <w:bCs/>
          <w:color w:val="000000" w:themeColor="text1"/>
          <w:lang w:val="es-MX"/>
        </w:rPr>
        <w:t>.</w:t>
      </w:r>
    </w:p>
    <w:p w14:paraId="07B2A4D8" w14:textId="77777777" w:rsidR="00105712" w:rsidRPr="00B90A51" w:rsidRDefault="00105712" w:rsidP="003A6C5C">
      <w:pPr>
        <w:pStyle w:val="NormalWeb"/>
        <w:spacing w:line="600" w:lineRule="auto"/>
        <w:jc w:val="center"/>
        <w:rPr>
          <w:rFonts w:ascii="AvantGarde Bk BT" w:hAnsi="AvantGarde Bk BT" w:cs="Arial"/>
          <w:b/>
          <w:bCs/>
          <w:color w:val="000000" w:themeColor="text1"/>
          <w:lang w:val="es-MX"/>
        </w:rPr>
      </w:pPr>
    </w:p>
    <w:p w14:paraId="7932FC1E" w14:textId="77777777" w:rsidR="003B3106" w:rsidRPr="003358EE" w:rsidRDefault="003B3106" w:rsidP="003B3106">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33FEFBF7" w14:textId="77777777" w:rsidR="003B3106" w:rsidRPr="003358EE" w:rsidRDefault="003B3106" w:rsidP="003B3106">
      <w:pPr>
        <w:pStyle w:val="NormalWeb"/>
        <w:rPr>
          <w:rFonts w:ascii="AvantGarde Bk BT" w:hAnsi="AvantGarde Bk BT" w:cs="Arial"/>
          <w:b/>
          <w:color w:val="000000" w:themeColor="text1"/>
          <w:lang w:val="es-MX"/>
        </w:rPr>
      </w:pPr>
    </w:p>
    <w:p w14:paraId="58151051" w14:textId="77777777" w:rsidR="003B3106" w:rsidRPr="0045524D" w:rsidRDefault="003B3106" w:rsidP="003B3106">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4F010B25" w14:textId="77777777" w:rsidR="001708E1" w:rsidRPr="001314EC" w:rsidRDefault="001708E1" w:rsidP="001708E1">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3F2CA59A" w:rsidR="005873DB" w:rsidRPr="004C15C0" w:rsidRDefault="001708E1" w:rsidP="000C776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102274" w:rsidRPr="007E3491">
        <w:rPr>
          <w:rFonts w:ascii="AvantGarde Bk BT" w:hAnsi="AvantGarde Bk BT" w:cs="Arial"/>
          <w:color w:val="000000" w:themeColor="text1"/>
          <w:sz w:val="14"/>
          <w:szCs w:val="14"/>
        </w:rPr>
        <w:t xml:space="preserve">ordinaria de </w:t>
      </w:r>
      <w:r w:rsidR="002871FD">
        <w:rPr>
          <w:rFonts w:ascii="AvantGarde Bk BT" w:hAnsi="AvantGarde Bk BT" w:cs="Arial"/>
          <w:color w:val="000000" w:themeColor="text1"/>
          <w:sz w:val="14"/>
          <w:szCs w:val="14"/>
        </w:rPr>
        <w:t>seis de noviembre</w:t>
      </w:r>
      <w:bookmarkStart w:id="1" w:name="_GoBack"/>
      <w:bookmarkEnd w:id="1"/>
      <w:r w:rsidR="00020754">
        <w:rPr>
          <w:rFonts w:ascii="AvantGarde Bk BT" w:hAnsi="AvantGarde Bk BT" w:cs="Arial"/>
          <w:color w:val="000000" w:themeColor="text1"/>
          <w:sz w:val="14"/>
          <w:szCs w:val="14"/>
        </w:rPr>
        <w:t xml:space="preserve"> de</w:t>
      </w:r>
      <w:r w:rsidR="002B05CF">
        <w:rPr>
          <w:rFonts w:ascii="AvantGarde Bk BT" w:hAnsi="AvantGarde Bk BT" w:cs="Arial"/>
          <w:color w:val="000000" w:themeColor="text1"/>
          <w:sz w:val="14"/>
          <w:szCs w:val="14"/>
        </w:rPr>
        <w:t xml:space="preserve"> dos mil veinticuatro</w:t>
      </w:r>
      <w:r>
        <w:rPr>
          <w:rFonts w:ascii="AvantGarde Bk BT" w:hAnsi="AvantGarde Bk BT" w:cs="Arial"/>
          <w:color w:val="000000" w:themeColor="text1"/>
          <w:sz w:val="14"/>
          <w:szCs w:val="14"/>
        </w:rPr>
        <w:t>, dentro de los auto</w:t>
      </w:r>
      <w:r w:rsidR="003B3106">
        <w:rPr>
          <w:rFonts w:ascii="AvantGarde Bk BT" w:hAnsi="AvantGarde Bk BT" w:cs="Arial"/>
          <w:color w:val="000000" w:themeColor="text1"/>
          <w:sz w:val="14"/>
          <w:szCs w:val="14"/>
        </w:rPr>
        <w:t>s del recur</w:t>
      </w:r>
      <w:r w:rsidR="004F097F">
        <w:rPr>
          <w:rFonts w:ascii="AvantGarde Bk BT" w:hAnsi="AvantGarde Bk BT" w:cs="Arial"/>
          <w:color w:val="000000" w:themeColor="text1"/>
          <w:sz w:val="14"/>
          <w:szCs w:val="14"/>
        </w:rPr>
        <w:t>so de revisi</w:t>
      </w:r>
      <w:r w:rsidR="002871FD">
        <w:rPr>
          <w:rFonts w:ascii="AvantGarde Bk BT" w:hAnsi="AvantGarde Bk BT" w:cs="Arial"/>
          <w:color w:val="000000" w:themeColor="text1"/>
          <w:sz w:val="14"/>
          <w:szCs w:val="14"/>
        </w:rPr>
        <w:t>ón RR-1283</w:t>
      </w:r>
      <w:r w:rsidR="006B51E8">
        <w:rPr>
          <w:rFonts w:ascii="AvantGarde Bk BT" w:hAnsi="AvantGarde Bk BT" w:cs="Arial"/>
          <w:color w:val="000000" w:themeColor="text1"/>
          <w:sz w:val="14"/>
          <w:szCs w:val="14"/>
        </w:rPr>
        <w:t>/2024</w:t>
      </w:r>
      <w:r w:rsidR="00020754">
        <w:rPr>
          <w:rFonts w:ascii="AvantGarde Bk BT" w:hAnsi="AvantGarde Bk BT" w:cs="Arial"/>
          <w:color w:val="000000" w:themeColor="text1"/>
          <w:sz w:val="14"/>
          <w:szCs w:val="14"/>
        </w:rPr>
        <w:t>-1</w:t>
      </w:r>
      <w:r>
        <w:rPr>
          <w:rFonts w:ascii="AvantGarde Bk BT" w:hAnsi="AvantGarde Bk BT" w:cs="Arial"/>
          <w:color w:val="000000" w:themeColor="text1"/>
          <w:sz w:val="14"/>
          <w:szCs w:val="14"/>
        </w:rPr>
        <w:t>.)</w:t>
      </w:r>
    </w:p>
    <w:sectPr w:rsidR="005873DB" w:rsidRPr="004C15C0" w:rsidSect="00FE2D9F">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4E437B" w14:textId="77777777" w:rsidR="00EF6327" w:rsidRDefault="00EF6327" w:rsidP="003864ED">
      <w:pPr>
        <w:spacing w:after="0" w:line="240" w:lineRule="auto"/>
      </w:pPr>
      <w:r>
        <w:separator/>
      </w:r>
    </w:p>
  </w:endnote>
  <w:endnote w:type="continuationSeparator" w:id="0">
    <w:p w14:paraId="6BFD9F01" w14:textId="77777777" w:rsidR="00EF6327" w:rsidRDefault="00EF6327"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B04C7C" w:rsidRDefault="00B04C7C">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4C9661" w14:textId="77777777" w:rsidR="00EF6327" w:rsidRDefault="00EF6327" w:rsidP="003864ED">
      <w:pPr>
        <w:spacing w:after="0" w:line="240" w:lineRule="auto"/>
      </w:pPr>
      <w:r>
        <w:separator/>
      </w:r>
    </w:p>
  </w:footnote>
  <w:footnote w:type="continuationSeparator" w:id="0">
    <w:p w14:paraId="74479F77" w14:textId="77777777" w:rsidR="00EF6327" w:rsidRDefault="00EF6327" w:rsidP="003864ED">
      <w:pPr>
        <w:spacing w:after="0" w:line="240" w:lineRule="auto"/>
      </w:pPr>
      <w:r>
        <w:continuationSeparator/>
      </w:r>
    </w:p>
  </w:footnote>
  <w:footnote w:id="1">
    <w:p w14:paraId="024E7F43" w14:textId="02BA26AD" w:rsidR="00B04C7C" w:rsidRPr="00847F87" w:rsidRDefault="00B04C7C" w:rsidP="00847F87">
      <w:pPr>
        <w:pStyle w:val="Textonotapie"/>
        <w:jc w:val="both"/>
        <w:rPr>
          <w:sz w:val="18"/>
          <w:szCs w:val="18"/>
        </w:rPr>
      </w:pPr>
      <w:r w:rsidRPr="00847F87">
        <w:rPr>
          <w:rStyle w:val="Refdenotaalpie"/>
          <w:sz w:val="18"/>
          <w:szCs w:val="18"/>
        </w:rPr>
        <w:footnoteRef/>
      </w:r>
      <w:r w:rsidRPr="00847F87">
        <w:rPr>
          <w:sz w:val="18"/>
          <w:szCs w:val="18"/>
        </w:rPr>
        <w:t xml:space="preserve"> Suprema Corte de Justicia de la Nación, Registro digital: 164618, Instancia: Segunda Sala, Novena Época, Materias(s): Común, Tesis: 2a./J. 58/2010, Fuente: Semanario Judicial de la Federación y su Gaceta. Tomo XXXI, </w:t>
      </w:r>
      <w:proofErr w:type="gramStart"/>
      <w:r w:rsidRPr="00847F87">
        <w:rPr>
          <w:sz w:val="18"/>
          <w:szCs w:val="18"/>
        </w:rPr>
        <w:t>Mayo</w:t>
      </w:r>
      <w:proofErr w:type="gramEnd"/>
      <w:r w:rsidRPr="00847F87">
        <w:rPr>
          <w:sz w:val="18"/>
          <w:szCs w:val="18"/>
        </w:rPr>
        <w:t xml:space="preserve"> de 2010, página 830, Tipo: Jurisprudencia.</w:t>
      </w:r>
    </w:p>
  </w:footnote>
  <w:footnote w:id="2">
    <w:p w14:paraId="481E0340" w14:textId="77777777" w:rsidR="00B04C7C" w:rsidRPr="00847F87" w:rsidRDefault="00B04C7C" w:rsidP="00847F87">
      <w:pPr>
        <w:pStyle w:val="Textonotapie"/>
        <w:jc w:val="both"/>
        <w:rPr>
          <w:sz w:val="18"/>
          <w:szCs w:val="18"/>
          <w:lang w:val="es-ES_tradnl"/>
        </w:rPr>
      </w:pPr>
      <w:r w:rsidRPr="00847F87">
        <w:rPr>
          <w:rStyle w:val="Refdenotaalpie"/>
          <w:sz w:val="18"/>
          <w:szCs w:val="18"/>
        </w:rPr>
        <w:footnoteRef/>
      </w:r>
      <w:r w:rsidRPr="00847F87">
        <w:rPr>
          <w:sz w:val="18"/>
          <w:szCs w:val="18"/>
        </w:rPr>
        <w:t xml:space="preserve"> </w:t>
      </w:r>
      <w:r w:rsidRPr="00847F87">
        <w:rPr>
          <w:b/>
          <w:bCs/>
          <w:sz w:val="18"/>
          <w:szCs w:val="18"/>
          <w:lang w:val="es-ES_tradnl"/>
        </w:rPr>
        <w:t>ARTÍCULO 61.</w:t>
      </w:r>
      <w:r w:rsidRPr="00847F87">
        <w:rPr>
          <w:bCs/>
          <w:sz w:val="18"/>
          <w:szCs w:val="18"/>
          <w:lang w:val="es-ES_tradnl"/>
        </w:rPr>
        <w:t xml:space="preserve"> </w:t>
      </w:r>
      <w:r w:rsidRPr="00847F87">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426F7D99" w14:textId="77777777" w:rsidR="00B04C7C" w:rsidRPr="00847F87" w:rsidRDefault="00B04C7C" w:rsidP="00847F87">
      <w:pPr>
        <w:pStyle w:val="Textonotapie"/>
        <w:jc w:val="both"/>
        <w:rPr>
          <w:sz w:val="18"/>
          <w:szCs w:val="18"/>
          <w:lang w:val="es-ES_tradnl"/>
        </w:rPr>
      </w:pPr>
      <w:r w:rsidRPr="00847F87">
        <w:rPr>
          <w:sz w:val="18"/>
          <w:szCs w:val="18"/>
          <w:lang w:val="es-ES_tradnl"/>
        </w:rPr>
        <w:t xml:space="preserve">La obligación de los sujetos obligados de proporcionar información no comprende el procesamiento de la misma, ni el presentarla conforme al interés del solicitante. </w:t>
      </w:r>
    </w:p>
  </w:footnote>
  <w:footnote w:id="3">
    <w:p w14:paraId="4A323E22" w14:textId="77777777" w:rsidR="00B04C7C" w:rsidRPr="00847F87" w:rsidRDefault="00B04C7C" w:rsidP="00847F87">
      <w:pPr>
        <w:pStyle w:val="Textonotapie"/>
        <w:jc w:val="both"/>
        <w:rPr>
          <w:sz w:val="18"/>
          <w:szCs w:val="18"/>
        </w:rPr>
      </w:pPr>
      <w:r w:rsidRPr="00847F87">
        <w:rPr>
          <w:rStyle w:val="Refdenotaalpie"/>
          <w:sz w:val="18"/>
          <w:szCs w:val="18"/>
        </w:rPr>
        <w:footnoteRef/>
      </w:r>
      <w:r w:rsidRPr="00847F87">
        <w:rPr>
          <w:sz w:val="18"/>
          <w:szCs w:val="18"/>
        </w:rPr>
        <w:t xml:space="preserve"> </w:t>
      </w:r>
      <w:r w:rsidRPr="00847F87">
        <w:rPr>
          <w:b/>
          <w:sz w:val="18"/>
          <w:szCs w:val="18"/>
        </w:rPr>
        <w:t>ARTÍCULO 18.</w:t>
      </w:r>
      <w:r w:rsidRPr="00847F87">
        <w:rPr>
          <w:sz w:val="18"/>
          <w:szCs w:val="18"/>
        </w:rPr>
        <w:t xml:space="preserve"> Los sujetos obligados deberán documentar todo acto que derive del ejercicio de sus facultades, competencias o funciones.</w:t>
      </w:r>
    </w:p>
    <w:p w14:paraId="0486793E" w14:textId="77777777" w:rsidR="00B04C7C" w:rsidRPr="00847F87" w:rsidRDefault="00B04C7C" w:rsidP="00847F87">
      <w:pPr>
        <w:pStyle w:val="Textonotapie"/>
        <w:jc w:val="both"/>
        <w:rPr>
          <w:sz w:val="18"/>
          <w:szCs w:val="18"/>
        </w:rPr>
      </w:pPr>
      <w:r w:rsidRPr="00847F87">
        <w:rPr>
          <w:b/>
          <w:sz w:val="18"/>
          <w:szCs w:val="18"/>
        </w:rPr>
        <w:t>ARTÍCULO 59.</w:t>
      </w:r>
      <w:r w:rsidRPr="00847F87">
        <w:rPr>
          <w:sz w:val="18"/>
          <w:szCs w:val="18"/>
        </w:rPr>
        <w:t xml:space="preserve"> Los sujetos obligados deben proporcionar la información solicitada en la modalidad en que se encuentre. Cuando la información requerida se encuentre en dos o más tipos de formatos, el solicitante elegirá entre los formatos, para la entrega correspondiente. </w:t>
      </w:r>
    </w:p>
    <w:p w14:paraId="35E5FFAA" w14:textId="77777777" w:rsidR="00B04C7C" w:rsidRPr="00847F87" w:rsidRDefault="00B04C7C" w:rsidP="00847F87">
      <w:pPr>
        <w:pStyle w:val="Textonotapie"/>
        <w:jc w:val="both"/>
        <w:rPr>
          <w:sz w:val="18"/>
          <w:szCs w:val="18"/>
        </w:rPr>
      </w:pPr>
      <w:r w:rsidRPr="00847F87">
        <w:rPr>
          <w:b/>
          <w:sz w:val="18"/>
          <w:szCs w:val="18"/>
        </w:rPr>
        <w:t>ARTÍCULO 60.</w:t>
      </w:r>
      <w:r w:rsidRPr="00847F87">
        <w:rPr>
          <w:sz w:val="18"/>
          <w:szCs w:val="18"/>
        </w:rPr>
        <w:t xml:space="preserve"> En la formulación, producción, procesamiento, administración, archivo y resguardo de la información, debe atenderse al principio de la máxima publicidad, con el objeto de facilitar el acceso de cualquier persona a su conocimiento. </w:t>
      </w:r>
    </w:p>
    <w:p w14:paraId="538DE2D1" w14:textId="77777777" w:rsidR="00B04C7C" w:rsidRPr="00847F87" w:rsidRDefault="00B04C7C" w:rsidP="00847F87">
      <w:pPr>
        <w:pStyle w:val="Textonotapie"/>
        <w:jc w:val="both"/>
        <w:rPr>
          <w:sz w:val="18"/>
          <w:szCs w:val="18"/>
        </w:rPr>
      </w:pPr>
      <w:r w:rsidRPr="00847F87">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05433F66" w14:textId="77777777" w:rsidR="00B04C7C" w:rsidRPr="00847F87" w:rsidRDefault="00B04C7C" w:rsidP="00847F87">
      <w:pPr>
        <w:pStyle w:val="Textonotapie"/>
        <w:jc w:val="both"/>
        <w:rPr>
          <w:sz w:val="18"/>
          <w:szCs w:val="18"/>
        </w:rPr>
      </w:pPr>
      <w:r w:rsidRPr="00847F87">
        <w:rPr>
          <w:b/>
          <w:sz w:val="18"/>
          <w:szCs w:val="18"/>
        </w:rPr>
        <w:t>ARTÍCULO 61.</w:t>
      </w:r>
      <w:r w:rsidRPr="00847F87">
        <w:rPr>
          <w:sz w:val="18"/>
          <w:szCs w:val="18"/>
        </w:rPr>
        <w:t xml:space="preserve">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7FE3ECDD" w14:textId="77777777" w:rsidR="00B04C7C" w:rsidRPr="00847F87" w:rsidRDefault="00B04C7C" w:rsidP="00847F87">
      <w:pPr>
        <w:pStyle w:val="Textonotapie"/>
        <w:jc w:val="both"/>
        <w:rPr>
          <w:sz w:val="18"/>
          <w:szCs w:val="18"/>
        </w:rPr>
      </w:pPr>
      <w:r w:rsidRPr="00847F87">
        <w:rPr>
          <w:sz w:val="18"/>
          <w:szCs w:val="18"/>
        </w:rPr>
        <w:t>La obligación de los sujetos obligados de proporcionar información no comprende el procesamiento de la misma, ni el presentarla conforme al interés del solicitante.</w:t>
      </w:r>
    </w:p>
    <w:p w14:paraId="6602DF0E" w14:textId="77777777" w:rsidR="00B04C7C" w:rsidRPr="00847F87" w:rsidRDefault="00B04C7C" w:rsidP="00847F87">
      <w:pPr>
        <w:pStyle w:val="Textonotapie"/>
        <w:jc w:val="both"/>
        <w:rPr>
          <w:sz w:val="18"/>
          <w:szCs w:val="18"/>
        </w:rPr>
      </w:pPr>
      <w:r w:rsidRPr="00847F87">
        <w:rPr>
          <w:b/>
          <w:sz w:val="18"/>
          <w:szCs w:val="18"/>
        </w:rPr>
        <w:t>ARTÍCULO 152</w:t>
      </w:r>
      <w:r w:rsidRPr="00847F87">
        <w:rPr>
          <w:sz w:val="18"/>
          <w:szCs w:val="18"/>
        </w:rPr>
        <w:t>.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14:paraId="0DC4E3E6" w14:textId="77777777" w:rsidR="00B04C7C" w:rsidRPr="00847F87" w:rsidRDefault="00B04C7C" w:rsidP="00BA5F2C">
      <w:pPr>
        <w:pStyle w:val="Textonotapie"/>
        <w:jc w:val="both"/>
        <w:rPr>
          <w:sz w:val="18"/>
          <w:szCs w:val="18"/>
        </w:rPr>
      </w:pPr>
      <w:r w:rsidRPr="00847F87">
        <w:rPr>
          <w:rStyle w:val="Refdenotaalpie"/>
          <w:sz w:val="18"/>
          <w:szCs w:val="18"/>
        </w:rPr>
        <w:footnoteRef/>
      </w:r>
      <w:r w:rsidRPr="00847F87">
        <w:rPr>
          <w:sz w:val="18"/>
          <w:szCs w:val="18"/>
        </w:rPr>
        <w:t xml:space="preserve"> </w:t>
      </w:r>
      <w:r w:rsidRPr="00847F87">
        <w:rPr>
          <w:b/>
          <w:sz w:val="18"/>
          <w:szCs w:val="18"/>
        </w:rPr>
        <w:t>ARTÍCULO 113</w:t>
      </w:r>
      <w:r w:rsidRPr="00847F87">
        <w:rPr>
          <w:sz w:val="18"/>
          <w:szCs w:val="18"/>
        </w:rPr>
        <w:t>. Las figuras jurídicas de excepción al derecho de acceso a la información pública, son las de información reservada, e información confidencial.</w:t>
      </w:r>
    </w:p>
  </w:footnote>
  <w:footnote w:id="5">
    <w:p w14:paraId="1BBFC69C" w14:textId="77777777" w:rsidR="00B04C7C" w:rsidRDefault="00B04C7C" w:rsidP="0028624B">
      <w:pPr>
        <w:pStyle w:val="Textonotapie"/>
        <w:jc w:val="both"/>
        <w:rPr>
          <w:rFonts w:cstheme="minorHAnsi"/>
          <w:sz w:val="18"/>
          <w:szCs w:val="16"/>
        </w:rPr>
      </w:pPr>
      <w:r w:rsidRPr="00376D6B">
        <w:rPr>
          <w:rStyle w:val="Refdenotaalpie"/>
          <w:rFonts w:cstheme="minorHAnsi"/>
          <w:sz w:val="18"/>
          <w:szCs w:val="16"/>
        </w:rPr>
        <w:footnoteRef/>
      </w:r>
      <w:r w:rsidRPr="00376D6B">
        <w:rPr>
          <w:rFonts w:cstheme="minorHAnsi"/>
          <w:sz w:val="18"/>
          <w:szCs w:val="16"/>
        </w:rPr>
        <w:t xml:space="preserve"> </w:t>
      </w:r>
      <w:r w:rsidRPr="00885A18">
        <w:rPr>
          <w:rFonts w:cstheme="minorHAnsi"/>
          <w:b/>
          <w:sz w:val="18"/>
          <w:szCs w:val="16"/>
        </w:rPr>
        <w:t>ARTÍCULO 129</w:t>
      </w:r>
      <w:r w:rsidRPr="00376D6B">
        <w:rPr>
          <w:rFonts w:cstheme="minorHAnsi"/>
          <w:sz w:val="18"/>
          <w:szCs w:val="16"/>
        </w:rPr>
        <w:t xml:space="preserve"> de la Ley de Transparencia y Acceso a la Información Pública de San Luis Potosí.</w:t>
      </w:r>
    </w:p>
    <w:p w14:paraId="27330A3E" w14:textId="77777777" w:rsidR="00B04C7C" w:rsidRDefault="00B04C7C" w:rsidP="0028624B">
      <w:pPr>
        <w:pStyle w:val="Textonotapie"/>
        <w:jc w:val="both"/>
        <w:rPr>
          <w:rFonts w:cstheme="minorHAnsi"/>
          <w:sz w:val="18"/>
          <w:szCs w:val="16"/>
        </w:rPr>
      </w:pPr>
      <w:r w:rsidRPr="00885A18">
        <w:rPr>
          <w:rFonts w:cstheme="minorHAnsi"/>
          <w:b/>
          <w:sz w:val="18"/>
          <w:szCs w:val="16"/>
        </w:rPr>
        <w:t>ARTÍCULO 114.</w:t>
      </w:r>
      <w:r w:rsidRPr="00885A18">
        <w:rPr>
          <w:rFonts w:cstheme="minorHAnsi"/>
          <w:sz w:val="18"/>
          <w:szCs w:val="16"/>
        </w:rPr>
        <w:t xml:space="preserve"> La clasificación es el proceso mediante el cual el sujeto obligado determina que la información en su poder </w:t>
      </w:r>
      <w:proofErr w:type="spellStart"/>
      <w:r w:rsidRPr="00885A18">
        <w:rPr>
          <w:rFonts w:cstheme="minorHAnsi"/>
          <w:sz w:val="18"/>
          <w:szCs w:val="16"/>
        </w:rPr>
        <w:t>actualiza</w:t>
      </w:r>
      <w:proofErr w:type="spellEnd"/>
      <w:r w:rsidRPr="00885A18">
        <w:rPr>
          <w:rFonts w:cstheme="minorHAnsi"/>
          <w:sz w:val="18"/>
          <w:szCs w:val="16"/>
        </w:rPr>
        <w:t xml:space="preserve"> alguno de los supuestos de reserva o confidencialidad, de conformidad con lo dispuesto en el presente Título. </w:t>
      </w:r>
    </w:p>
    <w:p w14:paraId="6C1CAF82" w14:textId="77777777" w:rsidR="00B04C7C" w:rsidRDefault="00B04C7C" w:rsidP="0028624B">
      <w:pPr>
        <w:pStyle w:val="Textonotapie"/>
        <w:jc w:val="both"/>
        <w:rPr>
          <w:rFonts w:cstheme="minorHAnsi"/>
          <w:sz w:val="18"/>
          <w:szCs w:val="16"/>
        </w:rPr>
      </w:pPr>
      <w:r w:rsidRPr="00885A18">
        <w:rPr>
          <w:rFonts w:cstheme="minorHAnsi"/>
          <w:sz w:val="18"/>
          <w:szCs w:val="16"/>
        </w:rPr>
        <w:t xml:space="preserve">Los supuestos de reserva o confidencialidad previstos en las leyes deberán ser acordes con las bases, principios y disposiciones establecidos en esta Ley y, en ningún caso, podrán contravenirla. </w:t>
      </w:r>
    </w:p>
    <w:p w14:paraId="2385F6E7" w14:textId="77777777" w:rsidR="00B04C7C" w:rsidRPr="00A15B7A" w:rsidRDefault="00B04C7C" w:rsidP="0028624B">
      <w:pPr>
        <w:pStyle w:val="Textonotapie"/>
        <w:jc w:val="both"/>
        <w:rPr>
          <w:rFonts w:cstheme="minorHAnsi"/>
          <w:sz w:val="14"/>
          <w:szCs w:val="16"/>
        </w:rPr>
      </w:pPr>
      <w:r w:rsidRPr="00885A18">
        <w:rPr>
          <w:rFonts w:cstheme="minorHAnsi"/>
          <w:sz w:val="18"/>
          <w:szCs w:val="16"/>
          <w:u w:val="single"/>
        </w:rPr>
        <w:t>Los titulares de las Áreas de los sujetos obligados serán los responsables de clasificar la información</w:t>
      </w:r>
      <w:r w:rsidRPr="00885A18">
        <w:rPr>
          <w:rFonts w:cstheme="minorHAnsi"/>
          <w:sz w:val="18"/>
          <w:szCs w:val="16"/>
        </w:rPr>
        <w:t>, de conformidad con lo dispuesto en, la Ley General y esta Ley.</w:t>
      </w:r>
      <w:r>
        <w:rPr>
          <w:rFonts w:cstheme="minorHAnsi"/>
          <w:sz w:val="18"/>
          <w:szCs w:val="16"/>
        </w:rPr>
        <w:t xml:space="preserve"> (Énfasis añadido).</w:t>
      </w:r>
    </w:p>
  </w:footnote>
  <w:footnote w:id="6">
    <w:p w14:paraId="655DCC50" w14:textId="77777777" w:rsidR="00B04C7C" w:rsidRPr="00C54F83" w:rsidRDefault="00B04C7C" w:rsidP="0028624B">
      <w:pPr>
        <w:pStyle w:val="Textonotapie"/>
        <w:jc w:val="both"/>
        <w:rPr>
          <w:sz w:val="18"/>
        </w:rPr>
      </w:pPr>
      <w:r w:rsidRPr="00C54F83">
        <w:rPr>
          <w:rStyle w:val="Refdenotaalpie"/>
          <w:sz w:val="18"/>
        </w:rPr>
        <w:footnoteRef/>
      </w:r>
      <w:r w:rsidRPr="00C54F83">
        <w:rPr>
          <w:sz w:val="18"/>
        </w:rPr>
        <w:t xml:space="preserve"> </w:t>
      </w:r>
      <w:r w:rsidRPr="00472F65">
        <w:rPr>
          <w:b/>
          <w:sz w:val="18"/>
        </w:rPr>
        <w:t>ARTÍCULO 1</w:t>
      </w:r>
      <w:r w:rsidRPr="00C54F83">
        <w:rPr>
          <w:sz w:val="18"/>
        </w:rPr>
        <w:t>° […]</w:t>
      </w:r>
    </w:p>
    <w:p w14:paraId="5A741571" w14:textId="77777777" w:rsidR="00B04C7C" w:rsidRPr="00C54F83" w:rsidRDefault="00B04C7C" w:rsidP="0028624B">
      <w:pPr>
        <w:pStyle w:val="Textonotapie"/>
        <w:jc w:val="both"/>
      </w:pPr>
      <w:r w:rsidRPr="00C54F83">
        <w:rPr>
          <w:sz w:val="18"/>
        </w:rP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footnote>
  <w:footnote w:id="7">
    <w:p w14:paraId="32677DF9" w14:textId="77777777" w:rsidR="00B04C7C" w:rsidRPr="00DB027D" w:rsidRDefault="00B04C7C" w:rsidP="0028624B">
      <w:pPr>
        <w:pStyle w:val="Textonotapie"/>
        <w:jc w:val="both"/>
        <w:rPr>
          <w:sz w:val="18"/>
        </w:rPr>
      </w:pPr>
      <w:r w:rsidRPr="00DB027D">
        <w:rPr>
          <w:rStyle w:val="Refdenotaalpie"/>
          <w:sz w:val="18"/>
        </w:rPr>
        <w:footnoteRef/>
      </w:r>
      <w:r w:rsidRPr="00DB027D">
        <w:rPr>
          <w:sz w:val="18"/>
        </w:rPr>
        <w:t xml:space="preserve"> </w:t>
      </w:r>
      <w:r w:rsidRPr="00472F65">
        <w:rPr>
          <w:b/>
          <w:sz w:val="18"/>
        </w:rPr>
        <w:t>ARTÍCULO 128.</w:t>
      </w:r>
      <w:r w:rsidRPr="00DB027D">
        <w:rPr>
          <w:sz w:val="18"/>
        </w:rPr>
        <w:t xml:space="preserve"> El acuerdo que clasifique la información como reservada deberá contener, cuando</w:t>
      </w:r>
      <w:r>
        <w:rPr>
          <w:sz w:val="18"/>
        </w:rPr>
        <w:t xml:space="preserve"> </w:t>
      </w:r>
      <w:r w:rsidRPr="00DB027D">
        <w:rPr>
          <w:sz w:val="18"/>
        </w:rPr>
        <w:t>menos:</w:t>
      </w:r>
    </w:p>
    <w:p w14:paraId="47587ED7" w14:textId="77777777" w:rsidR="00B04C7C" w:rsidRPr="00DB027D" w:rsidRDefault="00B04C7C" w:rsidP="0028624B">
      <w:pPr>
        <w:pStyle w:val="Textonotapie"/>
        <w:jc w:val="both"/>
        <w:rPr>
          <w:sz w:val="18"/>
        </w:rPr>
      </w:pPr>
      <w:r w:rsidRPr="00DB027D">
        <w:rPr>
          <w:sz w:val="18"/>
        </w:rPr>
        <w:t>I. La fuente y el archivo donde se encuentra la información;</w:t>
      </w:r>
    </w:p>
    <w:p w14:paraId="2906DF97" w14:textId="77777777" w:rsidR="00B04C7C" w:rsidRPr="00DB027D" w:rsidRDefault="00B04C7C" w:rsidP="0028624B">
      <w:pPr>
        <w:pStyle w:val="Textonotapie"/>
        <w:jc w:val="both"/>
        <w:rPr>
          <w:sz w:val="18"/>
        </w:rPr>
      </w:pPr>
      <w:r w:rsidRPr="00DB027D">
        <w:rPr>
          <w:sz w:val="18"/>
        </w:rPr>
        <w:t>II. La fundamentación y motivación del acuerdo;</w:t>
      </w:r>
    </w:p>
    <w:p w14:paraId="07BC6366" w14:textId="77777777" w:rsidR="00B04C7C" w:rsidRPr="00DB027D" w:rsidRDefault="00B04C7C" w:rsidP="0028624B">
      <w:pPr>
        <w:pStyle w:val="Textonotapie"/>
        <w:jc w:val="both"/>
        <w:rPr>
          <w:sz w:val="18"/>
        </w:rPr>
      </w:pPr>
      <w:r w:rsidRPr="00DB027D">
        <w:rPr>
          <w:sz w:val="18"/>
        </w:rPr>
        <w:t>III. El documento, la parte o las partes de los mismos, que se reservan;</w:t>
      </w:r>
    </w:p>
    <w:p w14:paraId="613DF4BA" w14:textId="77777777" w:rsidR="00B04C7C" w:rsidRPr="00DB027D" w:rsidRDefault="00B04C7C" w:rsidP="0028624B">
      <w:pPr>
        <w:pStyle w:val="Textonotapie"/>
        <w:jc w:val="both"/>
        <w:rPr>
          <w:sz w:val="18"/>
        </w:rPr>
      </w:pPr>
      <w:r w:rsidRPr="00DB027D">
        <w:rPr>
          <w:sz w:val="18"/>
        </w:rPr>
        <w:t>IV. El plazo por el que se reserva la información;</w:t>
      </w:r>
    </w:p>
    <w:p w14:paraId="20E27803" w14:textId="77777777" w:rsidR="00B04C7C" w:rsidRPr="00DB027D" w:rsidRDefault="00B04C7C" w:rsidP="0028624B">
      <w:pPr>
        <w:pStyle w:val="Textonotapie"/>
        <w:jc w:val="both"/>
        <w:rPr>
          <w:sz w:val="18"/>
        </w:rPr>
      </w:pPr>
      <w:r w:rsidRPr="00DB027D">
        <w:rPr>
          <w:sz w:val="18"/>
        </w:rPr>
        <w:t>V. La designación de la autoridad responsable de su protección;</w:t>
      </w:r>
    </w:p>
    <w:p w14:paraId="2B22C8E8" w14:textId="77777777" w:rsidR="00B04C7C" w:rsidRPr="00DB027D" w:rsidRDefault="00B04C7C" w:rsidP="0028624B">
      <w:pPr>
        <w:pStyle w:val="Textonotapie"/>
        <w:jc w:val="both"/>
        <w:rPr>
          <w:sz w:val="18"/>
        </w:rPr>
      </w:pPr>
      <w:r w:rsidRPr="00DB027D">
        <w:rPr>
          <w:sz w:val="18"/>
        </w:rPr>
        <w:t>VI. Número de identificación del acuerdo de reserva;</w:t>
      </w:r>
    </w:p>
    <w:p w14:paraId="7082407F" w14:textId="77777777" w:rsidR="00B04C7C" w:rsidRPr="00DB027D" w:rsidRDefault="00B04C7C" w:rsidP="0028624B">
      <w:pPr>
        <w:pStyle w:val="Textonotapie"/>
        <w:jc w:val="both"/>
        <w:rPr>
          <w:sz w:val="18"/>
        </w:rPr>
      </w:pPr>
      <w:r w:rsidRPr="00DB027D">
        <w:rPr>
          <w:sz w:val="18"/>
        </w:rPr>
        <w:t>VII. La aplicación de la prueba del daño;</w:t>
      </w:r>
    </w:p>
    <w:p w14:paraId="4FF14EA2" w14:textId="77777777" w:rsidR="00B04C7C" w:rsidRPr="00DB027D" w:rsidRDefault="00B04C7C" w:rsidP="0028624B">
      <w:pPr>
        <w:pStyle w:val="Textonotapie"/>
        <w:jc w:val="both"/>
        <w:rPr>
          <w:sz w:val="18"/>
        </w:rPr>
      </w:pPr>
      <w:r w:rsidRPr="00DB027D">
        <w:rPr>
          <w:sz w:val="18"/>
        </w:rPr>
        <w:t>VIII. Fecha del acuerdo de clasificación, y</w:t>
      </w:r>
    </w:p>
    <w:p w14:paraId="7762787C" w14:textId="77777777" w:rsidR="00B04C7C" w:rsidRDefault="00B04C7C" w:rsidP="0028624B">
      <w:pPr>
        <w:pStyle w:val="Textonotapie"/>
        <w:jc w:val="both"/>
      </w:pPr>
      <w:r w:rsidRPr="00DB027D">
        <w:rPr>
          <w:sz w:val="18"/>
        </w:rPr>
        <w:t>IX. La rúbrica de los miembros del Comité.</w:t>
      </w:r>
    </w:p>
  </w:footnote>
  <w:footnote w:id="8">
    <w:p w14:paraId="17B532DF" w14:textId="77777777" w:rsidR="00B04C7C" w:rsidRPr="00DB027D" w:rsidRDefault="00B04C7C" w:rsidP="0028624B">
      <w:pPr>
        <w:pStyle w:val="Textonotapie"/>
        <w:jc w:val="both"/>
        <w:rPr>
          <w:sz w:val="18"/>
        </w:rPr>
      </w:pPr>
      <w:r w:rsidRPr="00DB027D">
        <w:rPr>
          <w:rStyle w:val="Refdenotaalpie"/>
          <w:sz w:val="18"/>
        </w:rPr>
        <w:footnoteRef/>
      </w:r>
      <w:r w:rsidRPr="00DB027D">
        <w:rPr>
          <w:sz w:val="18"/>
        </w:rPr>
        <w:t xml:space="preserve"> </w:t>
      </w:r>
      <w:r w:rsidRPr="00472F65">
        <w:rPr>
          <w:b/>
          <w:sz w:val="18"/>
        </w:rPr>
        <w:t>ARTÍCULO 118</w:t>
      </w:r>
      <w:r w:rsidRPr="00DB027D">
        <w:rPr>
          <w:sz w:val="18"/>
        </w:rPr>
        <w:t xml:space="preserve">. En la aplicación de la prueba de daño, el sujeto obligado deberá justificar que: </w:t>
      </w:r>
    </w:p>
    <w:p w14:paraId="1D6D5860" w14:textId="77777777" w:rsidR="00B04C7C" w:rsidRPr="00DB027D" w:rsidRDefault="00B04C7C" w:rsidP="0028624B">
      <w:pPr>
        <w:pStyle w:val="Textonotapie"/>
        <w:jc w:val="both"/>
        <w:rPr>
          <w:sz w:val="18"/>
        </w:rPr>
      </w:pPr>
      <w:r w:rsidRPr="00DB027D">
        <w:rPr>
          <w:sz w:val="18"/>
        </w:rPr>
        <w:t xml:space="preserve">I. La divulgación de la información representa un riesgo real, demostrable e identificable de perjuicio significativo al interés público; </w:t>
      </w:r>
    </w:p>
    <w:p w14:paraId="06E419AB" w14:textId="77777777" w:rsidR="00B04C7C" w:rsidRPr="00DB027D" w:rsidRDefault="00B04C7C" w:rsidP="0028624B">
      <w:pPr>
        <w:pStyle w:val="Textonotapie"/>
        <w:jc w:val="both"/>
        <w:rPr>
          <w:sz w:val="18"/>
        </w:rPr>
      </w:pPr>
      <w:r w:rsidRPr="00DB027D">
        <w:rPr>
          <w:sz w:val="18"/>
        </w:rPr>
        <w:t xml:space="preserve">II. El riesgo de perjuicio que supondría la divulgación supera el interés público general de que se difunda, y </w:t>
      </w:r>
    </w:p>
    <w:p w14:paraId="77B970D6" w14:textId="77777777" w:rsidR="00B04C7C" w:rsidRPr="00DB027D" w:rsidRDefault="00B04C7C" w:rsidP="0028624B">
      <w:pPr>
        <w:pStyle w:val="Textonotapie"/>
        <w:jc w:val="both"/>
        <w:rPr>
          <w:sz w:val="18"/>
        </w:rPr>
      </w:pPr>
      <w:r w:rsidRPr="00DB027D">
        <w:rPr>
          <w:sz w:val="18"/>
        </w:rPr>
        <w:t xml:space="preserve">III. La limitación se adecua al principio de proporcionalidad y representa el medio menos restrictivo disponible para evitar el perjuicio. </w:t>
      </w:r>
    </w:p>
    <w:p w14:paraId="202AB908" w14:textId="77777777" w:rsidR="00B04C7C" w:rsidRPr="00DB027D" w:rsidRDefault="00B04C7C" w:rsidP="0028624B">
      <w:pPr>
        <w:pStyle w:val="Textonotapie"/>
        <w:jc w:val="both"/>
        <w:rPr>
          <w:sz w:val="18"/>
        </w:rPr>
      </w:pPr>
      <w:r w:rsidRPr="00472F65">
        <w:rPr>
          <w:b/>
          <w:sz w:val="18"/>
        </w:rPr>
        <w:t>ARTÍCULO 119.</w:t>
      </w:r>
      <w:r w:rsidRPr="00DB027D">
        <w:rPr>
          <w:sz w:val="18"/>
        </w:rPr>
        <w:t xml:space="preserve"> Los sujetos obligados deberán aplicar, de manera restrictiva y limitada, las excepciones al derecho de acceso a la información prevista en el presente Título y deberán acreditar su procedencia. </w:t>
      </w:r>
    </w:p>
    <w:p w14:paraId="220921FA" w14:textId="77777777" w:rsidR="00B04C7C" w:rsidRDefault="00B04C7C" w:rsidP="0028624B">
      <w:pPr>
        <w:pStyle w:val="Textonotapie"/>
        <w:jc w:val="both"/>
      </w:pPr>
      <w:r w:rsidRPr="00DB027D">
        <w:rPr>
          <w:sz w:val="18"/>
        </w:rPr>
        <w:t>La carga de la prueba para justificar toda negativa de acceso a la información, por actualizarse cualquiera de los supuestos de reserva previstos, corresponderá a los sujetos obligados.</w:t>
      </w:r>
    </w:p>
  </w:footnote>
  <w:footnote w:id="9">
    <w:p w14:paraId="536944E4" w14:textId="77777777" w:rsidR="00B04C7C" w:rsidRDefault="00B04C7C" w:rsidP="0028624B">
      <w:pPr>
        <w:pStyle w:val="Textonotapie"/>
        <w:jc w:val="both"/>
      </w:pPr>
      <w:r>
        <w:rPr>
          <w:rStyle w:val="Refdenotaalpie"/>
        </w:rPr>
        <w:footnoteRef/>
      </w:r>
      <w:r>
        <w:t xml:space="preserve"> </w:t>
      </w:r>
      <w:r w:rsidRPr="00EE54EA">
        <w:rPr>
          <w:sz w:val="18"/>
        </w:rPr>
        <w:t xml:space="preserve">209986. I. 4o. P. 56 P. Tribunales Colegiados de Circuito. Octava Época. Semanario Judicial de la Federación. Tomo XIV, </w:t>
      </w:r>
      <w:proofErr w:type="gramStart"/>
      <w:r w:rsidRPr="00EE54EA">
        <w:rPr>
          <w:sz w:val="18"/>
        </w:rPr>
        <w:t>Noviembre</w:t>
      </w:r>
      <w:proofErr w:type="gramEnd"/>
      <w:r w:rsidRPr="00EE54EA">
        <w:rPr>
          <w:sz w:val="18"/>
        </w:rPr>
        <w:t xml:space="preserve"> de 1994, Pág. 450</w:t>
      </w:r>
    </w:p>
  </w:footnote>
  <w:footnote w:id="10">
    <w:p w14:paraId="0884CD34" w14:textId="77777777" w:rsidR="00B04C7C" w:rsidRPr="00E830A4" w:rsidRDefault="00B04C7C" w:rsidP="0028624B">
      <w:pPr>
        <w:pStyle w:val="Textonotapie"/>
        <w:jc w:val="both"/>
        <w:rPr>
          <w:sz w:val="18"/>
        </w:rPr>
      </w:pPr>
      <w:r w:rsidRPr="00E830A4">
        <w:rPr>
          <w:rStyle w:val="Refdenotaalpie"/>
          <w:sz w:val="18"/>
        </w:rPr>
        <w:footnoteRef/>
      </w:r>
      <w:r w:rsidRPr="00E830A4">
        <w:rPr>
          <w:sz w:val="18"/>
        </w:rPr>
        <w:t xml:space="preserve"> </w:t>
      </w:r>
      <w:r w:rsidRPr="00E830A4">
        <w:rPr>
          <w:b/>
          <w:sz w:val="18"/>
        </w:rPr>
        <w:t>ARTÍCULO 52.</w:t>
      </w:r>
      <w:r w:rsidRPr="00E830A4">
        <w:rPr>
          <w:sz w:val="18"/>
        </w:rPr>
        <w:t xml:space="preserve"> Cada Comité de Transparencia tendrá las siguientes funciones: </w:t>
      </w:r>
    </w:p>
    <w:p w14:paraId="69C0E65B" w14:textId="77777777" w:rsidR="00B04C7C" w:rsidRPr="00E830A4" w:rsidRDefault="00B04C7C" w:rsidP="0028624B">
      <w:pPr>
        <w:pStyle w:val="Textonotapie"/>
        <w:jc w:val="both"/>
        <w:rPr>
          <w:sz w:val="18"/>
        </w:rPr>
      </w:pPr>
      <w:r w:rsidRPr="00E830A4">
        <w:rPr>
          <w:sz w:val="18"/>
        </w:rPr>
        <w:t>[…]</w:t>
      </w:r>
    </w:p>
    <w:p w14:paraId="2852202E" w14:textId="77777777" w:rsidR="00B04C7C" w:rsidRPr="00E830A4" w:rsidRDefault="00B04C7C" w:rsidP="0028624B">
      <w:pPr>
        <w:pStyle w:val="Textonotapie"/>
        <w:jc w:val="both"/>
        <w:rPr>
          <w:sz w:val="18"/>
        </w:rPr>
      </w:pPr>
      <w:r w:rsidRPr="00E830A4">
        <w:rPr>
          <w:sz w:val="18"/>
        </w:rPr>
        <w:t xml:space="preserve">II. Confirmar, modificar o revocar las determinaciones </w:t>
      </w:r>
      <w:proofErr w:type="gramStart"/>
      <w:r w:rsidRPr="00E830A4">
        <w:rPr>
          <w:sz w:val="18"/>
        </w:rPr>
        <w:t>que</w:t>
      </w:r>
      <w:proofErr w:type="gramEnd"/>
      <w:r w:rsidRPr="00E830A4">
        <w:rPr>
          <w:sz w:val="18"/>
        </w:rPr>
        <w:t xml:space="preserve"> en materia de ampliación del plazo de respuesta, clasificación de la información y declaración de inexistencia o de incompetencia realicen los titulares de las áreas de los sujetos obligados;</w:t>
      </w:r>
    </w:p>
    <w:p w14:paraId="71A9467F" w14:textId="77777777" w:rsidR="00B04C7C" w:rsidRDefault="00B04C7C" w:rsidP="0028624B">
      <w:pPr>
        <w:pStyle w:val="Textonotapie"/>
        <w:jc w:val="both"/>
        <w:rPr>
          <w:sz w:val="18"/>
        </w:rPr>
      </w:pPr>
      <w:r w:rsidRPr="00E830A4">
        <w:rPr>
          <w:sz w:val="18"/>
        </w:rPr>
        <w:t>[…].</w:t>
      </w:r>
    </w:p>
    <w:p w14:paraId="06026269" w14:textId="77777777" w:rsidR="00B04C7C" w:rsidRPr="00E830A4" w:rsidRDefault="00B04C7C" w:rsidP="0028624B">
      <w:pPr>
        <w:pStyle w:val="Textonotapie"/>
        <w:jc w:val="both"/>
        <w:rPr>
          <w:sz w:val="18"/>
        </w:rPr>
      </w:pPr>
      <w:r w:rsidRPr="00E830A4">
        <w:rPr>
          <w:b/>
          <w:sz w:val="18"/>
        </w:rPr>
        <w:t>ARTÍCULO 117.</w:t>
      </w:r>
      <w:r w:rsidRPr="00E830A4">
        <w:rPr>
          <w:sz w:val="18"/>
        </w:rPr>
        <w:t xml:space="preserve"> En los casos en que se niegue el acceso a la información, por actualizarse alguno de los supuestos de clasificación, el Comité de Transparencia deberá confirmar, modificar o revocar la decisión.</w:t>
      </w:r>
    </w:p>
    <w:p w14:paraId="24861BC1" w14:textId="77777777" w:rsidR="00B04C7C" w:rsidRPr="00E830A4" w:rsidRDefault="00B04C7C" w:rsidP="0028624B">
      <w:pPr>
        <w:pStyle w:val="Textonotapie"/>
        <w:jc w:val="both"/>
        <w:rPr>
          <w:sz w:val="18"/>
        </w:rPr>
      </w:pPr>
      <w:r w:rsidRPr="00E830A4">
        <w:rPr>
          <w:sz w:val="18"/>
        </w:rPr>
        <w:t>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w:t>
      </w:r>
    </w:p>
    <w:p w14:paraId="47E38B23" w14:textId="77777777" w:rsidR="00B04C7C" w:rsidRDefault="00B04C7C" w:rsidP="0028624B">
      <w:pPr>
        <w:pStyle w:val="Textonotapie"/>
        <w:jc w:val="both"/>
      </w:pPr>
      <w:r w:rsidRPr="00E830A4">
        <w:rPr>
          <w:sz w:val="18"/>
        </w:rPr>
        <w:t>Tratándose de aquella información que actualice los supuestos de clasificación, deberá señalarse el plazo al que estará sujeto la reserva.</w:t>
      </w:r>
    </w:p>
  </w:footnote>
  <w:footnote w:id="11">
    <w:p w14:paraId="7F5D9740" w14:textId="77777777" w:rsidR="00B04C7C" w:rsidRPr="00E830A4" w:rsidRDefault="00B04C7C" w:rsidP="0028624B">
      <w:pPr>
        <w:pStyle w:val="Textonotapie"/>
        <w:jc w:val="both"/>
        <w:rPr>
          <w:sz w:val="18"/>
        </w:rPr>
      </w:pPr>
      <w:r w:rsidRPr="00E830A4">
        <w:rPr>
          <w:rStyle w:val="Refdenotaalpie"/>
          <w:sz w:val="18"/>
        </w:rPr>
        <w:footnoteRef/>
      </w:r>
      <w:r w:rsidRPr="00E830A4">
        <w:rPr>
          <w:sz w:val="18"/>
        </w:rPr>
        <w:t xml:space="preserve"> </w:t>
      </w:r>
      <w:r w:rsidRPr="00E830A4">
        <w:rPr>
          <w:b/>
          <w:sz w:val="18"/>
        </w:rPr>
        <w:t>ARTÍCULO 120.</w:t>
      </w:r>
      <w:r w:rsidRPr="00E830A4">
        <w:rPr>
          <w:sz w:val="18"/>
        </w:rPr>
        <w:t xml:space="preserve"> La clasificación de la información se llevará a cabo en el momento en que:</w:t>
      </w:r>
    </w:p>
    <w:p w14:paraId="448074C6" w14:textId="77777777" w:rsidR="00B04C7C" w:rsidRPr="00E830A4" w:rsidRDefault="00B04C7C" w:rsidP="0028624B">
      <w:pPr>
        <w:pStyle w:val="Textonotapie"/>
        <w:jc w:val="both"/>
        <w:rPr>
          <w:sz w:val="18"/>
        </w:rPr>
      </w:pPr>
      <w:r w:rsidRPr="00E830A4">
        <w:rPr>
          <w:sz w:val="18"/>
        </w:rPr>
        <w:t>I. Se reciba una solicitud de acceso a la información;</w:t>
      </w:r>
    </w:p>
    <w:p w14:paraId="0F0CB9F5" w14:textId="77777777" w:rsidR="00B04C7C" w:rsidRPr="00E830A4" w:rsidRDefault="00B04C7C" w:rsidP="0028624B">
      <w:pPr>
        <w:pStyle w:val="Textonotapie"/>
        <w:jc w:val="both"/>
        <w:rPr>
          <w:sz w:val="18"/>
        </w:rPr>
      </w:pPr>
      <w:r w:rsidRPr="00E830A4">
        <w:rPr>
          <w:sz w:val="18"/>
        </w:rPr>
        <w:t>II. Se determine mediante resolución de autoridad</w:t>
      </w:r>
      <w:r>
        <w:rPr>
          <w:sz w:val="18"/>
        </w:rPr>
        <w:t xml:space="preserve"> </w:t>
      </w:r>
      <w:r w:rsidRPr="00E830A4">
        <w:rPr>
          <w:sz w:val="18"/>
        </w:rPr>
        <w:t>competente, o</w:t>
      </w:r>
    </w:p>
    <w:p w14:paraId="7646A04D" w14:textId="77777777" w:rsidR="00B04C7C" w:rsidRDefault="00B04C7C" w:rsidP="0028624B">
      <w:pPr>
        <w:pStyle w:val="Textonotapie"/>
        <w:jc w:val="both"/>
      </w:pPr>
      <w:r w:rsidRPr="00E830A4">
        <w:rPr>
          <w:sz w:val="18"/>
        </w:rPr>
        <w:t>III. Se generen versiones públicas para dar cumplimiento a las obligaciones de transparencia</w:t>
      </w:r>
      <w:r>
        <w:rPr>
          <w:sz w:val="18"/>
        </w:rPr>
        <w:t xml:space="preserve"> </w:t>
      </w:r>
      <w:r w:rsidRPr="00E830A4">
        <w:rPr>
          <w:sz w:val="18"/>
        </w:rPr>
        <w:t>previstas en esta Ley.</w:t>
      </w:r>
    </w:p>
  </w:footnote>
  <w:footnote w:id="12">
    <w:p w14:paraId="232C1400" w14:textId="77777777" w:rsidR="00B04C7C" w:rsidRPr="00B04C7C" w:rsidRDefault="00B04C7C" w:rsidP="00B04C7C">
      <w:pPr>
        <w:pStyle w:val="Textonotapie"/>
        <w:jc w:val="both"/>
        <w:rPr>
          <w:sz w:val="18"/>
        </w:rPr>
      </w:pPr>
      <w:r w:rsidRPr="00B04C7C">
        <w:rPr>
          <w:rStyle w:val="Refdenotaalpie"/>
          <w:sz w:val="18"/>
        </w:rPr>
        <w:footnoteRef/>
      </w:r>
      <w:r w:rsidRPr="00B04C7C">
        <w:rPr>
          <w:sz w:val="18"/>
        </w:rPr>
        <w:t xml:space="preserve"> </w:t>
      </w:r>
      <w:r w:rsidRPr="00B04C7C">
        <w:rPr>
          <w:b/>
          <w:sz w:val="18"/>
        </w:rPr>
        <w:t>ARTÍCULO 129</w:t>
      </w:r>
      <w:r w:rsidRPr="00B04C7C">
        <w:rPr>
          <w:sz w:val="18"/>
        </w:rPr>
        <w:t>. Como información reservada podrá clasificarse aquella cuya publicación:</w:t>
      </w:r>
    </w:p>
    <w:p w14:paraId="6D080FAD" w14:textId="77777777" w:rsidR="00B04C7C" w:rsidRPr="00B04C7C" w:rsidRDefault="00B04C7C" w:rsidP="00B04C7C">
      <w:pPr>
        <w:pStyle w:val="Textonotapie"/>
        <w:jc w:val="both"/>
        <w:rPr>
          <w:sz w:val="18"/>
        </w:rPr>
      </w:pPr>
      <w:r w:rsidRPr="00B04C7C">
        <w:rPr>
          <w:sz w:val="18"/>
        </w:rPr>
        <w:t>[…]</w:t>
      </w:r>
    </w:p>
    <w:p w14:paraId="694E4B38" w14:textId="77777777" w:rsidR="00B04C7C" w:rsidRPr="00B04C7C" w:rsidRDefault="00B04C7C" w:rsidP="00B04C7C">
      <w:pPr>
        <w:pStyle w:val="Textonotapie"/>
        <w:jc w:val="both"/>
        <w:rPr>
          <w:sz w:val="18"/>
        </w:rPr>
      </w:pPr>
      <w:r w:rsidRPr="00B04C7C">
        <w:rPr>
          <w:sz w:val="18"/>
        </w:rPr>
        <w:t>X. Vulnere la conducción de los Expedientes judiciales o de los procedimientos administrativos seguidos en forma de juicio, en tanto no hayan causado estado;</w:t>
      </w:r>
    </w:p>
    <w:p w14:paraId="7BA8886B" w14:textId="77777777" w:rsidR="00B04C7C" w:rsidRDefault="00B04C7C" w:rsidP="00B04C7C">
      <w:pPr>
        <w:pStyle w:val="Textonotapie"/>
        <w:jc w:val="both"/>
      </w:pPr>
      <w:r w:rsidRPr="00B04C7C">
        <w:rPr>
          <w:sz w:val="18"/>
        </w:rPr>
        <w:t>[…].</w:t>
      </w:r>
    </w:p>
  </w:footnote>
  <w:footnote w:id="13">
    <w:p w14:paraId="0B86725A" w14:textId="77777777" w:rsidR="00B04C7C" w:rsidRDefault="00B04C7C" w:rsidP="00B04C7C">
      <w:pPr>
        <w:pStyle w:val="Textonotapie"/>
        <w:jc w:val="both"/>
        <w:rPr>
          <w:sz w:val="18"/>
        </w:rPr>
      </w:pPr>
      <w:r w:rsidRPr="00B04C7C">
        <w:rPr>
          <w:rStyle w:val="Refdenotaalpie"/>
          <w:sz w:val="18"/>
        </w:rPr>
        <w:footnoteRef/>
      </w:r>
      <w:r w:rsidRPr="00B04C7C">
        <w:rPr>
          <w:sz w:val="18"/>
        </w:rPr>
        <w:t xml:space="preserve"> </w:t>
      </w:r>
      <w:r w:rsidRPr="00B04C7C">
        <w:rPr>
          <w:b/>
          <w:sz w:val="18"/>
        </w:rPr>
        <w:t>Trigésimo.</w:t>
      </w:r>
      <w:r w:rsidRPr="00B04C7C">
        <w:rPr>
          <w:sz w:val="18"/>
        </w:rPr>
        <w:t xml:space="preserve"> De conformidad con el artículo 113, fracción XI de la Ley General, podrá considerarse como información reservada, aquella que vulnere la conducción de los expedientes judiciales o de los procedimientos administrativos seguidos en forma de juicio, siempre y cuando se acrediten los siguientes elementos: </w:t>
      </w:r>
    </w:p>
    <w:p w14:paraId="3FDD9560" w14:textId="77777777" w:rsidR="00B04C7C" w:rsidRDefault="00B04C7C" w:rsidP="00B04C7C">
      <w:pPr>
        <w:pStyle w:val="Textonotapie"/>
        <w:jc w:val="both"/>
        <w:rPr>
          <w:sz w:val="18"/>
        </w:rPr>
      </w:pPr>
      <w:r w:rsidRPr="00B04C7C">
        <w:rPr>
          <w:sz w:val="18"/>
        </w:rPr>
        <w:t xml:space="preserve">I. La existencia de un juicio o procedimiento administrativo materialmente jurisdiccional, que se encuentre en trámite, y </w:t>
      </w:r>
    </w:p>
    <w:p w14:paraId="32B863EF" w14:textId="77777777" w:rsidR="00B04C7C" w:rsidRDefault="00B04C7C" w:rsidP="00B04C7C">
      <w:pPr>
        <w:pStyle w:val="Textonotapie"/>
        <w:jc w:val="both"/>
        <w:rPr>
          <w:sz w:val="18"/>
        </w:rPr>
      </w:pPr>
      <w:r w:rsidRPr="00B04C7C">
        <w:rPr>
          <w:sz w:val="18"/>
        </w:rPr>
        <w:t xml:space="preserve">II. Que la información solicitada se refiera a actuaciones, diligencias o constancias propias del procedimiento. </w:t>
      </w:r>
    </w:p>
    <w:p w14:paraId="66DE9C6B" w14:textId="77777777" w:rsidR="00B04C7C" w:rsidRDefault="00B04C7C" w:rsidP="00B04C7C">
      <w:pPr>
        <w:pStyle w:val="Textonotapie"/>
        <w:jc w:val="both"/>
        <w:rPr>
          <w:sz w:val="18"/>
        </w:rPr>
      </w:pPr>
      <w:r w:rsidRPr="00B04C7C">
        <w:rPr>
          <w:sz w:val="18"/>
        </w:rPr>
        <w:t xml:space="preserve">Para los efectos del primer párrafo de este numeral, se considera procedimiento seguido en forma de juicio a aquel formalmente administrativo, pero materialmente jurisdiccional; esto es, en el que concurran los siguientes elementos: </w:t>
      </w:r>
    </w:p>
    <w:p w14:paraId="0523917D" w14:textId="77777777" w:rsidR="00B04C7C" w:rsidRDefault="00B04C7C" w:rsidP="00B04C7C">
      <w:pPr>
        <w:pStyle w:val="Textonotapie"/>
        <w:jc w:val="both"/>
        <w:rPr>
          <w:sz w:val="18"/>
        </w:rPr>
      </w:pPr>
      <w:r w:rsidRPr="00B04C7C">
        <w:rPr>
          <w:sz w:val="18"/>
        </w:rPr>
        <w:t xml:space="preserve">1. Que se trate de un procedimiento en el que la autoridad dirima una controversia entre partes contendientes, así como los procedimientos en que la autoridad, frente al particular, prepare su resolución definitiva, aunque sólo sea un trámite para cumplir con la garantía de audiencia, y </w:t>
      </w:r>
    </w:p>
    <w:p w14:paraId="40910901" w14:textId="77777777" w:rsidR="00B04C7C" w:rsidRDefault="00B04C7C" w:rsidP="00B04C7C">
      <w:pPr>
        <w:pStyle w:val="Textonotapie"/>
        <w:jc w:val="both"/>
      </w:pPr>
      <w:r w:rsidRPr="00B04C7C">
        <w:rPr>
          <w:sz w:val="18"/>
        </w:rPr>
        <w:t>2. Que se cumplan las formalidades esenciales del procedimiento. No serán objeto de reserva las resoluciones interlocutorias o definitivas que se dicten dentro de los procedimientos o con las que se concluya el mismo. En estos casos deberá otorgarse acceso a la resolución en versión pública, testando la información clasificada.</w:t>
      </w:r>
    </w:p>
  </w:footnote>
  <w:footnote w:id="14">
    <w:p w14:paraId="3777C180" w14:textId="77777777" w:rsidR="009A45AA" w:rsidRPr="009A45AA" w:rsidRDefault="009A45AA" w:rsidP="009A45AA">
      <w:pPr>
        <w:pStyle w:val="Textonotapie"/>
        <w:rPr>
          <w:sz w:val="18"/>
        </w:rPr>
      </w:pPr>
      <w:r>
        <w:rPr>
          <w:rStyle w:val="Refdenotaalpie"/>
        </w:rPr>
        <w:footnoteRef/>
      </w:r>
      <w:r>
        <w:t xml:space="preserve"> </w:t>
      </w:r>
      <w:r w:rsidRPr="009A45AA">
        <w:rPr>
          <w:b/>
          <w:sz w:val="18"/>
        </w:rPr>
        <w:t>ARTÍCULO 129</w:t>
      </w:r>
      <w:r w:rsidRPr="009A45AA">
        <w:rPr>
          <w:sz w:val="18"/>
        </w:rPr>
        <w:t>. Como información reservada podrá clasificarse aquella cuya publicación:</w:t>
      </w:r>
    </w:p>
    <w:p w14:paraId="08470DBE" w14:textId="77777777" w:rsidR="009A45AA" w:rsidRPr="009A45AA" w:rsidRDefault="009A45AA" w:rsidP="009A45AA">
      <w:pPr>
        <w:pStyle w:val="Textonotapie"/>
        <w:rPr>
          <w:sz w:val="18"/>
        </w:rPr>
      </w:pPr>
      <w:r w:rsidRPr="009A45AA">
        <w:rPr>
          <w:sz w:val="18"/>
        </w:rPr>
        <w:t>[…]</w:t>
      </w:r>
    </w:p>
    <w:p w14:paraId="28E6D504" w14:textId="48D02EF2" w:rsidR="009A45AA" w:rsidRPr="009A45AA" w:rsidRDefault="009A45AA" w:rsidP="009A45AA">
      <w:pPr>
        <w:pStyle w:val="Textonotapie"/>
        <w:rPr>
          <w:sz w:val="18"/>
        </w:rPr>
      </w:pPr>
      <w:r w:rsidRPr="009A45AA">
        <w:rPr>
          <w:sz w:val="18"/>
        </w:rPr>
        <w:t>VII. La que contenga las opiniones, recomendaciones o puntos de vista que formen parte del proceso deliberativo de los servidores públicos, hasta en tanto no sea adoptada la decisión definitiva, l</w:t>
      </w:r>
      <w:r>
        <w:rPr>
          <w:sz w:val="18"/>
        </w:rPr>
        <w:t>a cual deberá estar documentada</w:t>
      </w:r>
      <w:r w:rsidRPr="009A45AA">
        <w:rPr>
          <w:sz w:val="18"/>
        </w:rPr>
        <w:t>;</w:t>
      </w:r>
    </w:p>
    <w:p w14:paraId="13BD350F" w14:textId="74A57A73" w:rsidR="009A45AA" w:rsidRDefault="009A45AA">
      <w:pPr>
        <w:pStyle w:val="Textonotapie"/>
      </w:pPr>
      <w:r w:rsidRPr="009A45AA">
        <w:rPr>
          <w:sz w:val="18"/>
        </w:rPr>
        <w:t>[…].</w:t>
      </w:r>
    </w:p>
  </w:footnote>
  <w:footnote w:id="15">
    <w:p w14:paraId="4DF00958" w14:textId="27DE3898" w:rsidR="009A45AA" w:rsidRPr="009A45AA" w:rsidRDefault="009A45AA" w:rsidP="009A45AA">
      <w:pPr>
        <w:pStyle w:val="Textonotapie"/>
        <w:jc w:val="both"/>
      </w:pPr>
      <w:r w:rsidRPr="009A45AA">
        <w:rPr>
          <w:rStyle w:val="Refdenotaalpie"/>
          <w:sz w:val="18"/>
        </w:rPr>
        <w:footnoteRef/>
      </w:r>
      <w:r w:rsidRPr="009A45AA">
        <w:rPr>
          <w:sz w:val="18"/>
        </w:rPr>
        <w:t xml:space="preserve"> Vigésimo séptimo. De conformidad con el artículo 113, fracción VIII de la Ley General, podrá considerarse como información reservada, aquella que contenga las opiniones, recomendaciones o puntos de vista que formen parte del proceso deliberativo de los servidores públicos, hasta en tanto no sea adoptada la decisión definitiva, la cual deberá estar documentada. Para tal efecto, el sujeto obligado deberá acreditar lo siguiente: I. La existencia de un proceso deliberativo en curso, precisando la fecha de inicio; II. Que la información consista en opiniones, recomendaciones o puntos de vista de los servidores públicos que participan en el proceso deliberativo; III. Que la información se encuentre relacionada, de manera directa, con el proceso deliberativo, y IV. Que con su difusión se pueda llegar a interrumpir, menoscabar o inhibir el diseño, negociación, determinación o implementación de los asuntos sometidos a deliberación. Cuando se trate de insumos informativos o de apoyo para el proceso deliberativo, únicamente podrá clasificarse aquella información que se encuentre directamente relacionada con la toma de decisiones y que con su difusión pueda llegar a interrumpir, menoscabar o inhibir el diseño, negociación o implementación de los asuntos sometidos a deliberación. Se considera concluido el proceso deliberativo cuando se adopte de manera concluyente la última determinación, sea o no susceptible de ejecución; cuando el proceso haya quedado sin materia, o cuando por cualquier causa no sea posible continuar con su desarrollo. En el caso de que la solicitud de acceso se turne a un área distinta de la responsable de tomar la decisión definitiva y se desconozca si ésta ha sido adoptada, el área receptora deberá consultar a la responsable, a efecto de determinar si es procedente otorgar el acceso a la información solicitada. En estos casos, no se interrumpirá el plazo para dar respuesta a la solicitud de información. Tratándose de partidos políticos, se considerará reservada la información relativa a los procesos deliberativos de sus órganos internos; la correspondiente a sus estrategias políticas, así como los estudios, encuestas y análisis utilizados para el desarrollo e implementación de dichas estrategias.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B04C7C" w:rsidRDefault="00B04C7C">
        <w:pPr>
          <w:pStyle w:val="Encabezado"/>
          <w:jc w:val="center"/>
        </w:pPr>
      </w:p>
      <w:p w14:paraId="5AEDE41B" w14:textId="77777777" w:rsidR="00B04C7C" w:rsidRDefault="00B04C7C">
        <w:pPr>
          <w:pStyle w:val="Encabezado"/>
          <w:jc w:val="center"/>
        </w:pPr>
      </w:p>
      <w:p w14:paraId="4FAD023F" w14:textId="6A754645" w:rsidR="00B04C7C" w:rsidRDefault="00B04C7C">
        <w:pPr>
          <w:pStyle w:val="Encabezado"/>
          <w:jc w:val="center"/>
        </w:pPr>
        <w:r>
          <w:fldChar w:fldCharType="begin"/>
        </w:r>
        <w:r>
          <w:instrText>PAGE   \* MERGEFORMAT</w:instrText>
        </w:r>
        <w:r>
          <w:fldChar w:fldCharType="separate"/>
        </w:r>
        <w:r w:rsidR="002871FD" w:rsidRPr="002871FD">
          <w:rPr>
            <w:noProof/>
            <w:lang w:val="es-ES"/>
          </w:rPr>
          <w:t>2</w:t>
        </w:r>
        <w:r>
          <w:fldChar w:fldCharType="end"/>
        </w:r>
      </w:p>
    </w:sdtContent>
  </w:sdt>
  <w:p w14:paraId="3407CE7F" w14:textId="00BB81B8" w:rsidR="00B04C7C" w:rsidRDefault="00B04C7C" w:rsidP="00403C89">
    <w:pPr>
      <w:pStyle w:val="Encabezado"/>
      <w:jc w:val="right"/>
    </w:pPr>
    <w:r>
      <w:t>RECURSO DE REVISIÓN 1283/2024-1</w:t>
    </w:r>
  </w:p>
  <w:p w14:paraId="30F5D71D" w14:textId="77777777" w:rsidR="00B04C7C" w:rsidRDefault="00B04C7C">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472D4A01" w:rsidR="00B04C7C" w:rsidRDefault="00B04C7C"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2871FD" w:rsidRPr="002871FD">
          <w:rPr>
            <w:noProof/>
            <w:lang w:val="es-ES"/>
          </w:rPr>
          <w:t>1</w:t>
        </w:r>
        <w:r>
          <w:fldChar w:fldCharType="end"/>
        </w:r>
        <w:r>
          <w:t xml:space="preserve">                                  </w:t>
        </w:r>
      </w:p>
      <w:p w14:paraId="4B8CFE5F" w14:textId="77777777" w:rsidR="00B04C7C" w:rsidRDefault="00B04C7C" w:rsidP="00125FB7">
        <w:pPr>
          <w:pStyle w:val="Encabezado"/>
          <w:jc w:val="right"/>
        </w:pPr>
      </w:p>
      <w:p w14:paraId="33FF87E3" w14:textId="6D88ECDB" w:rsidR="00B04C7C" w:rsidRDefault="00B04C7C" w:rsidP="00403C89">
        <w:pPr>
          <w:pStyle w:val="Encabezado"/>
          <w:jc w:val="right"/>
        </w:pPr>
        <w:r>
          <w:t>RECURSO DE REVISIÓN 1283/2024-1</w:t>
        </w:r>
      </w:p>
      <w:p w14:paraId="1F581E29" w14:textId="484A7B4B" w:rsidR="00B04C7C" w:rsidRDefault="00EF6327" w:rsidP="00125FB7">
        <w:pPr>
          <w:pStyle w:val="Encabezado"/>
          <w:jc w:val="right"/>
        </w:pPr>
      </w:p>
    </w:sdtContent>
  </w:sdt>
  <w:p w14:paraId="1289C4E4" w14:textId="31ADB116" w:rsidR="00B04C7C" w:rsidRDefault="00B04C7C">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2C36914A"/>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7"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0"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2" w15:restartNumberingAfterBreak="0">
    <w:nsid w:val="33630ADA"/>
    <w:multiLevelType w:val="hybridMultilevel"/>
    <w:tmpl w:val="EF7281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4"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5"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9"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A46158C"/>
    <w:multiLevelType w:val="hybridMultilevel"/>
    <w:tmpl w:val="E09A21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1"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2"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3"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0"/>
  </w:num>
  <w:num w:numId="2">
    <w:abstractNumId w:val="0"/>
  </w:num>
  <w:num w:numId="3">
    <w:abstractNumId w:val="1"/>
  </w:num>
  <w:num w:numId="4">
    <w:abstractNumId w:val="3"/>
  </w:num>
  <w:num w:numId="5">
    <w:abstractNumId w:val="32"/>
  </w:num>
  <w:num w:numId="6">
    <w:abstractNumId w:val="15"/>
  </w:num>
  <w:num w:numId="7">
    <w:abstractNumId w:val="20"/>
  </w:num>
  <w:num w:numId="8">
    <w:abstractNumId w:val="24"/>
  </w:num>
  <w:num w:numId="9">
    <w:abstractNumId w:val="4"/>
  </w:num>
  <w:num w:numId="10">
    <w:abstractNumId w:val="29"/>
  </w:num>
  <w:num w:numId="11">
    <w:abstractNumId w:val="8"/>
  </w:num>
  <w:num w:numId="12">
    <w:abstractNumId w:val="25"/>
  </w:num>
  <w:num w:numId="13">
    <w:abstractNumId w:val="18"/>
  </w:num>
  <w:num w:numId="14">
    <w:abstractNumId w:val="9"/>
  </w:num>
  <w:num w:numId="15">
    <w:abstractNumId w:val="28"/>
  </w:num>
  <w:num w:numId="16">
    <w:abstractNumId w:val="5"/>
  </w:num>
  <w:num w:numId="17">
    <w:abstractNumId w:val="2"/>
  </w:num>
  <w:num w:numId="18">
    <w:abstractNumId w:val="13"/>
  </w:num>
  <w:num w:numId="19">
    <w:abstractNumId w:val="17"/>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num>
  <w:num w:numId="22">
    <w:abstractNumId w:val="22"/>
  </w:num>
  <w:num w:numId="23">
    <w:abstractNumId w:val="27"/>
  </w:num>
  <w:num w:numId="24">
    <w:abstractNumId w:val="33"/>
  </w:num>
  <w:num w:numId="25">
    <w:abstractNumId w:val="16"/>
  </w:num>
  <w:num w:numId="26">
    <w:abstractNumId w:val="30"/>
  </w:num>
  <w:num w:numId="27">
    <w:abstractNumId w:val="7"/>
  </w:num>
  <w:num w:numId="28">
    <w:abstractNumId w:val="31"/>
  </w:num>
  <w:num w:numId="29">
    <w:abstractNumId w:val="26"/>
  </w:num>
  <w:num w:numId="30">
    <w:abstractNumId w:val="19"/>
  </w:num>
  <w:num w:numId="31">
    <w:abstractNumId w:val="23"/>
  </w:num>
  <w:num w:numId="32">
    <w:abstractNumId w:val="6"/>
  </w:num>
  <w:num w:numId="33">
    <w:abstractNumId w:val="11"/>
  </w:num>
  <w:num w:numId="34">
    <w:abstractNumId w:val="12"/>
  </w:num>
  <w:num w:numId="35">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AB5"/>
    <w:rsid w:val="00003DC1"/>
    <w:rsid w:val="000048AE"/>
    <w:rsid w:val="00004D3C"/>
    <w:rsid w:val="000066AD"/>
    <w:rsid w:val="00010DA2"/>
    <w:rsid w:val="00010FE8"/>
    <w:rsid w:val="00011D20"/>
    <w:rsid w:val="000122D2"/>
    <w:rsid w:val="00012C7F"/>
    <w:rsid w:val="00012E2D"/>
    <w:rsid w:val="00012F23"/>
    <w:rsid w:val="00013409"/>
    <w:rsid w:val="00013758"/>
    <w:rsid w:val="000142A2"/>
    <w:rsid w:val="000149F3"/>
    <w:rsid w:val="00015009"/>
    <w:rsid w:val="00015A95"/>
    <w:rsid w:val="0001630E"/>
    <w:rsid w:val="000163C6"/>
    <w:rsid w:val="00016961"/>
    <w:rsid w:val="00017BB1"/>
    <w:rsid w:val="00020321"/>
    <w:rsid w:val="000204DB"/>
    <w:rsid w:val="000204FD"/>
    <w:rsid w:val="00020754"/>
    <w:rsid w:val="0002158C"/>
    <w:rsid w:val="00022417"/>
    <w:rsid w:val="00022854"/>
    <w:rsid w:val="00023148"/>
    <w:rsid w:val="00023196"/>
    <w:rsid w:val="00023DDC"/>
    <w:rsid w:val="00024A0D"/>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6122"/>
    <w:rsid w:val="000362A8"/>
    <w:rsid w:val="00037BEF"/>
    <w:rsid w:val="000403DC"/>
    <w:rsid w:val="0004040F"/>
    <w:rsid w:val="000413FE"/>
    <w:rsid w:val="00041CB5"/>
    <w:rsid w:val="0004234A"/>
    <w:rsid w:val="0004274F"/>
    <w:rsid w:val="0004294E"/>
    <w:rsid w:val="00042BD6"/>
    <w:rsid w:val="00042C17"/>
    <w:rsid w:val="00043069"/>
    <w:rsid w:val="00043A51"/>
    <w:rsid w:val="00043BE1"/>
    <w:rsid w:val="00043F1D"/>
    <w:rsid w:val="000442C8"/>
    <w:rsid w:val="000450EB"/>
    <w:rsid w:val="00045779"/>
    <w:rsid w:val="0004680C"/>
    <w:rsid w:val="000475EF"/>
    <w:rsid w:val="000476BE"/>
    <w:rsid w:val="000515EE"/>
    <w:rsid w:val="000524E8"/>
    <w:rsid w:val="00052535"/>
    <w:rsid w:val="000528D0"/>
    <w:rsid w:val="00052D0C"/>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132B"/>
    <w:rsid w:val="000713A9"/>
    <w:rsid w:val="0007175D"/>
    <w:rsid w:val="00071C60"/>
    <w:rsid w:val="000728F5"/>
    <w:rsid w:val="00072F69"/>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32E8"/>
    <w:rsid w:val="000944FF"/>
    <w:rsid w:val="00095124"/>
    <w:rsid w:val="00095140"/>
    <w:rsid w:val="00096AE6"/>
    <w:rsid w:val="000A069A"/>
    <w:rsid w:val="000A15C7"/>
    <w:rsid w:val="000A1695"/>
    <w:rsid w:val="000A4CCE"/>
    <w:rsid w:val="000A5C54"/>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726"/>
    <w:rsid w:val="000C3AC2"/>
    <w:rsid w:val="000C44B4"/>
    <w:rsid w:val="000C4681"/>
    <w:rsid w:val="000C5A0A"/>
    <w:rsid w:val="000C651F"/>
    <w:rsid w:val="000C7703"/>
    <w:rsid w:val="000C7763"/>
    <w:rsid w:val="000D01A3"/>
    <w:rsid w:val="000D1A27"/>
    <w:rsid w:val="000D2B1F"/>
    <w:rsid w:val="000D2DDA"/>
    <w:rsid w:val="000D3CDB"/>
    <w:rsid w:val="000D4362"/>
    <w:rsid w:val="000D4606"/>
    <w:rsid w:val="000D589A"/>
    <w:rsid w:val="000D5AE4"/>
    <w:rsid w:val="000D5F96"/>
    <w:rsid w:val="000D6CBC"/>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100D51"/>
    <w:rsid w:val="00100E65"/>
    <w:rsid w:val="00101D9B"/>
    <w:rsid w:val="00102274"/>
    <w:rsid w:val="00102353"/>
    <w:rsid w:val="0010246E"/>
    <w:rsid w:val="00102D16"/>
    <w:rsid w:val="00102E9E"/>
    <w:rsid w:val="0010335D"/>
    <w:rsid w:val="00103587"/>
    <w:rsid w:val="00104D94"/>
    <w:rsid w:val="00105712"/>
    <w:rsid w:val="0010582A"/>
    <w:rsid w:val="001066AF"/>
    <w:rsid w:val="00106B48"/>
    <w:rsid w:val="00106E39"/>
    <w:rsid w:val="00107681"/>
    <w:rsid w:val="0011106A"/>
    <w:rsid w:val="00111B8C"/>
    <w:rsid w:val="001139E8"/>
    <w:rsid w:val="0011415A"/>
    <w:rsid w:val="0011417A"/>
    <w:rsid w:val="00114B4F"/>
    <w:rsid w:val="00116CBC"/>
    <w:rsid w:val="00117EFC"/>
    <w:rsid w:val="00117F76"/>
    <w:rsid w:val="001204E0"/>
    <w:rsid w:val="00121981"/>
    <w:rsid w:val="001234AC"/>
    <w:rsid w:val="00123D7F"/>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A56"/>
    <w:rsid w:val="00132062"/>
    <w:rsid w:val="00132B4A"/>
    <w:rsid w:val="00132E47"/>
    <w:rsid w:val="00133F96"/>
    <w:rsid w:val="00135019"/>
    <w:rsid w:val="00136B1A"/>
    <w:rsid w:val="0013755E"/>
    <w:rsid w:val="00141314"/>
    <w:rsid w:val="00141F55"/>
    <w:rsid w:val="00143CF3"/>
    <w:rsid w:val="00143E86"/>
    <w:rsid w:val="001453D7"/>
    <w:rsid w:val="001458BC"/>
    <w:rsid w:val="001463BA"/>
    <w:rsid w:val="00146903"/>
    <w:rsid w:val="00146EA8"/>
    <w:rsid w:val="00147FD1"/>
    <w:rsid w:val="0015001F"/>
    <w:rsid w:val="00150455"/>
    <w:rsid w:val="00150901"/>
    <w:rsid w:val="001516BA"/>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DAD"/>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80298"/>
    <w:rsid w:val="001805AD"/>
    <w:rsid w:val="00181FF7"/>
    <w:rsid w:val="001834E9"/>
    <w:rsid w:val="001837C1"/>
    <w:rsid w:val="00183ABD"/>
    <w:rsid w:val="00184D50"/>
    <w:rsid w:val="00184F84"/>
    <w:rsid w:val="00185470"/>
    <w:rsid w:val="0018551E"/>
    <w:rsid w:val="0018577C"/>
    <w:rsid w:val="00185DFB"/>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8FD"/>
    <w:rsid w:val="001B19BD"/>
    <w:rsid w:val="001B288C"/>
    <w:rsid w:val="001B2998"/>
    <w:rsid w:val="001B2D9C"/>
    <w:rsid w:val="001B3B40"/>
    <w:rsid w:val="001B4184"/>
    <w:rsid w:val="001B48A1"/>
    <w:rsid w:val="001B50BB"/>
    <w:rsid w:val="001B6A86"/>
    <w:rsid w:val="001B6BC4"/>
    <w:rsid w:val="001B751D"/>
    <w:rsid w:val="001B7749"/>
    <w:rsid w:val="001C1864"/>
    <w:rsid w:val="001C1CFD"/>
    <w:rsid w:val="001C209E"/>
    <w:rsid w:val="001C2C42"/>
    <w:rsid w:val="001C400C"/>
    <w:rsid w:val="001C4CBB"/>
    <w:rsid w:val="001C4F1E"/>
    <w:rsid w:val="001C5317"/>
    <w:rsid w:val="001C54AF"/>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E0E77"/>
    <w:rsid w:val="001E17C7"/>
    <w:rsid w:val="001E1F04"/>
    <w:rsid w:val="001E27F5"/>
    <w:rsid w:val="001E46F0"/>
    <w:rsid w:val="001E4A97"/>
    <w:rsid w:val="001E4B8D"/>
    <w:rsid w:val="001E5BCA"/>
    <w:rsid w:val="001E5D8A"/>
    <w:rsid w:val="001E6071"/>
    <w:rsid w:val="001E6629"/>
    <w:rsid w:val="001E7191"/>
    <w:rsid w:val="001E75A0"/>
    <w:rsid w:val="001E79BD"/>
    <w:rsid w:val="001F1467"/>
    <w:rsid w:val="001F3E30"/>
    <w:rsid w:val="001F433D"/>
    <w:rsid w:val="001F51BE"/>
    <w:rsid w:val="001F5274"/>
    <w:rsid w:val="001F5396"/>
    <w:rsid w:val="001F5ADD"/>
    <w:rsid w:val="001F6FCA"/>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33C5"/>
    <w:rsid w:val="002235AA"/>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8D1"/>
    <w:rsid w:val="00237F84"/>
    <w:rsid w:val="00237FFD"/>
    <w:rsid w:val="0024038E"/>
    <w:rsid w:val="00241713"/>
    <w:rsid w:val="00241820"/>
    <w:rsid w:val="00243440"/>
    <w:rsid w:val="00243809"/>
    <w:rsid w:val="00243B84"/>
    <w:rsid w:val="0024465B"/>
    <w:rsid w:val="00245AD7"/>
    <w:rsid w:val="00245BF6"/>
    <w:rsid w:val="00245CDE"/>
    <w:rsid w:val="0024626C"/>
    <w:rsid w:val="00247507"/>
    <w:rsid w:val="00250873"/>
    <w:rsid w:val="00250A5F"/>
    <w:rsid w:val="00251305"/>
    <w:rsid w:val="0025151D"/>
    <w:rsid w:val="00251778"/>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1466"/>
    <w:rsid w:val="002617A4"/>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53A"/>
    <w:rsid w:val="00267DBD"/>
    <w:rsid w:val="002711B4"/>
    <w:rsid w:val="00271861"/>
    <w:rsid w:val="00271912"/>
    <w:rsid w:val="00271C6C"/>
    <w:rsid w:val="002724F9"/>
    <w:rsid w:val="00273646"/>
    <w:rsid w:val="0027610D"/>
    <w:rsid w:val="002763CF"/>
    <w:rsid w:val="0027648C"/>
    <w:rsid w:val="00280271"/>
    <w:rsid w:val="00281029"/>
    <w:rsid w:val="002818C9"/>
    <w:rsid w:val="00281FB3"/>
    <w:rsid w:val="00283D21"/>
    <w:rsid w:val="00285876"/>
    <w:rsid w:val="00285ED9"/>
    <w:rsid w:val="002860E5"/>
    <w:rsid w:val="00286139"/>
    <w:rsid w:val="0028624B"/>
    <w:rsid w:val="0028655D"/>
    <w:rsid w:val="00286C5C"/>
    <w:rsid w:val="00286D54"/>
    <w:rsid w:val="002871FD"/>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430C"/>
    <w:rsid w:val="002A4D6F"/>
    <w:rsid w:val="002A5765"/>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506F"/>
    <w:rsid w:val="002D5CF9"/>
    <w:rsid w:val="002D5F1C"/>
    <w:rsid w:val="002D63B1"/>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B95"/>
    <w:rsid w:val="003035AD"/>
    <w:rsid w:val="00303BDF"/>
    <w:rsid w:val="00303E78"/>
    <w:rsid w:val="00304BF5"/>
    <w:rsid w:val="00305125"/>
    <w:rsid w:val="003054C7"/>
    <w:rsid w:val="00307DF2"/>
    <w:rsid w:val="00307EFA"/>
    <w:rsid w:val="0031085F"/>
    <w:rsid w:val="00310B53"/>
    <w:rsid w:val="00311906"/>
    <w:rsid w:val="00312052"/>
    <w:rsid w:val="003128D9"/>
    <w:rsid w:val="00312C1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3B68"/>
    <w:rsid w:val="0034477F"/>
    <w:rsid w:val="00344A6F"/>
    <w:rsid w:val="00344D10"/>
    <w:rsid w:val="00345AAD"/>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77E1D"/>
    <w:rsid w:val="00380AFE"/>
    <w:rsid w:val="00380FCA"/>
    <w:rsid w:val="003813BD"/>
    <w:rsid w:val="003816EE"/>
    <w:rsid w:val="00383944"/>
    <w:rsid w:val="00383BB6"/>
    <w:rsid w:val="00383D2A"/>
    <w:rsid w:val="0038405A"/>
    <w:rsid w:val="003848C3"/>
    <w:rsid w:val="003854F9"/>
    <w:rsid w:val="003857F0"/>
    <w:rsid w:val="00385C09"/>
    <w:rsid w:val="00385E4D"/>
    <w:rsid w:val="003864ED"/>
    <w:rsid w:val="00386CDA"/>
    <w:rsid w:val="00386CDC"/>
    <w:rsid w:val="0038760F"/>
    <w:rsid w:val="003876CA"/>
    <w:rsid w:val="003877FA"/>
    <w:rsid w:val="0039001C"/>
    <w:rsid w:val="0039064B"/>
    <w:rsid w:val="003917B1"/>
    <w:rsid w:val="00391BCF"/>
    <w:rsid w:val="00391F31"/>
    <w:rsid w:val="00392D97"/>
    <w:rsid w:val="00392F37"/>
    <w:rsid w:val="0039337A"/>
    <w:rsid w:val="00393522"/>
    <w:rsid w:val="00393697"/>
    <w:rsid w:val="00393856"/>
    <w:rsid w:val="00393C44"/>
    <w:rsid w:val="003940D1"/>
    <w:rsid w:val="003944DF"/>
    <w:rsid w:val="00396F07"/>
    <w:rsid w:val="003A01DE"/>
    <w:rsid w:val="003A03AA"/>
    <w:rsid w:val="003A0EA0"/>
    <w:rsid w:val="003A171F"/>
    <w:rsid w:val="003A1C98"/>
    <w:rsid w:val="003A2315"/>
    <w:rsid w:val="003A294C"/>
    <w:rsid w:val="003A331B"/>
    <w:rsid w:val="003A3516"/>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622"/>
    <w:rsid w:val="003B5CA7"/>
    <w:rsid w:val="003B6C9B"/>
    <w:rsid w:val="003B6CF9"/>
    <w:rsid w:val="003B6EB3"/>
    <w:rsid w:val="003B7500"/>
    <w:rsid w:val="003B7C38"/>
    <w:rsid w:val="003B7C60"/>
    <w:rsid w:val="003C1BA6"/>
    <w:rsid w:val="003C2226"/>
    <w:rsid w:val="003C258D"/>
    <w:rsid w:val="003C27B4"/>
    <w:rsid w:val="003C2A71"/>
    <w:rsid w:val="003C2A7C"/>
    <w:rsid w:val="003C2C66"/>
    <w:rsid w:val="003C2DB6"/>
    <w:rsid w:val="003C4758"/>
    <w:rsid w:val="003C4BA6"/>
    <w:rsid w:val="003C5198"/>
    <w:rsid w:val="003C5864"/>
    <w:rsid w:val="003C59C8"/>
    <w:rsid w:val="003C7459"/>
    <w:rsid w:val="003C7A42"/>
    <w:rsid w:val="003D054C"/>
    <w:rsid w:val="003D1073"/>
    <w:rsid w:val="003D1446"/>
    <w:rsid w:val="003D18F8"/>
    <w:rsid w:val="003D257A"/>
    <w:rsid w:val="003D2911"/>
    <w:rsid w:val="003D3FEA"/>
    <w:rsid w:val="003D4E97"/>
    <w:rsid w:val="003D5449"/>
    <w:rsid w:val="003D5A1A"/>
    <w:rsid w:val="003D6998"/>
    <w:rsid w:val="003D6ECF"/>
    <w:rsid w:val="003D7603"/>
    <w:rsid w:val="003D770B"/>
    <w:rsid w:val="003D7984"/>
    <w:rsid w:val="003E0A78"/>
    <w:rsid w:val="003E0B92"/>
    <w:rsid w:val="003E1283"/>
    <w:rsid w:val="003E15F7"/>
    <w:rsid w:val="003E1649"/>
    <w:rsid w:val="003E298C"/>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CB9"/>
    <w:rsid w:val="003F4DBF"/>
    <w:rsid w:val="003F504F"/>
    <w:rsid w:val="003F523D"/>
    <w:rsid w:val="003F60BF"/>
    <w:rsid w:val="003F6927"/>
    <w:rsid w:val="003F73A5"/>
    <w:rsid w:val="003F78A3"/>
    <w:rsid w:val="00400AAC"/>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1541"/>
    <w:rsid w:val="004515BA"/>
    <w:rsid w:val="00451CBA"/>
    <w:rsid w:val="00452A0E"/>
    <w:rsid w:val="0045461C"/>
    <w:rsid w:val="0045467A"/>
    <w:rsid w:val="00454FA4"/>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7104"/>
    <w:rsid w:val="0047789D"/>
    <w:rsid w:val="004801F0"/>
    <w:rsid w:val="0048065E"/>
    <w:rsid w:val="00480745"/>
    <w:rsid w:val="00480C41"/>
    <w:rsid w:val="00480F0F"/>
    <w:rsid w:val="00481F16"/>
    <w:rsid w:val="00482B04"/>
    <w:rsid w:val="00483017"/>
    <w:rsid w:val="004834E3"/>
    <w:rsid w:val="004837F0"/>
    <w:rsid w:val="0048445E"/>
    <w:rsid w:val="00484B1D"/>
    <w:rsid w:val="00484B3D"/>
    <w:rsid w:val="00484B91"/>
    <w:rsid w:val="0048512F"/>
    <w:rsid w:val="00485ADC"/>
    <w:rsid w:val="004861E9"/>
    <w:rsid w:val="00487182"/>
    <w:rsid w:val="004873AC"/>
    <w:rsid w:val="004877CC"/>
    <w:rsid w:val="004905F4"/>
    <w:rsid w:val="004908DD"/>
    <w:rsid w:val="00490AAA"/>
    <w:rsid w:val="00491EB9"/>
    <w:rsid w:val="00491F18"/>
    <w:rsid w:val="0049219E"/>
    <w:rsid w:val="004939FA"/>
    <w:rsid w:val="00493B1A"/>
    <w:rsid w:val="00493BEE"/>
    <w:rsid w:val="00493E63"/>
    <w:rsid w:val="004946B6"/>
    <w:rsid w:val="00495583"/>
    <w:rsid w:val="0049563A"/>
    <w:rsid w:val="00496934"/>
    <w:rsid w:val="004970ED"/>
    <w:rsid w:val="0049723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201D"/>
    <w:rsid w:val="004B2B4C"/>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97F"/>
    <w:rsid w:val="004F0E5E"/>
    <w:rsid w:val="004F108B"/>
    <w:rsid w:val="004F279A"/>
    <w:rsid w:val="004F35CA"/>
    <w:rsid w:val="004F497E"/>
    <w:rsid w:val="004F524B"/>
    <w:rsid w:val="004F6065"/>
    <w:rsid w:val="004F6314"/>
    <w:rsid w:val="004F6F21"/>
    <w:rsid w:val="0050032E"/>
    <w:rsid w:val="00500EEC"/>
    <w:rsid w:val="005015C3"/>
    <w:rsid w:val="00501A84"/>
    <w:rsid w:val="00501BDE"/>
    <w:rsid w:val="00502F67"/>
    <w:rsid w:val="00503888"/>
    <w:rsid w:val="005038E8"/>
    <w:rsid w:val="00504DB1"/>
    <w:rsid w:val="005052AF"/>
    <w:rsid w:val="00506847"/>
    <w:rsid w:val="00510F43"/>
    <w:rsid w:val="00511894"/>
    <w:rsid w:val="00511F29"/>
    <w:rsid w:val="0051323B"/>
    <w:rsid w:val="005138A0"/>
    <w:rsid w:val="00513B0E"/>
    <w:rsid w:val="00513E31"/>
    <w:rsid w:val="00513FEA"/>
    <w:rsid w:val="00515CA5"/>
    <w:rsid w:val="00515D9F"/>
    <w:rsid w:val="005160E3"/>
    <w:rsid w:val="00516646"/>
    <w:rsid w:val="005177C9"/>
    <w:rsid w:val="00517C80"/>
    <w:rsid w:val="0052063B"/>
    <w:rsid w:val="0052120D"/>
    <w:rsid w:val="00521691"/>
    <w:rsid w:val="00522A09"/>
    <w:rsid w:val="00523794"/>
    <w:rsid w:val="00523917"/>
    <w:rsid w:val="005256ED"/>
    <w:rsid w:val="005258C4"/>
    <w:rsid w:val="005258CD"/>
    <w:rsid w:val="00525D45"/>
    <w:rsid w:val="00526684"/>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4127"/>
    <w:rsid w:val="00544825"/>
    <w:rsid w:val="00544C56"/>
    <w:rsid w:val="00545813"/>
    <w:rsid w:val="00545FD3"/>
    <w:rsid w:val="0054603A"/>
    <w:rsid w:val="005473AB"/>
    <w:rsid w:val="0054744E"/>
    <w:rsid w:val="0054763A"/>
    <w:rsid w:val="005519B5"/>
    <w:rsid w:val="005526C0"/>
    <w:rsid w:val="00553010"/>
    <w:rsid w:val="005535F1"/>
    <w:rsid w:val="00553BE4"/>
    <w:rsid w:val="005545CB"/>
    <w:rsid w:val="00554F9D"/>
    <w:rsid w:val="00555255"/>
    <w:rsid w:val="00555517"/>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78E"/>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1B85"/>
    <w:rsid w:val="005A1C01"/>
    <w:rsid w:val="005A2679"/>
    <w:rsid w:val="005A36E3"/>
    <w:rsid w:val="005A3729"/>
    <w:rsid w:val="005A3D47"/>
    <w:rsid w:val="005A4133"/>
    <w:rsid w:val="005A4298"/>
    <w:rsid w:val="005A42ED"/>
    <w:rsid w:val="005A4764"/>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47C"/>
    <w:rsid w:val="005B75CC"/>
    <w:rsid w:val="005C0399"/>
    <w:rsid w:val="005C26EC"/>
    <w:rsid w:val="005C39E5"/>
    <w:rsid w:val="005C3F95"/>
    <w:rsid w:val="005C467A"/>
    <w:rsid w:val="005C4C3F"/>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EB6"/>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4BC3"/>
    <w:rsid w:val="006159D1"/>
    <w:rsid w:val="006166F7"/>
    <w:rsid w:val="00616F4B"/>
    <w:rsid w:val="00617B18"/>
    <w:rsid w:val="0062031D"/>
    <w:rsid w:val="00620582"/>
    <w:rsid w:val="006209E4"/>
    <w:rsid w:val="00620CA5"/>
    <w:rsid w:val="00621103"/>
    <w:rsid w:val="00621433"/>
    <w:rsid w:val="006214E7"/>
    <w:rsid w:val="0062168C"/>
    <w:rsid w:val="00622D9B"/>
    <w:rsid w:val="00622E2A"/>
    <w:rsid w:val="0062536E"/>
    <w:rsid w:val="006254F5"/>
    <w:rsid w:val="00626491"/>
    <w:rsid w:val="00630546"/>
    <w:rsid w:val="00630835"/>
    <w:rsid w:val="00631629"/>
    <w:rsid w:val="0063328B"/>
    <w:rsid w:val="006334B5"/>
    <w:rsid w:val="00634179"/>
    <w:rsid w:val="00634281"/>
    <w:rsid w:val="00634A36"/>
    <w:rsid w:val="00636A24"/>
    <w:rsid w:val="00636A6A"/>
    <w:rsid w:val="00636B2E"/>
    <w:rsid w:val="00637967"/>
    <w:rsid w:val="00637AC5"/>
    <w:rsid w:val="006408AE"/>
    <w:rsid w:val="00640A87"/>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759"/>
    <w:rsid w:val="00647769"/>
    <w:rsid w:val="00650A93"/>
    <w:rsid w:val="0065124E"/>
    <w:rsid w:val="00651398"/>
    <w:rsid w:val="006526FD"/>
    <w:rsid w:val="006533E0"/>
    <w:rsid w:val="00653626"/>
    <w:rsid w:val="0065388B"/>
    <w:rsid w:val="00653B91"/>
    <w:rsid w:val="0065410F"/>
    <w:rsid w:val="0065438D"/>
    <w:rsid w:val="00654A6B"/>
    <w:rsid w:val="00656156"/>
    <w:rsid w:val="00656612"/>
    <w:rsid w:val="0065674B"/>
    <w:rsid w:val="0065732B"/>
    <w:rsid w:val="00657A85"/>
    <w:rsid w:val="00657AAF"/>
    <w:rsid w:val="00660C6D"/>
    <w:rsid w:val="00660DD6"/>
    <w:rsid w:val="006612AA"/>
    <w:rsid w:val="006614B9"/>
    <w:rsid w:val="006626DD"/>
    <w:rsid w:val="00663848"/>
    <w:rsid w:val="0066405E"/>
    <w:rsid w:val="00664380"/>
    <w:rsid w:val="00664830"/>
    <w:rsid w:val="00665586"/>
    <w:rsid w:val="00665C53"/>
    <w:rsid w:val="0066607C"/>
    <w:rsid w:val="00666BF8"/>
    <w:rsid w:val="00666E89"/>
    <w:rsid w:val="00667188"/>
    <w:rsid w:val="006709E9"/>
    <w:rsid w:val="00670F40"/>
    <w:rsid w:val="006725C0"/>
    <w:rsid w:val="006726F1"/>
    <w:rsid w:val="00672F48"/>
    <w:rsid w:val="00673188"/>
    <w:rsid w:val="006731F4"/>
    <w:rsid w:val="00673629"/>
    <w:rsid w:val="006738DD"/>
    <w:rsid w:val="00673D87"/>
    <w:rsid w:val="00674664"/>
    <w:rsid w:val="006747EE"/>
    <w:rsid w:val="00675001"/>
    <w:rsid w:val="0067597D"/>
    <w:rsid w:val="00676058"/>
    <w:rsid w:val="00676C7A"/>
    <w:rsid w:val="00676C9B"/>
    <w:rsid w:val="00677015"/>
    <w:rsid w:val="006779F7"/>
    <w:rsid w:val="00677BB6"/>
    <w:rsid w:val="00681899"/>
    <w:rsid w:val="00681982"/>
    <w:rsid w:val="00682943"/>
    <w:rsid w:val="006839D9"/>
    <w:rsid w:val="00684218"/>
    <w:rsid w:val="0068462C"/>
    <w:rsid w:val="006846F7"/>
    <w:rsid w:val="00684E2C"/>
    <w:rsid w:val="00686BDB"/>
    <w:rsid w:val="00687830"/>
    <w:rsid w:val="00687B56"/>
    <w:rsid w:val="00687D28"/>
    <w:rsid w:val="00690065"/>
    <w:rsid w:val="006906F6"/>
    <w:rsid w:val="006914F4"/>
    <w:rsid w:val="006927F9"/>
    <w:rsid w:val="00692A39"/>
    <w:rsid w:val="0069542C"/>
    <w:rsid w:val="006957E1"/>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5158"/>
    <w:rsid w:val="006A699D"/>
    <w:rsid w:val="006A6E03"/>
    <w:rsid w:val="006A7089"/>
    <w:rsid w:val="006B1074"/>
    <w:rsid w:val="006B1A20"/>
    <w:rsid w:val="006B233F"/>
    <w:rsid w:val="006B25C4"/>
    <w:rsid w:val="006B2688"/>
    <w:rsid w:val="006B34E7"/>
    <w:rsid w:val="006B4509"/>
    <w:rsid w:val="006B4C8C"/>
    <w:rsid w:val="006B51E8"/>
    <w:rsid w:val="006B5647"/>
    <w:rsid w:val="006B564B"/>
    <w:rsid w:val="006B7996"/>
    <w:rsid w:val="006B7E1C"/>
    <w:rsid w:val="006C0024"/>
    <w:rsid w:val="006C02C3"/>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22D"/>
    <w:rsid w:val="006D5323"/>
    <w:rsid w:val="006D5E15"/>
    <w:rsid w:val="006D617A"/>
    <w:rsid w:val="006D6A01"/>
    <w:rsid w:val="006D6E45"/>
    <w:rsid w:val="006D7705"/>
    <w:rsid w:val="006D7FCD"/>
    <w:rsid w:val="006E07DC"/>
    <w:rsid w:val="006E1AA6"/>
    <w:rsid w:val="006E1F84"/>
    <w:rsid w:val="006E1F8C"/>
    <w:rsid w:val="006E2546"/>
    <w:rsid w:val="006E396C"/>
    <w:rsid w:val="006E3A19"/>
    <w:rsid w:val="006E3E3D"/>
    <w:rsid w:val="006E406F"/>
    <w:rsid w:val="006E40F1"/>
    <w:rsid w:val="006E4842"/>
    <w:rsid w:val="006E5839"/>
    <w:rsid w:val="006E7316"/>
    <w:rsid w:val="006E793F"/>
    <w:rsid w:val="006E7C51"/>
    <w:rsid w:val="006F090C"/>
    <w:rsid w:val="006F15C1"/>
    <w:rsid w:val="006F18D3"/>
    <w:rsid w:val="006F26B4"/>
    <w:rsid w:val="006F309E"/>
    <w:rsid w:val="006F35C8"/>
    <w:rsid w:val="006F3EAE"/>
    <w:rsid w:val="006F4F09"/>
    <w:rsid w:val="006F5037"/>
    <w:rsid w:val="006F5289"/>
    <w:rsid w:val="006F544B"/>
    <w:rsid w:val="006F5950"/>
    <w:rsid w:val="006F5B7D"/>
    <w:rsid w:val="006F5E9A"/>
    <w:rsid w:val="006F6EDD"/>
    <w:rsid w:val="006F714A"/>
    <w:rsid w:val="006F7D6A"/>
    <w:rsid w:val="006F7DAE"/>
    <w:rsid w:val="00700086"/>
    <w:rsid w:val="00700B7B"/>
    <w:rsid w:val="0070153D"/>
    <w:rsid w:val="00701A15"/>
    <w:rsid w:val="00702108"/>
    <w:rsid w:val="00702B0C"/>
    <w:rsid w:val="0070304D"/>
    <w:rsid w:val="0070305B"/>
    <w:rsid w:val="00703A06"/>
    <w:rsid w:val="00704116"/>
    <w:rsid w:val="00705C1A"/>
    <w:rsid w:val="0070687A"/>
    <w:rsid w:val="007104B1"/>
    <w:rsid w:val="00710694"/>
    <w:rsid w:val="00711241"/>
    <w:rsid w:val="00711ABB"/>
    <w:rsid w:val="00712839"/>
    <w:rsid w:val="00712A21"/>
    <w:rsid w:val="00712C5E"/>
    <w:rsid w:val="00712FB4"/>
    <w:rsid w:val="00713445"/>
    <w:rsid w:val="00713B3B"/>
    <w:rsid w:val="00713E98"/>
    <w:rsid w:val="00714196"/>
    <w:rsid w:val="0071449C"/>
    <w:rsid w:val="00715CEA"/>
    <w:rsid w:val="00716824"/>
    <w:rsid w:val="00716CC0"/>
    <w:rsid w:val="0071712B"/>
    <w:rsid w:val="00717216"/>
    <w:rsid w:val="007173AA"/>
    <w:rsid w:val="00717599"/>
    <w:rsid w:val="00720626"/>
    <w:rsid w:val="00720C84"/>
    <w:rsid w:val="00721352"/>
    <w:rsid w:val="00721576"/>
    <w:rsid w:val="00722BBB"/>
    <w:rsid w:val="00723B08"/>
    <w:rsid w:val="00723CF2"/>
    <w:rsid w:val="007241E1"/>
    <w:rsid w:val="007242F0"/>
    <w:rsid w:val="00724932"/>
    <w:rsid w:val="007255B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58E"/>
    <w:rsid w:val="00737D5D"/>
    <w:rsid w:val="00737E62"/>
    <w:rsid w:val="0074037F"/>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C5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70D71"/>
    <w:rsid w:val="00771282"/>
    <w:rsid w:val="00772DF6"/>
    <w:rsid w:val="007731A9"/>
    <w:rsid w:val="00773D4C"/>
    <w:rsid w:val="0077480F"/>
    <w:rsid w:val="0077486D"/>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426"/>
    <w:rsid w:val="00796453"/>
    <w:rsid w:val="0079697E"/>
    <w:rsid w:val="00796C78"/>
    <w:rsid w:val="007976A9"/>
    <w:rsid w:val="007976EE"/>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1D1"/>
    <w:rsid w:val="007A51FB"/>
    <w:rsid w:val="007A53D4"/>
    <w:rsid w:val="007A55B7"/>
    <w:rsid w:val="007A55CB"/>
    <w:rsid w:val="007A5DC2"/>
    <w:rsid w:val="007A6355"/>
    <w:rsid w:val="007A67A6"/>
    <w:rsid w:val="007A6C05"/>
    <w:rsid w:val="007A716F"/>
    <w:rsid w:val="007A7600"/>
    <w:rsid w:val="007B0606"/>
    <w:rsid w:val="007B067E"/>
    <w:rsid w:val="007B10F7"/>
    <w:rsid w:val="007B11D4"/>
    <w:rsid w:val="007B1265"/>
    <w:rsid w:val="007B26BE"/>
    <w:rsid w:val="007B2A52"/>
    <w:rsid w:val="007B360D"/>
    <w:rsid w:val="007B3EC8"/>
    <w:rsid w:val="007B3F80"/>
    <w:rsid w:val="007B58D5"/>
    <w:rsid w:val="007B6F61"/>
    <w:rsid w:val="007B7C25"/>
    <w:rsid w:val="007C02B3"/>
    <w:rsid w:val="007C0BA5"/>
    <w:rsid w:val="007C0F82"/>
    <w:rsid w:val="007C1E05"/>
    <w:rsid w:val="007C1EBC"/>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E0567"/>
    <w:rsid w:val="007E1EFD"/>
    <w:rsid w:val="007E21B9"/>
    <w:rsid w:val="007E22F1"/>
    <w:rsid w:val="007E2875"/>
    <w:rsid w:val="007E3764"/>
    <w:rsid w:val="007E3BD4"/>
    <w:rsid w:val="007E5688"/>
    <w:rsid w:val="007E5F3A"/>
    <w:rsid w:val="007E6130"/>
    <w:rsid w:val="007E631E"/>
    <w:rsid w:val="007E65AE"/>
    <w:rsid w:val="007E7895"/>
    <w:rsid w:val="007E7981"/>
    <w:rsid w:val="007F0577"/>
    <w:rsid w:val="007F0BFC"/>
    <w:rsid w:val="007F0CF9"/>
    <w:rsid w:val="007F1534"/>
    <w:rsid w:val="007F2081"/>
    <w:rsid w:val="007F2AB0"/>
    <w:rsid w:val="007F2E17"/>
    <w:rsid w:val="007F489F"/>
    <w:rsid w:val="007F568D"/>
    <w:rsid w:val="007F58EF"/>
    <w:rsid w:val="007F72DB"/>
    <w:rsid w:val="007F7631"/>
    <w:rsid w:val="007F7971"/>
    <w:rsid w:val="0080025C"/>
    <w:rsid w:val="00801EB9"/>
    <w:rsid w:val="00803489"/>
    <w:rsid w:val="00803BC8"/>
    <w:rsid w:val="0080475F"/>
    <w:rsid w:val="00804D4A"/>
    <w:rsid w:val="00805FDE"/>
    <w:rsid w:val="00806191"/>
    <w:rsid w:val="0080705E"/>
    <w:rsid w:val="00807E51"/>
    <w:rsid w:val="00807FFA"/>
    <w:rsid w:val="008102AB"/>
    <w:rsid w:val="008104DC"/>
    <w:rsid w:val="008108CF"/>
    <w:rsid w:val="008117CD"/>
    <w:rsid w:val="008131C7"/>
    <w:rsid w:val="008140C1"/>
    <w:rsid w:val="00814E80"/>
    <w:rsid w:val="00815030"/>
    <w:rsid w:val="00815081"/>
    <w:rsid w:val="008170E7"/>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5146"/>
    <w:rsid w:val="00845225"/>
    <w:rsid w:val="00845C98"/>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54F5"/>
    <w:rsid w:val="00855774"/>
    <w:rsid w:val="00855F88"/>
    <w:rsid w:val="008572A9"/>
    <w:rsid w:val="008609C7"/>
    <w:rsid w:val="00860D39"/>
    <w:rsid w:val="00860FA5"/>
    <w:rsid w:val="00860FA6"/>
    <w:rsid w:val="00861633"/>
    <w:rsid w:val="00861D26"/>
    <w:rsid w:val="00862904"/>
    <w:rsid w:val="00862BF2"/>
    <w:rsid w:val="00863104"/>
    <w:rsid w:val="00863F49"/>
    <w:rsid w:val="00864D33"/>
    <w:rsid w:val="0086514F"/>
    <w:rsid w:val="00865425"/>
    <w:rsid w:val="008659B2"/>
    <w:rsid w:val="00865AF0"/>
    <w:rsid w:val="00867062"/>
    <w:rsid w:val="0086766F"/>
    <w:rsid w:val="0087033C"/>
    <w:rsid w:val="00871C0D"/>
    <w:rsid w:val="00872473"/>
    <w:rsid w:val="00872705"/>
    <w:rsid w:val="00872B8D"/>
    <w:rsid w:val="0087324C"/>
    <w:rsid w:val="0087399A"/>
    <w:rsid w:val="008743C9"/>
    <w:rsid w:val="0087699A"/>
    <w:rsid w:val="00876B36"/>
    <w:rsid w:val="008772EC"/>
    <w:rsid w:val="00877878"/>
    <w:rsid w:val="008808B2"/>
    <w:rsid w:val="00880ECC"/>
    <w:rsid w:val="0088176A"/>
    <w:rsid w:val="00882CAF"/>
    <w:rsid w:val="008834C6"/>
    <w:rsid w:val="0088364D"/>
    <w:rsid w:val="00883B17"/>
    <w:rsid w:val="00883CA2"/>
    <w:rsid w:val="00883F18"/>
    <w:rsid w:val="00884979"/>
    <w:rsid w:val="00886222"/>
    <w:rsid w:val="00887782"/>
    <w:rsid w:val="00887FBC"/>
    <w:rsid w:val="0089027D"/>
    <w:rsid w:val="008903C4"/>
    <w:rsid w:val="008918EB"/>
    <w:rsid w:val="00893516"/>
    <w:rsid w:val="0089396A"/>
    <w:rsid w:val="00893AD1"/>
    <w:rsid w:val="008945C2"/>
    <w:rsid w:val="00894992"/>
    <w:rsid w:val="00894E12"/>
    <w:rsid w:val="0089569E"/>
    <w:rsid w:val="0089695F"/>
    <w:rsid w:val="00897EEA"/>
    <w:rsid w:val="008A0231"/>
    <w:rsid w:val="008A0485"/>
    <w:rsid w:val="008A052A"/>
    <w:rsid w:val="008A0C99"/>
    <w:rsid w:val="008A0F7D"/>
    <w:rsid w:val="008A1715"/>
    <w:rsid w:val="008A1732"/>
    <w:rsid w:val="008A20DC"/>
    <w:rsid w:val="008A2950"/>
    <w:rsid w:val="008A2B8A"/>
    <w:rsid w:val="008A2D48"/>
    <w:rsid w:val="008A33BD"/>
    <w:rsid w:val="008A38D0"/>
    <w:rsid w:val="008A3E34"/>
    <w:rsid w:val="008A42E0"/>
    <w:rsid w:val="008A50AF"/>
    <w:rsid w:val="008A671B"/>
    <w:rsid w:val="008A6723"/>
    <w:rsid w:val="008A7642"/>
    <w:rsid w:val="008A7F43"/>
    <w:rsid w:val="008A7FF4"/>
    <w:rsid w:val="008B008E"/>
    <w:rsid w:val="008B19C2"/>
    <w:rsid w:val="008B2DF8"/>
    <w:rsid w:val="008B3601"/>
    <w:rsid w:val="008B3DEE"/>
    <w:rsid w:val="008B45F2"/>
    <w:rsid w:val="008B6940"/>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CF2"/>
    <w:rsid w:val="008C7FBF"/>
    <w:rsid w:val="008D001D"/>
    <w:rsid w:val="008D07DE"/>
    <w:rsid w:val="008D1AF5"/>
    <w:rsid w:val="008D2D39"/>
    <w:rsid w:val="008D4048"/>
    <w:rsid w:val="008D4AA5"/>
    <w:rsid w:val="008D52B2"/>
    <w:rsid w:val="008D6E96"/>
    <w:rsid w:val="008D7F20"/>
    <w:rsid w:val="008E010A"/>
    <w:rsid w:val="008E0719"/>
    <w:rsid w:val="008E162A"/>
    <w:rsid w:val="008E1CF4"/>
    <w:rsid w:val="008E26CE"/>
    <w:rsid w:val="008E2ADF"/>
    <w:rsid w:val="008E3A87"/>
    <w:rsid w:val="008E4159"/>
    <w:rsid w:val="008E530F"/>
    <w:rsid w:val="008E57C5"/>
    <w:rsid w:val="008E628B"/>
    <w:rsid w:val="008E6732"/>
    <w:rsid w:val="008E71C0"/>
    <w:rsid w:val="008E7C9C"/>
    <w:rsid w:val="008F07A2"/>
    <w:rsid w:val="008F1E7E"/>
    <w:rsid w:val="008F2302"/>
    <w:rsid w:val="008F23D5"/>
    <w:rsid w:val="008F33AB"/>
    <w:rsid w:val="008F356C"/>
    <w:rsid w:val="008F44AD"/>
    <w:rsid w:val="008F4777"/>
    <w:rsid w:val="008F5721"/>
    <w:rsid w:val="008F5E00"/>
    <w:rsid w:val="008F65E9"/>
    <w:rsid w:val="008F6684"/>
    <w:rsid w:val="008F707F"/>
    <w:rsid w:val="00901077"/>
    <w:rsid w:val="00901B0C"/>
    <w:rsid w:val="00902038"/>
    <w:rsid w:val="00902D96"/>
    <w:rsid w:val="00902E89"/>
    <w:rsid w:val="0090408A"/>
    <w:rsid w:val="009046DF"/>
    <w:rsid w:val="00905344"/>
    <w:rsid w:val="00905AF3"/>
    <w:rsid w:val="00906244"/>
    <w:rsid w:val="00906E32"/>
    <w:rsid w:val="00907D72"/>
    <w:rsid w:val="0091068B"/>
    <w:rsid w:val="00912170"/>
    <w:rsid w:val="00912EB3"/>
    <w:rsid w:val="009131AA"/>
    <w:rsid w:val="0091340A"/>
    <w:rsid w:val="0091378D"/>
    <w:rsid w:val="009137B4"/>
    <w:rsid w:val="00913B53"/>
    <w:rsid w:val="00914AB6"/>
    <w:rsid w:val="00914C94"/>
    <w:rsid w:val="009152F9"/>
    <w:rsid w:val="0092045D"/>
    <w:rsid w:val="009212D1"/>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0E9"/>
    <w:rsid w:val="00956935"/>
    <w:rsid w:val="0095750C"/>
    <w:rsid w:val="00960A10"/>
    <w:rsid w:val="00961C71"/>
    <w:rsid w:val="00961FB1"/>
    <w:rsid w:val="00962790"/>
    <w:rsid w:val="009629AE"/>
    <w:rsid w:val="00963782"/>
    <w:rsid w:val="00963AC6"/>
    <w:rsid w:val="00964430"/>
    <w:rsid w:val="0096494E"/>
    <w:rsid w:val="009653B5"/>
    <w:rsid w:val="009656F1"/>
    <w:rsid w:val="009657C0"/>
    <w:rsid w:val="009662A7"/>
    <w:rsid w:val="00966300"/>
    <w:rsid w:val="00966802"/>
    <w:rsid w:val="00966E13"/>
    <w:rsid w:val="009670A7"/>
    <w:rsid w:val="00970059"/>
    <w:rsid w:val="009701FB"/>
    <w:rsid w:val="009712BE"/>
    <w:rsid w:val="009724FC"/>
    <w:rsid w:val="0097265D"/>
    <w:rsid w:val="0097293F"/>
    <w:rsid w:val="00972ED6"/>
    <w:rsid w:val="00973664"/>
    <w:rsid w:val="0097484C"/>
    <w:rsid w:val="00975706"/>
    <w:rsid w:val="00976379"/>
    <w:rsid w:val="0097782A"/>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370A"/>
    <w:rsid w:val="009A45AA"/>
    <w:rsid w:val="009A5437"/>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3618"/>
    <w:rsid w:val="009C4374"/>
    <w:rsid w:val="009C4684"/>
    <w:rsid w:val="009D162C"/>
    <w:rsid w:val="009D213E"/>
    <w:rsid w:val="009D284E"/>
    <w:rsid w:val="009D2AB5"/>
    <w:rsid w:val="009D2F04"/>
    <w:rsid w:val="009D3529"/>
    <w:rsid w:val="009D402A"/>
    <w:rsid w:val="009D4606"/>
    <w:rsid w:val="009D5529"/>
    <w:rsid w:val="009D71D7"/>
    <w:rsid w:val="009D788E"/>
    <w:rsid w:val="009D7BCE"/>
    <w:rsid w:val="009E0092"/>
    <w:rsid w:val="009E081E"/>
    <w:rsid w:val="009E136B"/>
    <w:rsid w:val="009E165E"/>
    <w:rsid w:val="009E2819"/>
    <w:rsid w:val="009E34DA"/>
    <w:rsid w:val="009E375F"/>
    <w:rsid w:val="009E4194"/>
    <w:rsid w:val="009E4679"/>
    <w:rsid w:val="009E548F"/>
    <w:rsid w:val="009E5BBD"/>
    <w:rsid w:val="009E61DF"/>
    <w:rsid w:val="009E6CC7"/>
    <w:rsid w:val="009E73B9"/>
    <w:rsid w:val="009F0742"/>
    <w:rsid w:val="009F122E"/>
    <w:rsid w:val="009F1408"/>
    <w:rsid w:val="009F143C"/>
    <w:rsid w:val="009F1B70"/>
    <w:rsid w:val="009F31D2"/>
    <w:rsid w:val="009F3FB4"/>
    <w:rsid w:val="009F569F"/>
    <w:rsid w:val="009F57FA"/>
    <w:rsid w:val="009F657D"/>
    <w:rsid w:val="009F673A"/>
    <w:rsid w:val="009F6DBC"/>
    <w:rsid w:val="009F767C"/>
    <w:rsid w:val="009F790D"/>
    <w:rsid w:val="009F7BBE"/>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91E"/>
    <w:rsid w:val="00A07B27"/>
    <w:rsid w:val="00A07B45"/>
    <w:rsid w:val="00A07C02"/>
    <w:rsid w:val="00A113A2"/>
    <w:rsid w:val="00A113F9"/>
    <w:rsid w:val="00A11972"/>
    <w:rsid w:val="00A124AA"/>
    <w:rsid w:val="00A12F31"/>
    <w:rsid w:val="00A13840"/>
    <w:rsid w:val="00A14344"/>
    <w:rsid w:val="00A153DB"/>
    <w:rsid w:val="00A15A17"/>
    <w:rsid w:val="00A16249"/>
    <w:rsid w:val="00A1688A"/>
    <w:rsid w:val="00A168FA"/>
    <w:rsid w:val="00A20BE4"/>
    <w:rsid w:val="00A21034"/>
    <w:rsid w:val="00A22BD9"/>
    <w:rsid w:val="00A22FEA"/>
    <w:rsid w:val="00A232E3"/>
    <w:rsid w:val="00A23E64"/>
    <w:rsid w:val="00A2443F"/>
    <w:rsid w:val="00A245E3"/>
    <w:rsid w:val="00A24D8D"/>
    <w:rsid w:val="00A2554C"/>
    <w:rsid w:val="00A26591"/>
    <w:rsid w:val="00A265FA"/>
    <w:rsid w:val="00A30E4A"/>
    <w:rsid w:val="00A31B2D"/>
    <w:rsid w:val="00A337E5"/>
    <w:rsid w:val="00A33A5E"/>
    <w:rsid w:val="00A35AC9"/>
    <w:rsid w:val="00A361EF"/>
    <w:rsid w:val="00A3655A"/>
    <w:rsid w:val="00A369D3"/>
    <w:rsid w:val="00A36F9D"/>
    <w:rsid w:val="00A37173"/>
    <w:rsid w:val="00A3791B"/>
    <w:rsid w:val="00A40783"/>
    <w:rsid w:val="00A40ECF"/>
    <w:rsid w:val="00A410AA"/>
    <w:rsid w:val="00A416CD"/>
    <w:rsid w:val="00A42AEE"/>
    <w:rsid w:val="00A42E17"/>
    <w:rsid w:val="00A4457B"/>
    <w:rsid w:val="00A4471D"/>
    <w:rsid w:val="00A44CD7"/>
    <w:rsid w:val="00A457E5"/>
    <w:rsid w:val="00A45C19"/>
    <w:rsid w:val="00A46679"/>
    <w:rsid w:val="00A47E09"/>
    <w:rsid w:val="00A47F17"/>
    <w:rsid w:val="00A50C59"/>
    <w:rsid w:val="00A51A39"/>
    <w:rsid w:val="00A51F0B"/>
    <w:rsid w:val="00A51F9E"/>
    <w:rsid w:val="00A53953"/>
    <w:rsid w:val="00A53D13"/>
    <w:rsid w:val="00A53E5A"/>
    <w:rsid w:val="00A53FBD"/>
    <w:rsid w:val="00A54656"/>
    <w:rsid w:val="00A551F3"/>
    <w:rsid w:val="00A558E5"/>
    <w:rsid w:val="00A56171"/>
    <w:rsid w:val="00A605EA"/>
    <w:rsid w:val="00A60F7B"/>
    <w:rsid w:val="00A6118B"/>
    <w:rsid w:val="00A61539"/>
    <w:rsid w:val="00A621E0"/>
    <w:rsid w:val="00A6265B"/>
    <w:rsid w:val="00A63099"/>
    <w:rsid w:val="00A63284"/>
    <w:rsid w:val="00A643AE"/>
    <w:rsid w:val="00A64DD7"/>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FA7"/>
    <w:rsid w:val="00A87882"/>
    <w:rsid w:val="00A909F9"/>
    <w:rsid w:val="00A90BAF"/>
    <w:rsid w:val="00A90D3B"/>
    <w:rsid w:val="00A91494"/>
    <w:rsid w:val="00A92D9A"/>
    <w:rsid w:val="00A95237"/>
    <w:rsid w:val="00AA036D"/>
    <w:rsid w:val="00AA20BF"/>
    <w:rsid w:val="00AA24D5"/>
    <w:rsid w:val="00AA2B12"/>
    <w:rsid w:val="00AA305C"/>
    <w:rsid w:val="00AA32D3"/>
    <w:rsid w:val="00AA33AF"/>
    <w:rsid w:val="00AA4E36"/>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C0256"/>
    <w:rsid w:val="00AC04DA"/>
    <w:rsid w:val="00AC11D6"/>
    <w:rsid w:val="00AC1ADE"/>
    <w:rsid w:val="00AC2F18"/>
    <w:rsid w:val="00AC316C"/>
    <w:rsid w:val="00AC4A9A"/>
    <w:rsid w:val="00AC4EE1"/>
    <w:rsid w:val="00AC58D3"/>
    <w:rsid w:val="00AC6447"/>
    <w:rsid w:val="00AC6C41"/>
    <w:rsid w:val="00AC6D89"/>
    <w:rsid w:val="00AC759D"/>
    <w:rsid w:val="00AC75C3"/>
    <w:rsid w:val="00AC79E2"/>
    <w:rsid w:val="00AC7C57"/>
    <w:rsid w:val="00AD1A07"/>
    <w:rsid w:val="00AD490A"/>
    <w:rsid w:val="00AD4FE0"/>
    <w:rsid w:val="00AD5172"/>
    <w:rsid w:val="00AD7CB5"/>
    <w:rsid w:val="00AD7CC3"/>
    <w:rsid w:val="00AE01EB"/>
    <w:rsid w:val="00AE0DBD"/>
    <w:rsid w:val="00AE180A"/>
    <w:rsid w:val="00AE18F4"/>
    <w:rsid w:val="00AE25CB"/>
    <w:rsid w:val="00AE2B49"/>
    <w:rsid w:val="00AE2FD1"/>
    <w:rsid w:val="00AE3199"/>
    <w:rsid w:val="00AE3BFA"/>
    <w:rsid w:val="00AE3DCD"/>
    <w:rsid w:val="00AE3E3A"/>
    <w:rsid w:val="00AE3F3A"/>
    <w:rsid w:val="00AE41FF"/>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F40"/>
    <w:rsid w:val="00B03979"/>
    <w:rsid w:val="00B0452C"/>
    <w:rsid w:val="00B04C7C"/>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2AF8"/>
    <w:rsid w:val="00B23DAA"/>
    <w:rsid w:val="00B23F7C"/>
    <w:rsid w:val="00B25155"/>
    <w:rsid w:val="00B25A01"/>
    <w:rsid w:val="00B25CF6"/>
    <w:rsid w:val="00B25FD1"/>
    <w:rsid w:val="00B26992"/>
    <w:rsid w:val="00B2797F"/>
    <w:rsid w:val="00B27B4F"/>
    <w:rsid w:val="00B27D30"/>
    <w:rsid w:val="00B27E43"/>
    <w:rsid w:val="00B27F9E"/>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6CBD"/>
    <w:rsid w:val="00B56E50"/>
    <w:rsid w:val="00B57313"/>
    <w:rsid w:val="00B57546"/>
    <w:rsid w:val="00B6110A"/>
    <w:rsid w:val="00B61799"/>
    <w:rsid w:val="00B6236C"/>
    <w:rsid w:val="00B62C0C"/>
    <w:rsid w:val="00B63010"/>
    <w:rsid w:val="00B63E86"/>
    <w:rsid w:val="00B64B11"/>
    <w:rsid w:val="00B65992"/>
    <w:rsid w:val="00B67400"/>
    <w:rsid w:val="00B67654"/>
    <w:rsid w:val="00B67CF6"/>
    <w:rsid w:val="00B70066"/>
    <w:rsid w:val="00B71C5D"/>
    <w:rsid w:val="00B724E5"/>
    <w:rsid w:val="00B72C9C"/>
    <w:rsid w:val="00B72D47"/>
    <w:rsid w:val="00B73756"/>
    <w:rsid w:val="00B739D4"/>
    <w:rsid w:val="00B74885"/>
    <w:rsid w:val="00B74A23"/>
    <w:rsid w:val="00B75002"/>
    <w:rsid w:val="00B754E9"/>
    <w:rsid w:val="00B76108"/>
    <w:rsid w:val="00B76898"/>
    <w:rsid w:val="00B76DA1"/>
    <w:rsid w:val="00B77677"/>
    <w:rsid w:val="00B77B7B"/>
    <w:rsid w:val="00B77E1E"/>
    <w:rsid w:val="00B8015B"/>
    <w:rsid w:val="00B80478"/>
    <w:rsid w:val="00B80546"/>
    <w:rsid w:val="00B8071A"/>
    <w:rsid w:val="00B80AF5"/>
    <w:rsid w:val="00B81424"/>
    <w:rsid w:val="00B82B5C"/>
    <w:rsid w:val="00B839AD"/>
    <w:rsid w:val="00B83E9E"/>
    <w:rsid w:val="00B8434F"/>
    <w:rsid w:val="00B84CDE"/>
    <w:rsid w:val="00B86832"/>
    <w:rsid w:val="00B86F4A"/>
    <w:rsid w:val="00B87336"/>
    <w:rsid w:val="00B87807"/>
    <w:rsid w:val="00B879F4"/>
    <w:rsid w:val="00B87B88"/>
    <w:rsid w:val="00B90A51"/>
    <w:rsid w:val="00B90AC2"/>
    <w:rsid w:val="00B90DBA"/>
    <w:rsid w:val="00B912E8"/>
    <w:rsid w:val="00B9171B"/>
    <w:rsid w:val="00B91FD1"/>
    <w:rsid w:val="00B9356B"/>
    <w:rsid w:val="00B93975"/>
    <w:rsid w:val="00B93D38"/>
    <w:rsid w:val="00B947CB"/>
    <w:rsid w:val="00B949C3"/>
    <w:rsid w:val="00B94FC1"/>
    <w:rsid w:val="00B94FEE"/>
    <w:rsid w:val="00B956D7"/>
    <w:rsid w:val="00B95707"/>
    <w:rsid w:val="00B95D42"/>
    <w:rsid w:val="00B95E24"/>
    <w:rsid w:val="00B96800"/>
    <w:rsid w:val="00B96870"/>
    <w:rsid w:val="00BA11FC"/>
    <w:rsid w:val="00BA12AC"/>
    <w:rsid w:val="00BA14AB"/>
    <w:rsid w:val="00BA200C"/>
    <w:rsid w:val="00BA35D9"/>
    <w:rsid w:val="00BA4129"/>
    <w:rsid w:val="00BA4F3B"/>
    <w:rsid w:val="00BA5238"/>
    <w:rsid w:val="00BA5F2C"/>
    <w:rsid w:val="00BA7070"/>
    <w:rsid w:val="00BA77B6"/>
    <w:rsid w:val="00BB066B"/>
    <w:rsid w:val="00BB09D4"/>
    <w:rsid w:val="00BB0DF8"/>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72B6"/>
    <w:rsid w:val="00BC73F7"/>
    <w:rsid w:val="00BC7E1D"/>
    <w:rsid w:val="00BD03EC"/>
    <w:rsid w:val="00BD11BF"/>
    <w:rsid w:val="00BD1B05"/>
    <w:rsid w:val="00BD1E22"/>
    <w:rsid w:val="00BD3DB7"/>
    <w:rsid w:val="00BD43F3"/>
    <w:rsid w:val="00BD4495"/>
    <w:rsid w:val="00BD584E"/>
    <w:rsid w:val="00BD5C8E"/>
    <w:rsid w:val="00BD5CD8"/>
    <w:rsid w:val="00BD624D"/>
    <w:rsid w:val="00BD685F"/>
    <w:rsid w:val="00BD6867"/>
    <w:rsid w:val="00BD68DE"/>
    <w:rsid w:val="00BD76B0"/>
    <w:rsid w:val="00BE07E1"/>
    <w:rsid w:val="00BE147A"/>
    <w:rsid w:val="00BE182D"/>
    <w:rsid w:val="00BE2375"/>
    <w:rsid w:val="00BE2ABF"/>
    <w:rsid w:val="00BE3DA0"/>
    <w:rsid w:val="00BE486C"/>
    <w:rsid w:val="00BE4AED"/>
    <w:rsid w:val="00BE4E6C"/>
    <w:rsid w:val="00BE5881"/>
    <w:rsid w:val="00BE59A5"/>
    <w:rsid w:val="00BE5E2D"/>
    <w:rsid w:val="00BE69B7"/>
    <w:rsid w:val="00BE6B23"/>
    <w:rsid w:val="00BF058D"/>
    <w:rsid w:val="00BF06D1"/>
    <w:rsid w:val="00BF1131"/>
    <w:rsid w:val="00BF1B7A"/>
    <w:rsid w:val="00BF2296"/>
    <w:rsid w:val="00BF2F77"/>
    <w:rsid w:val="00BF2FA3"/>
    <w:rsid w:val="00BF4287"/>
    <w:rsid w:val="00BF5F47"/>
    <w:rsid w:val="00BF6031"/>
    <w:rsid w:val="00BF64F0"/>
    <w:rsid w:val="00BF6AAA"/>
    <w:rsid w:val="00BF7B76"/>
    <w:rsid w:val="00C0025E"/>
    <w:rsid w:val="00C006CD"/>
    <w:rsid w:val="00C023EC"/>
    <w:rsid w:val="00C02EF8"/>
    <w:rsid w:val="00C02FFD"/>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98E"/>
    <w:rsid w:val="00C1708F"/>
    <w:rsid w:val="00C17D8B"/>
    <w:rsid w:val="00C17EAB"/>
    <w:rsid w:val="00C20A82"/>
    <w:rsid w:val="00C20C2E"/>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20C6"/>
    <w:rsid w:val="00C523B3"/>
    <w:rsid w:val="00C52DB3"/>
    <w:rsid w:val="00C52EAF"/>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435"/>
    <w:rsid w:val="00C7185D"/>
    <w:rsid w:val="00C73E0D"/>
    <w:rsid w:val="00C7438A"/>
    <w:rsid w:val="00C745F7"/>
    <w:rsid w:val="00C74762"/>
    <w:rsid w:val="00C74C57"/>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6DD7"/>
    <w:rsid w:val="00C87291"/>
    <w:rsid w:val="00C872E2"/>
    <w:rsid w:val="00C87388"/>
    <w:rsid w:val="00C87888"/>
    <w:rsid w:val="00C90548"/>
    <w:rsid w:val="00C90BF6"/>
    <w:rsid w:val="00C9117B"/>
    <w:rsid w:val="00C9163A"/>
    <w:rsid w:val="00C92FD4"/>
    <w:rsid w:val="00C95386"/>
    <w:rsid w:val="00C958FA"/>
    <w:rsid w:val="00C95DCE"/>
    <w:rsid w:val="00C95E93"/>
    <w:rsid w:val="00C962FB"/>
    <w:rsid w:val="00C964CB"/>
    <w:rsid w:val="00C978B2"/>
    <w:rsid w:val="00CA0D0B"/>
    <w:rsid w:val="00CA0E99"/>
    <w:rsid w:val="00CA0F2E"/>
    <w:rsid w:val="00CA1262"/>
    <w:rsid w:val="00CA1703"/>
    <w:rsid w:val="00CA176D"/>
    <w:rsid w:val="00CA2E96"/>
    <w:rsid w:val="00CA323E"/>
    <w:rsid w:val="00CA366F"/>
    <w:rsid w:val="00CA432B"/>
    <w:rsid w:val="00CA51FC"/>
    <w:rsid w:val="00CA55D9"/>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F74"/>
    <w:rsid w:val="00CC618C"/>
    <w:rsid w:val="00CC6951"/>
    <w:rsid w:val="00CC6995"/>
    <w:rsid w:val="00CC6F7B"/>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72E"/>
    <w:rsid w:val="00CE0C42"/>
    <w:rsid w:val="00CE110C"/>
    <w:rsid w:val="00CE1B43"/>
    <w:rsid w:val="00CE1E98"/>
    <w:rsid w:val="00CE2870"/>
    <w:rsid w:val="00CE2CC1"/>
    <w:rsid w:val="00CE2F90"/>
    <w:rsid w:val="00CE3790"/>
    <w:rsid w:val="00CE3F0D"/>
    <w:rsid w:val="00CE4083"/>
    <w:rsid w:val="00CE4542"/>
    <w:rsid w:val="00CE458C"/>
    <w:rsid w:val="00CE46A7"/>
    <w:rsid w:val="00CE598C"/>
    <w:rsid w:val="00CE7334"/>
    <w:rsid w:val="00CE7468"/>
    <w:rsid w:val="00CE7658"/>
    <w:rsid w:val="00CE7D21"/>
    <w:rsid w:val="00CF0EA9"/>
    <w:rsid w:val="00CF1047"/>
    <w:rsid w:val="00CF1523"/>
    <w:rsid w:val="00CF1639"/>
    <w:rsid w:val="00CF1FB5"/>
    <w:rsid w:val="00CF27C8"/>
    <w:rsid w:val="00CF3D0C"/>
    <w:rsid w:val="00CF457F"/>
    <w:rsid w:val="00CF474C"/>
    <w:rsid w:val="00CF557E"/>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7AE"/>
    <w:rsid w:val="00D32BDF"/>
    <w:rsid w:val="00D33466"/>
    <w:rsid w:val="00D33584"/>
    <w:rsid w:val="00D33950"/>
    <w:rsid w:val="00D348D1"/>
    <w:rsid w:val="00D34D73"/>
    <w:rsid w:val="00D34F67"/>
    <w:rsid w:val="00D35487"/>
    <w:rsid w:val="00D3658E"/>
    <w:rsid w:val="00D40BB7"/>
    <w:rsid w:val="00D413D6"/>
    <w:rsid w:val="00D4233F"/>
    <w:rsid w:val="00D429EB"/>
    <w:rsid w:val="00D42AE6"/>
    <w:rsid w:val="00D4439B"/>
    <w:rsid w:val="00D4467E"/>
    <w:rsid w:val="00D4519E"/>
    <w:rsid w:val="00D4607E"/>
    <w:rsid w:val="00D46164"/>
    <w:rsid w:val="00D47B22"/>
    <w:rsid w:val="00D5184A"/>
    <w:rsid w:val="00D51867"/>
    <w:rsid w:val="00D52533"/>
    <w:rsid w:val="00D531CC"/>
    <w:rsid w:val="00D5397B"/>
    <w:rsid w:val="00D5489C"/>
    <w:rsid w:val="00D5587F"/>
    <w:rsid w:val="00D563C3"/>
    <w:rsid w:val="00D60D20"/>
    <w:rsid w:val="00D60E55"/>
    <w:rsid w:val="00D61733"/>
    <w:rsid w:val="00D6264D"/>
    <w:rsid w:val="00D63009"/>
    <w:rsid w:val="00D639D0"/>
    <w:rsid w:val="00D644D6"/>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41A"/>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63B9"/>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599F"/>
    <w:rsid w:val="00DC60A5"/>
    <w:rsid w:val="00DC6806"/>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570"/>
    <w:rsid w:val="00DE4169"/>
    <w:rsid w:val="00DE49E2"/>
    <w:rsid w:val="00DE65D5"/>
    <w:rsid w:val="00DE68EE"/>
    <w:rsid w:val="00DE740A"/>
    <w:rsid w:val="00DE7AF1"/>
    <w:rsid w:val="00DE7FBA"/>
    <w:rsid w:val="00DF0BA4"/>
    <w:rsid w:val="00DF14AD"/>
    <w:rsid w:val="00DF2407"/>
    <w:rsid w:val="00DF2E56"/>
    <w:rsid w:val="00DF2FD6"/>
    <w:rsid w:val="00DF3389"/>
    <w:rsid w:val="00DF3CCC"/>
    <w:rsid w:val="00DF3E90"/>
    <w:rsid w:val="00DF591A"/>
    <w:rsid w:val="00DF5B89"/>
    <w:rsid w:val="00DF5FF4"/>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9B1"/>
    <w:rsid w:val="00E10AF9"/>
    <w:rsid w:val="00E11170"/>
    <w:rsid w:val="00E1148C"/>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659"/>
    <w:rsid w:val="00E2073C"/>
    <w:rsid w:val="00E20BD6"/>
    <w:rsid w:val="00E20F2C"/>
    <w:rsid w:val="00E215BC"/>
    <w:rsid w:val="00E215D2"/>
    <w:rsid w:val="00E22A85"/>
    <w:rsid w:val="00E23642"/>
    <w:rsid w:val="00E23D4E"/>
    <w:rsid w:val="00E2454E"/>
    <w:rsid w:val="00E2480A"/>
    <w:rsid w:val="00E24BEA"/>
    <w:rsid w:val="00E251B9"/>
    <w:rsid w:val="00E258D0"/>
    <w:rsid w:val="00E262E3"/>
    <w:rsid w:val="00E2719E"/>
    <w:rsid w:val="00E27F31"/>
    <w:rsid w:val="00E30EA7"/>
    <w:rsid w:val="00E30EEE"/>
    <w:rsid w:val="00E3102F"/>
    <w:rsid w:val="00E310C6"/>
    <w:rsid w:val="00E31E98"/>
    <w:rsid w:val="00E32697"/>
    <w:rsid w:val="00E32F0A"/>
    <w:rsid w:val="00E33BF2"/>
    <w:rsid w:val="00E349EC"/>
    <w:rsid w:val="00E36277"/>
    <w:rsid w:val="00E36DCC"/>
    <w:rsid w:val="00E376C1"/>
    <w:rsid w:val="00E376F4"/>
    <w:rsid w:val="00E40E02"/>
    <w:rsid w:val="00E417D9"/>
    <w:rsid w:val="00E41A5D"/>
    <w:rsid w:val="00E41F96"/>
    <w:rsid w:val="00E4495F"/>
    <w:rsid w:val="00E455A8"/>
    <w:rsid w:val="00E458B7"/>
    <w:rsid w:val="00E4656E"/>
    <w:rsid w:val="00E46F18"/>
    <w:rsid w:val="00E4761A"/>
    <w:rsid w:val="00E477EA"/>
    <w:rsid w:val="00E47DEE"/>
    <w:rsid w:val="00E509BB"/>
    <w:rsid w:val="00E51BA6"/>
    <w:rsid w:val="00E534AD"/>
    <w:rsid w:val="00E53A2C"/>
    <w:rsid w:val="00E544A0"/>
    <w:rsid w:val="00E547B2"/>
    <w:rsid w:val="00E5486D"/>
    <w:rsid w:val="00E55371"/>
    <w:rsid w:val="00E5583B"/>
    <w:rsid w:val="00E570A6"/>
    <w:rsid w:val="00E60A11"/>
    <w:rsid w:val="00E60CBE"/>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30A3"/>
    <w:rsid w:val="00E831B5"/>
    <w:rsid w:val="00E831BF"/>
    <w:rsid w:val="00E832FC"/>
    <w:rsid w:val="00E8412F"/>
    <w:rsid w:val="00E84394"/>
    <w:rsid w:val="00E8549C"/>
    <w:rsid w:val="00E85D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6B56"/>
    <w:rsid w:val="00EB7097"/>
    <w:rsid w:val="00EB731F"/>
    <w:rsid w:val="00EB73C0"/>
    <w:rsid w:val="00EB7E48"/>
    <w:rsid w:val="00EC0BFC"/>
    <w:rsid w:val="00EC0F5D"/>
    <w:rsid w:val="00EC1563"/>
    <w:rsid w:val="00EC1E47"/>
    <w:rsid w:val="00EC24DE"/>
    <w:rsid w:val="00EC2A5E"/>
    <w:rsid w:val="00EC2ED6"/>
    <w:rsid w:val="00EC373E"/>
    <w:rsid w:val="00EC3E3C"/>
    <w:rsid w:val="00EC45B0"/>
    <w:rsid w:val="00EC4BF1"/>
    <w:rsid w:val="00EC5F3F"/>
    <w:rsid w:val="00EC72D6"/>
    <w:rsid w:val="00ED08A0"/>
    <w:rsid w:val="00ED0B39"/>
    <w:rsid w:val="00ED1158"/>
    <w:rsid w:val="00ED1221"/>
    <w:rsid w:val="00ED225A"/>
    <w:rsid w:val="00ED2865"/>
    <w:rsid w:val="00ED31A9"/>
    <w:rsid w:val="00ED3EC2"/>
    <w:rsid w:val="00ED676B"/>
    <w:rsid w:val="00ED6F2B"/>
    <w:rsid w:val="00ED72A4"/>
    <w:rsid w:val="00EE09F5"/>
    <w:rsid w:val="00EE0E54"/>
    <w:rsid w:val="00EE1980"/>
    <w:rsid w:val="00EE213F"/>
    <w:rsid w:val="00EE2C26"/>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F0C65"/>
    <w:rsid w:val="00EF10BD"/>
    <w:rsid w:val="00EF3AE7"/>
    <w:rsid w:val="00EF3EC6"/>
    <w:rsid w:val="00EF4CC2"/>
    <w:rsid w:val="00EF50D0"/>
    <w:rsid w:val="00EF5615"/>
    <w:rsid w:val="00EF5D7B"/>
    <w:rsid w:val="00EF6327"/>
    <w:rsid w:val="00EF74DF"/>
    <w:rsid w:val="00EF7A9D"/>
    <w:rsid w:val="00F005F1"/>
    <w:rsid w:val="00F006B6"/>
    <w:rsid w:val="00F017E1"/>
    <w:rsid w:val="00F01A62"/>
    <w:rsid w:val="00F036FC"/>
    <w:rsid w:val="00F03E15"/>
    <w:rsid w:val="00F04560"/>
    <w:rsid w:val="00F046F4"/>
    <w:rsid w:val="00F0545F"/>
    <w:rsid w:val="00F05D7D"/>
    <w:rsid w:val="00F06575"/>
    <w:rsid w:val="00F068AE"/>
    <w:rsid w:val="00F07337"/>
    <w:rsid w:val="00F0768E"/>
    <w:rsid w:val="00F076A1"/>
    <w:rsid w:val="00F078A9"/>
    <w:rsid w:val="00F1053E"/>
    <w:rsid w:val="00F11104"/>
    <w:rsid w:val="00F115B0"/>
    <w:rsid w:val="00F1194D"/>
    <w:rsid w:val="00F12D1E"/>
    <w:rsid w:val="00F130BC"/>
    <w:rsid w:val="00F132D3"/>
    <w:rsid w:val="00F134A8"/>
    <w:rsid w:val="00F139DF"/>
    <w:rsid w:val="00F147B9"/>
    <w:rsid w:val="00F14DCC"/>
    <w:rsid w:val="00F14EEC"/>
    <w:rsid w:val="00F15FE9"/>
    <w:rsid w:val="00F20A9D"/>
    <w:rsid w:val="00F20AE4"/>
    <w:rsid w:val="00F20E32"/>
    <w:rsid w:val="00F218A4"/>
    <w:rsid w:val="00F21BC4"/>
    <w:rsid w:val="00F21E9D"/>
    <w:rsid w:val="00F21FCC"/>
    <w:rsid w:val="00F22BFC"/>
    <w:rsid w:val="00F23763"/>
    <w:rsid w:val="00F241AF"/>
    <w:rsid w:val="00F24A31"/>
    <w:rsid w:val="00F27372"/>
    <w:rsid w:val="00F27575"/>
    <w:rsid w:val="00F27F51"/>
    <w:rsid w:val="00F30472"/>
    <w:rsid w:val="00F30BEE"/>
    <w:rsid w:val="00F30F32"/>
    <w:rsid w:val="00F328BF"/>
    <w:rsid w:val="00F32D73"/>
    <w:rsid w:val="00F337FE"/>
    <w:rsid w:val="00F33E15"/>
    <w:rsid w:val="00F34878"/>
    <w:rsid w:val="00F35358"/>
    <w:rsid w:val="00F35C21"/>
    <w:rsid w:val="00F36033"/>
    <w:rsid w:val="00F371B2"/>
    <w:rsid w:val="00F37472"/>
    <w:rsid w:val="00F37A3D"/>
    <w:rsid w:val="00F4121A"/>
    <w:rsid w:val="00F412B9"/>
    <w:rsid w:val="00F42CB9"/>
    <w:rsid w:val="00F42F06"/>
    <w:rsid w:val="00F43CC6"/>
    <w:rsid w:val="00F443F7"/>
    <w:rsid w:val="00F44D83"/>
    <w:rsid w:val="00F45243"/>
    <w:rsid w:val="00F45645"/>
    <w:rsid w:val="00F45BC4"/>
    <w:rsid w:val="00F4612E"/>
    <w:rsid w:val="00F47012"/>
    <w:rsid w:val="00F47D7F"/>
    <w:rsid w:val="00F47EB8"/>
    <w:rsid w:val="00F501C2"/>
    <w:rsid w:val="00F50C48"/>
    <w:rsid w:val="00F50CE8"/>
    <w:rsid w:val="00F5102F"/>
    <w:rsid w:val="00F515B1"/>
    <w:rsid w:val="00F5182C"/>
    <w:rsid w:val="00F51945"/>
    <w:rsid w:val="00F51B24"/>
    <w:rsid w:val="00F529CA"/>
    <w:rsid w:val="00F52FFC"/>
    <w:rsid w:val="00F5311F"/>
    <w:rsid w:val="00F5479E"/>
    <w:rsid w:val="00F54EF3"/>
    <w:rsid w:val="00F56693"/>
    <w:rsid w:val="00F56862"/>
    <w:rsid w:val="00F6034B"/>
    <w:rsid w:val="00F613F4"/>
    <w:rsid w:val="00F621E3"/>
    <w:rsid w:val="00F6252E"/>
    <w:rsid w:val="00F62C48"/>
    <w:rsid w:val="00F63F2B"/>
    <w:rsid w:val="00F64127"/>
    <w:rsid w:val="00F641EC"/>
    <w:rsid w:val="00F654AF"/>
    <w:rsid w:val="00F65A80"/>
    <w:rsid w:val="00F65D5C"/>
    <w:rsid w:val="00F669B1"/>
    <w:rsid w:val="00F674D9"/>
    <w:rsid w:val="00F67665"/>
    <w:rsid w:val="00F702BB"/>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4550"/>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B8C"/>
    <w:rsid w:val="00FC31B8"/>
    <w:rsid w:val="00FC38F9"/>
    <w:rsid w:val="00FC3965"/>
    <w:rsid w:val="00FC3B86"/>
    <w:rsid w:val="00FC3F72"/>
    <w:rsid w:val="00FC405C"/>
    <w:rsid w:val="00FC4D0D"/>
    <w:rsid w:val="00FC52AF"/>
    <w:rsid w:val="00FC5C7B"/>
    <w:rsid w:val="00FC663D"/>
    <w:rsid w:val="00FC6E86"/>
    <w:rsid w:val="00FC745E"/>
    <w:rsid w:val="00FC7F84"/>
    <w:rsid w:val="00FD03B6"/>
    <w:rsid w:val="00FD10B8"/>
    <w:rsid w:val="00FD17A5"/>
    <w:rsid w:val="00FD20B3"/>
    <w:rsid w:val="00FD48BA"/>
    <w:rsid w:val="00FD4D83"/>
    <w:rsid w:val="00FD4FB0"/>
    <w:rsid w:val="00FD5538"/>
    <w:rsid w:val="00FD6F83"/>
    <w:rsid w:val="00FD747C"/>
    <w:rsid w:val="00FD7A62"/>
    <w:rsid w:val="00FD7CDC"/>
    <w:rsid w:val="00FD7EBC"/>
    <w:rsid w:val="00FE003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A10"/>
    <w:rsid w:val="00FE702A"/>
    <w:rsid w:val="00FE77C2"/>
    <w:rsid w:val="00FE7B69"/>
    <w:rsid w:val="00FE7BF0"/>
    <w:rsid w:val="00FF044B"/>
    <w:rsid w:val="00FF0532"/>
    <w:rsid w:val="00FF0979"/>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37"/>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7793896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3846259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B1BB7F-440C-4AE7-AC76-E07715080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504</TotalTime>
  <Pages>22</Pages>
  <Words>6985</Words>
  <Characters>38422</Characters>
  <Application>Microsoft Office Word</Application>
  <DocSecurity>0</DocSecurity>
  <Lines>320</Lines>
  <Paragraphs>90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45317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CEGAIP/SECTEC</cp:lastModifiedBy>
  <cp:revision>5</cp:revision>
  <cp:lastPrinted>2024-08-07T21:18:00Z</cp:lastPrinted>
  <dcterms:created xsi:type="dcterms:W3CDTF">2024-10-17T20:33:00Z</dcterms:created>
  <dcterms:modified xsi:type="dcterms:W3CDTF">2024-10-23T16:52:00Z</dcterms:modified>
</cp:coreProperties>
</file>