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F824BC">
        <w:rPr>
          <w:rFonts w:ascii="Arial" w:hAnsi="Arial" w:cs="Arial"/>
        </w:rPr>
        <w:t>G</w:t>
      </w:r>
      <w:r w:rsidR="008D7FD6">
        <w:rPr>
          <w:rFonts w:ascii="Arial" w:hAnsi="Arial" w:cs="Arial"/>
        </w:rPr>
        <w:t xml:space="preserve">eneral de </w:t>
      </w:r>
      <w:r w:rsidR="00F824BC">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032961">
        <w:rPr>
          <w:rFonts w:ascii="Arial" w:hAnsi="Arial" w:cs="Arial"/>
          <w:b/>
        </w:rPr>
        <w:t>DGA/</w:t>
      </w:r>
      <w:r w:rsidR="00E91B4D">
        <w:rPr>
          <w:rFonts w:ascii="Arial" w:hAnsi="Arial" w:cs="Arial"/>
          <w:b/>
        </w:rPr>
        <w:t>DRH/</w:t>
      </w:r>
      <w:r w:rsidR="00032961">
        <w:rPr>
          <w:rFonts w:ascii="Arial" w:hAnsi="Arial" w:cs="Arial"/>
          <w:b/>
        </w:rPr>
        <w:t>0</w:t>
      </w:r>
      <w:r w:rsidR="00E91B4D">
        <w:rPr>
          <w:rFonts w:ascii="Arial" w:hAnsi="Arial" w:cs="Arial"/>
          <w:b/>
        </w:rPr>
        <w:t>801</w:t>
      </w:r>
      <w:r w:rsidR="00032961">
        <w:rPr>
          <w:rFonts w:ascii="Arial" w:hAnsi="Arial" w:cs="Arial"/>
          <w:b/>
        </w:rPr>
        <w:t>/2025</w:t>
      </w:r>
      <w:r>
        <w:rPr>
          <w:rFonts w:ascii="Arial" w:hAnsi="Arial" w:cs="Arial"/>
        </w:rPr>
        <w:t xml:space="preserve"> manifiesta </w:t>
      </w:r>
      <w:r w:rsidR="00E22117">
        <w:rPr>
          <w:rFonts w:ascii="Arial" w:hAnsi="Arial" w:cs="Arial"/>
        </w:rPr>
        <w:t>adjuntar el acuerdo de reserva</w:t>
      </w:r>
      <w:r w:rsidR="00E91B4D">
        <w:rPr>
          <w:rFonts w:ascii="Arial" w:hAnsi="Arial" w:cs="Arial"/>
        </w:rPr>
        <w:t xml:space="preserve"> total AR/015/2025 </w:t>
      </w:r>
      <w:r w:rsidR="00E22117">
        <w:rPr>
          <w:rFonts w:ascii="Arial" w:hAnsi="Arial" w:cs="Arial"/>
        </w:rPr>
        <w:t xml:space="preserve">que emite por </w:t>
      </w:r>
      <w:r>
        <w:rPr>
          <w:rFonts w:ascii="Arial" w:hAnsi="Arial" w:cs="Arial"/>
        </w:rPr>
        <w:t xml:space="preserve">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Pr>
          <w:rFonts w:ascii="Arial" w:hAnsi="Arial" w:cs="Arial"/>
        </w:rPr>
        <w:t xml:space="preserve"> de la LTAIPSLP, es decir, </w:t>
      </w:r>
      <w:r w:rsidR="00376B01">
        <w:rPr>
          <w:rFonts w:ascii="Arial" w:hAnsi="Arial" w:cs="Arial"/>
        </w:rPr>
        <w:t xml:space="preserve">recibió una solicitud de información realizada por </w:t>
      </w:r>
      <w:r w:rsidR="006F311B">
        <w:rPr>
          <w:rFonts w:ascii="Arial" w:hAnsi="Arial" w:cs="Arial"/>
        </w:rPr>
        <w:t xml:space="preserve">el </w:t>
      </w:r>
      <w:r w:rsidR="00376B01">
        <w:rPr>
          <w:rFonts w:ascii="Arial" w:hAnsi="Arial" w:cs="Arial"/>
        </w:rPr>
        <w:t>usuari</w:t>
      </w:r>
      <w:r w:rsidR="006F311B">
        <w:rPr>
          <w:rFonts w:ascii="Arial" w:hAnsi="Arial" w:cs="Arial"/>
        </w:rPr>
        <w:t>o</w:t>
      </w:r>
      <w:r w:rsidR="005B0E50">
        <w:rPr>
          <w:rFonts w:ascii="Arial" w:hAnsi="Arial" w:cs="Arial"/>
        </w:rPr>
        <w:t xml:space="preserve"> </w:t>
      </w:r>
      <w:proofErr w:type="spellStart"/>
      <w:r w:rsidR="00E91B4D">
        <w:rPr>
          <w:rFonts w:ascii="Arial" w:hAnsi="Arial" w:cs="Arial"/>
          <w:b/>
        </w:rPr>
        <w:t>Samali</w:t>
      </w:r>
      <w:proofErr w:type="spellEnd"/>
      <w:r w:rsidR="006F311B">
        <w:rPr>
          <w:rFonts w:ascii="Arial" w:hAnsi="Arial" w:cs="Arial"/>
          <w:b/>
        </w:rPr>
        <w:t>,</w:t>
      </w:r>
      <w:r w:rsidR="005160BF">
        <w:rPr>
          <w:rFonts w:ascii="Arial" w:hAnsi="Arial" w:cs="Arial"/>
          <w:b/>
        </w:rPr>
        <w:t xml:space="preserve"> </w:t>
      </w:r>
      <w:r w:rsidR="00E91B4D">
        <w:rPr>
          <w:rFonts w:ascii="Arial" w:hAnsi="Arial" w:cs="Arial"/>
        </w:rPr>
        <w:t>reconocida</w:t>
      </w:r>
      <w:r w:rsidR="00376B01">
        <w:rPr>
          <w:rFonts w:ascii="Arial" w:hAnsi="Arial" w:cs="Arial"/>
        </w:rPr>
        <w:t xml:space="preserve"> con el consecutivo UT-SI-P-</w:t>
      </w:r>
      <w:r w:rsidR="00032961">
        <w:rPr>
          <w:rFonts w:ascii="Arial" w:hAnsi="Arial" w:cs="Arial"/>
        </w:rPr>
        <w:t>1</w:t>
      </w:r>
      <w:r w:rsidR="00E91B4D">
        <w:rPr>
          <w:rFonts w:ascii="Arial" w:hAnsi="Arial" w:cs="Arial"/>
        </w:rPr>
        <w:t>29</w:t>
      </w:r>
      <w:r w:rsidR="00376B01">
        <w:rPr>
          <w:rFonts w:ascii="Arial" w:hAnsi="Arial" w:cs="Arial"/>
        </w:rPr>
        <w:t>-24046982</w:t>
      </w:r>
      <w:r w:rsidR="00EC019A">
        <w:rPr>
          <w:rFonts w:ascii="Arial" w:hAnsi="Arial" w:cs="Arial"/>
        </w:rPr>
        <w:t>5</w:t>
      </w:r>
      <w:r w:rsidR="00376B01">
        <w:rPr>
          <w:rFonts w:ascii="Arial" w:hAnsi="Arial" w:cs="Arial"/>
        </w:rPr>
        <w:t>000</w:t>
      </w:r>
      <w:r w:rsidR="00032961">
        <w:rPr>
          <w:rFonts w:ascii="Arial" w:hAnsi="Arial" w:cs="Arial"/>
        </w:rPr>
        <w:t>1</w:t>
      </w:r>
      <w:r w:rsidR="00E91B4D">
        <w:rPr>
          <w:rFonts w:ascii="Arial" w:hAnsi="Arial" w:cs="Arial"/>
        </w:rPr>
        <w:t>29</w:t>
      </w:r>
      <w:r w:rsidR="00376B01">
        <w:rPr>
          <w:rFonts w:ascii="Arial" w:hAnsi="Arial" w:cs="Arial"/>
        </w:rPr>
        <w:t>-202</w:t>
      </w:r>
      <w:r w:rsidR="00EC019A">
        <w:rPr>
          <w:rFonts w:ascii="Arial" w:hAnsi="Arial" w:cs="Arial"/>
        </w:rPr>
        <w:t>5</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EC019A">
        <w:rPr>
          <w:rFonts w:ascii="Arial" w:hAnsi="Arial" w:cs="Arial"/>
          <w:b/>
        </w:rPr>
        <w:t>total</w:t>
      </w:r>
      <w:r w:rsidR="00376B01">
        <w:rPr>
          <w:rFonts w:ascii="Arial" w:hAnsi="Arial" w:cs="Arial"/>
        </w:rPr>
        <w:t xml:space="preserve"> número </w:t>
      </w:r>
      <w:r w:rsidR="008D7FD6" w:rsidRPr="00EC019A">
        <w:rPr>
          <w:rFonts w:ascii="Arial" w:hAnsi="Arial" w:cs="Arial"/>
          <w:b/>
        </w:rPr>
        <w:t>AR/</w:t>
      </w:r>
      <w:r w:rsidR="007E2C1E">
        <w:rPr>
          <w:rFonts w:ascii="Arial" w:hAnsi="Arial" w:cs="Arial"/>
          <w:b/>
        </w:rPr>
        <w:t>015</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EC019A">
        <w:rPr>
          <w:rFonts w:ascii="Arial" w:hAnsi="Arial" w:cs="Arial"/>
          <w:b/>
        </w:rPr>
        <w:t>total</w:t>
      </w:r>
      <w:r>
        <w:rPr>
          <w:rFonts w:ascii="Arial" w:hAnsi="Arial" w:cs="Arial"/>
        </w:rPr>
        <w:t xml:space="preserve"> número </w:t>
      </w:r>
      <w:r w:rsidR="006F7D0F">
        <w:rPr>
          <w:rFonts w:ascii="Arial" w:hAnsi="Arial" w:cs="Arial"/>
          <w:b/>
        </w:rPr>
        <w:t>AR/</w:t>
      </w:r>
      <w:r w:rsidR="007E2C1E">
        <w:rPr>
          <w:rFonts w:ascii="Arial" w:hAnsi="Arial" w:cs="Arial"/>
          <w:b/>
        </w:rPr>
        <w:t>015</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EC019A">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7E2C1E">
        <w:rPr>
          <w:rFonts w:ascii="Arial" w:hAnsi="Arial" w:cs="Arial"/>
          <w:b/>
        </w:rPr>
        <w:t>015</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 xml:space="preserve">El contador público Cesar Isidro Cruz, director General de </w:t>
      </w:r>
      <w:proofErr w:type="gramStart"/>
      <w:r>
        <w:t>Administración</w:t>
      </w:r>
      <w:r w:rsidR="00E22117" w:rsidRPr="00E22117">
        <w:rPr>
          <w:rFonts w:eastAsiaTheme="minorEastAsia"/>
          <w:color w:val="auto"/>
          <w:lang w:eastAsia="es-ES"/>
        </w:rPr>
        <w:t>,  determina</w:t>
      </w:r>
      <w:proofErr w:type="gramEnd"/>
      <w:r w:rsidR="00E22117" w:rsidRPr="00E22117">
        <w:rPr>
          <w:rFonts w:eastAsiaTheme="minorEastAsia"/>
          <w:color w:val="auto"/>
          <w:lang w:eastAsia="es-ES"/>
        </w:rPr>
        <w:t xml:space="preserve"> que resulta procedente la Reserva Total de la información pública </w:t>
      </w:r>
      <w:bookmarkStart w:id="1" w:name="_Hlk161061686"/>
      <w:r w:rsidR="00E22117" w:rsidRPr="00E22117">
        <w:rPr>
          <w:rFonts w:eastAsiaTheme="minorEastAsia"/>
          <w:color w:val="auto"/>
          <w:lang w:eastAsia="es-ES"/>
        </w:rPr>
        <w:t>consistente en: “</w:t>
      </w:r>
      <w:r>
        <w:rPr>
          <w:rFonts w:eastAsiaTheme="minorEastAsia"/>
          <w:color w:val="auto"/>
          <w:lang w:eastAsia="es-ES"/>
        </w:rPr>
        <w:t>numero de personal adscrito a la Unidad de Protección al Migrante, Grupos Vulnerables y la diversidad sexual, Periodistas y Defensores de Derechos Humanos del período 01 de noviembre 2020 al 24 de febrero 2025</w:t>
      </w:r>
      <w:r w:rsidR="00E22117" w:rsidRPr="00E22117">
        <w:rPr>
          <w:rFonts w:eastAsiaTheme="minorEastAsia"/>
          <w:color w:val="auto"/>
          <w:lang w:eastAsia="es-ES"/>
        </w:rPr>
        <w:t xml:space="preserve">”, para dar atención a la Solicitud de Acceso a la Información </w:t>
      </w:r>
      <w:r>
        <w:rPr>
          <w:rFonts w:eastAsiaTheme="minorEastAsia"/>
          <w:color w:val="auto"/>
          <w:lang w:eastAsia="es-ES"/>
        </w:rPr>
        <w:t>número</w:t>
      </w:r>
      <w:r w:rsidR="00E22117" w:rsidRPr="00E22117">
        <w:rPr>
          <w:rFonts w:eastAsiaTheme="minorEastAsia"/>
          <w:color w:val="auto"/>
          <w:lang w:eastAsia="es-ES"/>
        </w:rPr>
        <w:t xml:space="preserve"> </w:t>
      </w:r>
      <w:bookmarkStart w:id="2" w:name="_Hlk161057106"/>
      <w:bookmarkEnd w:id="1"/>
      <w:r w:rsidR="00E22117" w:rsidRPr="00E22117">
        <w:rPr>
          <w:rFonts w:eastAsiaTheme="minorEastAsia"/>
          <w:color w:val="auto"/>
          <w:lang w:eastAsia="es-ES"/>
        </w:rPr>
        <w:t>UT-SI-P-1</w:t>
      </w:r>
      <w:r>
        <w:rPr>
          <w:rFonts w:eastAsiaTheme="minorEastAsia"/>
          <w:color w:val="auto"/>
          <w:lang w:eastAsia="es-ES"/>
        </w:rPr>
        <w:t>29</w:t>
      </w:r>
      <w:r w:rsidR="00E22117" w:rsidRPr="00E22117">
        <w:rPr>
          <w:rFonts w:eastAsiaTheme="minorEastAsia"/>
          <w:color w:val="auto"/>
          <w:lang w:eastAsia="es-ES"/>
        </w:rPr>
        <w:t>-2404698250</w:t>
      </w:r>
      <w:r>
        <w:rPr>
          <w:rFonts w:eastAsiaTheme="minorEastAsia"/>
          <w:color w:val="auto"/>
          <w:lang w:eastAsia="es-ES"/>
        </w:rPr>
        <w:t>129</w:t>
      </w:r>
      <w:r w:rsidR="00E22117" w:rsidRPr="00E22117">
        <w:rPr>
          <w:rFonts w:eastAsiaTheme="minorEastAsia"/>
          <w:color w:val="auto"/>
          <w:lang w:eastAsia="es-ES"/>
        </w:rPr>
        <w:t>-2025</w:t>
      </w:r>
      <w:r>
        <w:rPr>
          <w:rFonts w:eastAsiaTheme="minorEastAsia"/>
          <w:color w:val="auto"/>
          <w:lang w:eastAsia="es-ES"/>
        </w:rPr>
        <w:t>.</w:t>
      </w:r>
    </w:p>
    <w:bookmarkEnd w:id="2"/>
    <w:p w:rsidR="00E22117" w:rsidRDefault="00E22117" w:rsidP="00032961">
      <w:pPr>
        <w:autoSpaceDE w:val="0"/>
        <w:autoSpaceDN w:val="0"/>
        <w:adjustRightInd w:val="0"/>
        <w:jc w:val="both"/>
        <w:rPr>
          <w:rFonts w:ascii="Arial" w:hAnsi="Arial" w:cs="Arial"/>
        </w:rPr>
      </w:pPr>
    </w:p>
    <w:p w:rsidR="007E2C1E" w:rsidRPr="007E2C1E" w:rsidRDefault="007336C3" w:rsidP="007E2C1E">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7E2C1E">
        <w:rPr>
          <w:rFonts w:ascii="Arial" w:hAnsi="Arial" w:cs="Arial"/>
        </w:rPr>
        <w:t>E</w:t>
      </w:r>
      <w:r w:rsidR="007E2C1E" w:rsidRPr="007E2C1E">
        <w:rPr>
          <w:rFonts w:ascii="Arial" w:hAnsi="Arial" w:cs="Arial"/>
        </w:rPr>
        <w:t>l dar a conocer la información respecto a, el número de personas adscritas a la Unidad de Protección a Migrantes, Grupos Vulnerables y la diversidad sexual, Periodistas y Defensores de Derechos Humanos del periodo del 1 de noviembre del 2020 al 24 de febrero del año 2025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 xml:space="preserve">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w:t>
      </w:r>
      <w:r w:rsidRPr="007E2C1E">
        <w:rPr>
          <w:rFonts w:ascii="Arial" w:hAnsi="Arial" w:cs="Arial"/>
        </w:rPr>
        <w:lastRenderedPageBreak/>
        <w:t>profundamente, se reconoce como una precondición fundacional de los estados modernos y, la base esencial, sobre la cual pueden ejercerse la totalidad de los derechos.</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En este entendido, la revelación de la información señalada el número de personas adscritas a la Unidad de Protección a Migrantes, Grupos Vulnerables y la diversidad sexual, Periodistas y Defensores de Derechos Humanos del periodo del 1 de noviembre del 2020 al 24 de febrero del año 2025</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En este sentido, a mayor vigilancia y propuesta ciudadana, los gobiernos están sujetos a tener que cumplir sus funciones con menos posibilidades de corrupción, o violación de derechos humanos.</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lastRenderedPageBreak/>
        <w:t xml:space="preserve">Sin embargo, la entrega de información de interés deja al descubierto de la delincuencia organizada la capacidad de reacción de un área táctico operativa de la Fiscalía General del Estado, al revelar el número de personas adscritas a la Unidad de Protección a Migrantes, Grupos Vulnerables y la diversidad sexual, Periodistas y Defensores de Derechos Humanos, es de observar la relevancia de los asuntos que atienden, de acuerdo a lo consagrado en el Reglamento Interno de la Fiscalía General del Estado: </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“Artículo 72. La Unidad de protección a Migrantes, Grupos Vulnerables y la diversidad sexual, Periodistas y Personas Defensoras de los Derechos Humanos</w:t>
      </w:r>
    </w:p>
    <w:p w:rsidR="007E2C1E" w:rsidRPr="007E2C1E" w:rsidRDefault="007E2C1E" w:rsidP="007E2C1E">
      <w:pPr>
        <w:autoSpaceDE w:val="0"/>
        <w:autoSpaceDN w:val="0"/>
        <w:adjustRightInd w:val="0"/>
        <w:jc w:val="both"/>
        <w:rPr>
          <w:rFonts w:ascii="Arial" w:hAnsi="Arial" w:cs="Arial"/>
        </w:rPr>
      </w:pPr>
    </w:p>
    <w:p w:rsidR="007E2C1E" w:rsidRPr="007E2C1E" w:rsidRDefault="007E2C1E" w:rsidP="007E2C1E">
      <w:pPr>
        <w:autoSpaceDE w:val="0"/>
        <w:autoSpaceDN w:val="0"/>
        <w:adjustRightInd w:val="0"/>
        <w:jc w:val="both"/>
        <w:rPr>
          <w:rFonts w:ascii="Arial" w:hAnsi="Arial" w:cs="Arial"/>
        </w:rPr>
      </w:pPr>
      <w:r w:rsidRPr="007E2C1E">
        <w:rPr>
          <w:rFonts w:ascii="Arial" w:hAnsi="Arial" w:cs="Arial"/>
        </w:rPr>
        <w:t>… será el órgano encargado de dirigir, coordinar y supervisar las investigaciones y, en su caso, la persecución de los delitos cometidos en contra migrantes y las personas que se encuentren en situación de riesgo como consecuencia de la defensa o promoción de los derechos humanos, y del ejercicio de la libertad de expresión y el periodismo. Las atribuciones de esta Unidad se estarán a lo dispuesto en las Leyes Generales de la materia y a los Protocolos aplicables.”</w:t>
      </w:r>
    </w:p>
    <w:p w:rsidR="007E2C1E" w:rsidRPr="007E2C1E" w:rsidRDefault="007E2C1E" w:rsidP="007E2C1E">
      <w:pPr>
        <w:autoSpaceDE w:val="0"/>
        <w:autoSpaceDN w:val="0"/>
        <w:adjustRightInd w:val="0"/>
        <w:jc w:val="both"/>
        <w:rPr>
          <w:rFonts w:ascii="Arial" w:hAnsi="Arial" w:cs="Arial"/>
        </w:rPr>
      </w:pPr>
    </w:p>
    <w:p w:rsidR="00EC019A" w:rsidRPr="005160BF" w:rsidRDefault="007E2C1E" w:rsidP="007E2C1E">
      <w:pPr>
        <w:autoSpaceDE w:val="0"/>
        <w:autoSpaceDN w:val="0"/>
        <w:adjustRightInd w:val="0"/>
        <w:jc w:val="both"/>
        <w:rPr>
          <w:rFonts w:ascii="Arial" w:hAnsi="Arial" w:cs="Arial"/>
        </w:rPr>
      </w:pPr>
      <w:r w:rsidRPr="007E2C1E">
        <w:rPr>
          <w:rFonts w:ascii="Arial" w:hAnsi="Arial" w:cs="Arial"/>
        </w:rPr>
        <w:t>Catálogo de atribuciones que establece la naturaleza y conocimiento de los hechos que tienen los las personas adscritas a la Unidad de protección a Migrantes, Grupos Vulnerables y la diversidad sexual, Periodistas y Personas Defensoras de los Derechos Humanos, instancia que conoce de hechos que la ley señala como delitos o causales de responsabilidad entre otras, atendiendo de forma directa víctimas directas o indirectas, asesores jurídicos, el conocimiento del hecho delictivo, los medios y datos de pruebas ofrecidas por esta Fiscalía, siendo servidores públicos estratégicos de la construcción de la Teoría del Delito que se plantea de acuerdo a la naturaleza de la noticia criminal, así como las personas a las que se formula imputación y sus defensores jurídicos.</w:t>
      </w:r>
    </w:p>
    <w:p w:rsidR="005269BE" w:rsidRDefault="005269BE" w:rsidP="00C57509">
      <w:pPr>
        <w:jc w:val="both"/>
        <w:rPr>
          <w:rFonts w:ascii="Arial" w:hAnsi="Arial" w:cs="Arial"/>
        </w:rPr>
      </w:pPr>
    </w:p>
    <w:p w:rsidR="00045C57" w:rsidRDefault="00045C57" w:rsidP="00C57509">
      <w:pPr>
        <w:jc w:val="both"/>
        <w:rPr>
          <w:rFonts w:ascii="Arial" w:hAnsi="Arial" w:cs="Arial"/>
        </w:rPr>
      </w:pPr>
      <w:r>
        <w:rPr>
          <w:rFonts w:ascii="Arial" w:hAnsi="Arial" w:cs="Arial"/>
        </w:rPr>
        <w:t>Fundamentación.</w:t>
      </w:r>
      <w:r w:rsidR="006060DC">
        <w:rPr>
          <w:rFonts w:ascii="Arial" w:hAnsi="Arial" w:cs="Arial"/>
        </w:rPr>
        <w:t xml:space="preserve"> Ley de Transparencia y Acceso a la Información Pública del Estado, artículos 3º fracciones II, XIII, XX, XXI, 113, 119, 120, FRACCIÓN </w:t>
      </w:r>
      <w:r w:rsidR="0066700B">
        <w:rPr>
          <w:rFonts w:ascii="Arial" w:hAnsi="Arial" w:cs="Arial"/>
        </w:rPr>
        <w:t>I</w:t>
      </w:r>
      <w:r w:rsidR="006060DC">
        <w:rPr>
          <w:rFonts w:ascii="Arial" w:hAnsi="Arial" w:cs="Arial"/>
        </w:rPr>
        <w:t xml:space="preserve">,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General del Sistema Nacional de Seguridad Pública, artículo 40, fracción XXI, 110, Ley del Sistema de Seguridad Pública del Estado de San Luis Potosí, artículo 3º, 5º, fracción III, 22 fracción I, incisos c), d), e), 56, fracción XXVI, 93, 93 BIS, y 126, fracción III</w:t>
      </w:r>
      <w:r w:rsidR="00374F51">
        <w:rPr>
          <w:rFonts w:ascii="Arial" w:hAnsi="Arial" w:cs="Arial"/>
        </w:rPr>
        <w:t>.</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4A5894" w:rsidRDefault="008402CF" w:rsidP="00C57509">
      <w:pPr>
        <w:autoSpaceDE w:val="0"/>
        <w:autoSpaceDN w:val="0"/>
        <w:adjustRightInd w:val="0"/>
        <w:ind w:left="-284" w:right="141"/>
        <w:jc w:val="both"/>
        <w:rPr>
          <w:rFonts w:ascii="Arial" w:hAnsi="Arial" w:cs="Arial"/>
        </w:rPr>
      </w:pPr>
      <w:r>
        <w:rPr>
          <w:rFonts w:ascii="Arial" w:hAnsi="Arial" w:cs="Arial"/>
        </w:rPr>
        <w:t>El presente acuerdo es una reserva total.</w:t>
      </w:r>
    </w:p>
    <w:p w:rsidR="008402CF" w:rsidRDefault="008402CF"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lastRenderedPageBreak/>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4A5894">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6060DC">
        <w:rPr>
          <w:rFonts w:ascii="Arial" w:hAnsi="Arial" w:cs="Arial"/>
          <w:b/>
        </w:rPr>
        <w:t>0</w:t>
      </w:r>
      <w:r w:rsidR="0045348C">
        <w:rPr>
          <w:rFonts w:ascii="Arial" w:hAnsi="Arial" w:cs="Arial"/>
          <w:b/>
        </w:rPr>
        <w:t>15</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respuesta a la solicitud </w:t>
      </w:r>
      <w:r w:rsidR="001E24B3" w:rsidRPr="004A5894">
        <w:rPr>
          <w:rFonts w:ascii="Arial" w:eastAsiaTheme="minorEastAsia" w:hAnsi="Arial" w:cs="Arial"/>
          <w:b/>
          <w:sz w:val="24"/>
          <w:szCs w:val="24"/>
          <w:lang w:eastAsia="es-ES"/>
        </w:rPr>
        <w:t>UT-SI-P-</w:t>
      </w:r>
      <w:r w:rsidR="006060DC">
        <w:rPr>
          <w:rFonts w:ascii="Arial" w:eastAsiaTheme="minorEastAsia" w:hAnsi="Arial" w:cs="Arial"/>
          <w:b/>
          <w:sz w:val="24"/>
          <w:szCs w:val="24"/>
          <w:lang w:eastAsia="es-ES"/>
        </w:rPr>
        <w:t>1</w:t>
      </w:r>
      <w:r w:rsidR="0045348C">
        <w:rPr>
          <w:rFonts w:ascii="Arial" w:eastAsiaTheme="minorEastAsia" w:hAnsi="Arial" w:cs="Arial"/>
          <w:b/>
          <w:sz w:val="24"/>
          <w:szCs w:val="24"/>
          <w:lang w:eastAsia="es-ES"/>
        </w:rPr>
        <w:t>29</w:t>
      </w:r>
      <w:r w:rsidR="001E24B3" w:rsidRPr="004A5894">
        <w:rPr>
          <w:rFonts w:ascii="Arial" w:eastAsiaTheme="minorEastAsia" w:hAnsi="Arial" w:cs="Arial"/>
          <w:b/>
          <w:sz w:val="24"/>
          <w:szCs w:val="24"/>
          <w:lang w:eastAsia="es-ES"/>
        </w:rPr>
        <w:t>-2404698000</w:t>
      </w:r>
      <w:r w:rsidR="006060DC">
        <w:rPr>
          <w:rFonts w:ascii="Arial" w:eastAsiaTheme="minorEastAsia" w:hAnsi="Arial" w:cs="Arial"/>
          <w:b/>
          <w:sz w:val="24"/>
          <w:szCs w:val="24"/>
          <w:lang w:eastAsia="es-ES"/>
        </w:rPr>
        <w:t>1</w:t>
      </w:r>
      <w:r w:rsidR="0045348C">
        <w:rPr>
          <w:rFonts w:ascii="Arial" w:eastAsiaTheme="minorEastAsia" w:hAnsi="Arial" w:cs="Arial"/>
          <w:b/>
          <w:sz w:val="24"/>
          <w:szCs w:val="24"/>
          <w:lang w:eastAsia="es-ES"/>
        </w:rPr>
        <w:t>29</w:t>
      </w:r>
      <w:r w:rsidR="001E24B3" w:rsidRPr="004A5894">
        <w:rPr>
          <w:rFonts w:ascii="Arial" w:eastAsiaTheme="minorEastAsia" w:hAnsi="Arial" w:cs="Arial"/>
          <w:b/>
          <w:sz w:val="24"/>
          <w:szCs w:val="24"/>
          <w:lang w:eastAsia="es-ES"/>
        </w:rPr>
        <w:t>-202</w:t>
      </w:r>
      <w:r w:rsidR="004A5894" w:rsidRPr="004A5894">
        <w:rPr>
          <w:rFonts w:ascii="Arial" w:eastAsiaTheme="minorEastAsia" w:hAnsi="Arial" w:cs="Arial"/>
          <w:b/>
          <w:sz w:val="24"/>
          <w:szCs w:val="24"/>
          <w:lang w:eastAsia="es-ES"/>
        </w:rPr>
        <w:t>5</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4A5894">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6060DC">
        <w:rPr>
          <w:rFonts w:ascii="Arial" w:hAnsi="Arial" w:cs="Arial"/>
          <w:b/>
        </w:rPr>
        <w:t>01</w:t>
      </w:r>
      <w:r w:rsidR="0045348C">
        <w:rPr>
          <w:rFonts w:ascii="Arial" w:hAnsi="Arial" w:cs="Arial"/>
          <w:b/>
        </w:rPr>
        <w:t>5</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6060DC">
        <w:rPr>
          <w:rFonts w:ascii="Arial" w:hAnsi="Arial" w:cs="Arial"/>
          <w:b/>
        </w:rPr>
        <w:t>2</w:t>
      </w:r>
      <w:r w:rsidR="0045348C">
        <w:rPr>
          <w:rFonts w:ascii="Arial" w:hAnsi="Arial" w:cs="Arial"/>
          <w:b/>
        </w:rPr>
        <w:t>3</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A0B" w:rsidRDefault="00B87A0B">
      <w:r>
        <w:separator/>
      </w:r>
    </w:p>
  </w:endnote>
  <w:endnote w:type="continuationSeparator" w:id="0">
    <w:p w:rsidR="00B87A0B" w:rsidRDefault="00B87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4523" w:rsidRDefault="006E452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4523" w:rsidRDefault="006E452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A0B" w:rsidRDefault="00B87A0B">
      <w:r>
        <w:separator/>
      </w:r>
    </w:p>
  </w:footnote>
  <w:footnote w:type="continuationSeparator" w:id="0">
    <w:p w:rsidR="00B87A0B" w:rsidRDefault="00B87A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4523" w:rsidRDefault="006E452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67300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6E452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67300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E4523" w:rsidRPr="006E452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E4523" w:rsidRPr="006E452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032961">
                            <w:rPr>
                              <w:rFonts w:ascii="Arial" w:hAnsi="Arial" w:cs="Arial"/>
                              <w:color w:val="FFFFFF" w:themeColor="background1"/>
                              <w:sz w:val="18"/>
                              <w:szCs w:val="18"/>
                              <w:lang w:val="es-ES"/>
                            </w:rPr>
                            <w:t>1</w:t>
                          </w:r>
                          <w:r w:rsidR="00E91B4D">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032961">
                      <w:rPr>
                        <w:rFonts w:ascii="Arial" w:hAnsi="Arial" w:cs="Arial"/>
                        <w:color w:val="FFFFFF" w:themeColor="background1"/>
                        <w:sz w:val="18"/>
                        <w:szCs w:val="18"/>
                        <w:lang w:val="es-ES"/>
                      </w:rPr>
                      <w:t>1</w:t>
                    </w:r>
                    <w:r w:rsidR="00E91B4D">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4523" w:rsidRDefault="006E452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67300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E49F0"/>
    <w:rsid w:val="005E558A"/>
    <w:rsid w:val="005E58AA"/>
    <w:rsid w:val="005E7E7E"/>
    <w:rsid w:val="005F457C"/>
    <w:rsid w:val="005F550E"/>
    <w:rsid w:val="005F7CFE"/>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4523"/>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5E9040-06FF-4647-A841-8B896F1DA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2493</Words>
  <Characters>13715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6</cp:revision>
  <cp:lastPrinted>2025-02-06T18:42:00Z</cp:lastPrinted>
  <dcterms:created xsi:type="dcterms:W3CDTF">2025-03-04T20:12:00Z</dcterms:created>
  <dcterms:modified xsi:type="dcterms:W3CDTF">2025-03-25T18:40:00Z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