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3496" w:rsidRPr="00BE434C" w:rsidRDefault="00BE434C" w:rsidP="00BE434C">
      <w:pPr>
        <w:jc w:val="both"/>
        <w:rPr>
          <w:rFonts w:ascii="Arial" w:hAnsi="Arial" w:cs="Arial"/>
          <w:sz w:val="36"/>
        </w:rPr>
      </w:pPr>
      <w:r w:rsidRPr="00BE434C">
        <w:rPr>
          <w:rFonts w:ascii="Arial" w:hAnsi="Arial" w:cs="Arial"/>
          <w:sz w:val="36"/>
        </w:rPr>
        <w:t>ESTE SUETO OBLIGADO ESTA FA</w:t>
      </w:r>
      <w:bookmarkStart w:id="0" w:name="_GoBack"/>
      <w:bookmarkEnd w:id="0"/>
      <w:r w:rsidRPr="00BE434C">
        <w:rPr>
          <w:rFonts w:ascii="Arial" w:hAnsi="Arial" w:cs="Arial"/>
          <w:sz w:val="36"/>
        </w:rPr>
        <w:t>CULTADO PARA GENERAR LA INFORMACION REQUERIDA CON FUNDAMENTO EN LA LEY DE ORDENAMIENTO TERRITORIAL Y DESARROLLO URBANO DEL ESTADO DE SAN LUIS POTOSI, ARTICULO 270 "LA LICENCIA DE USO DE SUELO ES EL DOCUMENTO EXPEDIDO POR LA DIRECCION MUNICIPAL CORRESPONDIENTE, CON BASE EN LO DISPUESTO EN ESTA LEY Y DE MAS DISPOSICIONES JURIDICAS APLICABLES, A SOLICITUD DE UNA PERSONA FISICA O MORAL, PUBLICA O PRIVADA, EN EL CUAL SE CERTIFICA QUE LA ACCION, OBRA INVERSION O SERVICIO QUE SE PRETENDA REALIZAR ES COMPATIBLE CON LA LEGISLACION Y LOS PROGRAMAS DE ORDENAMIENTO TERRITORIAL Y DESARROLLO URBANO, SENALANDO LAS LIMITACIONES, RESTRICCIONES, AFECTACIONES, CARACTERISTICAS Y APROVECHAMIENTO DE LAS AREAS O PREDIO MATERIAL DE LA MISMA, LAS QUE DEBERAN ACATARSE POR EL SOLICITANTE". SIN EMBARGO, DURANTE EL PERIODO QUE SE REPORTA NO SE REALIZARON SOLICITUDES Y/O CAMBIOS DE USO DE SUELO, YA QUE NO FUERON SOLICITADAS POR LA CIUDADANIA.</w:t>
      </w:r>
    </w:p>
    <w:sectPr w:rsidR="008C3496" w:rsidRPr="00BE434C" w:rsidSect="00BE434C">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34C"/>
    <w:rsid w:val="008C3496"/>
    <w:rsid w:val="00BE43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65883C-EEA2-420F-9601-28B5BBAE0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146</Words>
  <Characters>808</Characters>
  <Application>Microsoft Office Word</Application>
  <DocSecurity>0</DocSecurity>
  <Lines>6</Lines>
  <Paragraphs>1</Paragraphs>
  <ScaleCrop>false</ScaleCrop>
  <Company/>
  <LinksUpToDate>false</LinksUpToDate>
  <CharactersWithSpaces>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cp:revision>
  <dcterms:created xsi:type="dcterms:W3CDTF">2024-10-12T23:34:00Z</dcterms:created>
  <dcterms:modified xsi:type="dcterms:W3CDTF">2024-10-12T23:35:00Z</dcterms:modified>
</cp:coreProperties>
</file>