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F503C9" w14:textId="46F8E644" w:rsidR="00401BEC" w:rsidRDefault="003C6CAD" w:rsidP="00915932">
      <w:pPr>
        <w:jc w:val="center"/>
        <w:rPr>
          <w:rFonts w:ascii="Arial Black" w:hAnsi="Arial Black"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58752" behindDoc="1" locked="0" layoutInCell="1" allowOverlap="1" wp14:anchorId="50068B32" wp14:editId="1FE93C14">
            <wp:simplePos x="0" y="0"/>
            <wp:positionH relativeFrom="column">
              <wp:posOffset>-1143000</wp:posOffset>
            </wp:positionH>
            <wp:positionV relativeFrom="paragraph">
              <wp:posOffset>-889635</wp:posOffset>
            </wp:positionV>
            <wp:extent cx="7779385" cy="10067078"/>
            <wp:effectExtent l="0" t="0" r="5715" b="4445"/>
            <wp:wrapNone/>
            <wp:docPr id="2" name="Imagen 2" descr="Interfaz de usuario gráfic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Interfaz de usuario gráfica&#10;&#10;Descripción generada automáticamente con confianza baja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9385" cy="100670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C84E12" w14:textId="00152A00" w:rsidR="003C6CAD" w:rsidRDefault="003C6CAD" w:rsidP="00915932">
      <w:pPr>
        <w:jc w:val="center"/>
        <w:rPr>
          <w:rFonts w:ascii="Arial Black" w:hAnsi="Arial Black"/>
          <w:sz w:val="16"/>
          <w:szCs w:val="16"/>
        </w:rPr>
      </w:pPr>
    </w:p>
    <w:p w14:paraId="2D44302E" w14:textId="77777777" w:rsidR="00401BEC" w:rsidRDefault="00401BEC" w:rsidP="00603EF2">
      <w:pPr>
        <w:rPr>
          <w:rFonts w:ascii="Arial Black" w:hAnsi="Arial Black"/>
          <w:sz w:val="16"/>
          <w:szCs w:val="16"/>
        </w:rPr>
      </w:pPr>
    </w:p>
    <w:p w14:paraId="724B642E" w14:textId="7498E1EB" w:rsidR="003C6CAD" w:rsidRPr="00603EF2" w:rsidRDefault="00401BEC" w:rsidP="00603EF2">
      <w:pPr>
        <w:spacing w:line="480" w:lineRule="auto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 xml:space="preserve">ESTE PROCEDIMIENTO SE LLEVÓ A CABO CON BASE AL ARTÍCULO 22 FRACCION </w:t>
      </w:r>
      <w:proofErr w:type="gramStart"/>
      <w:r>
        <w:rPr>
          <w:rFonts w:ascii="Arial Black" w:hAnsi="Arial Black"/>
          <w:sz w:val="28"/>
          <w:szCs w:val="28"/>
        </w:rPr>
        <w:t>II  Y</w:t>
      </w:r>
      <w:proofErr w:type="gramEnd"/>
      <w:r>
        <w:rPr>
          <w:rFonts w:ascii="Arial Black" w:hAnsi="Arial Black"/>
          <w:sz w:val="28"/>
          <w:szCs w:val="28"/>
        </w:rPr>
        <w:t xml:space="preserve"> 4</w:t>
      </w:r>
      <w:r w:rsidR="00603EF2">
        <w:rPr>
          <w:rFonts w:ascii="Arial Black" w:hAnsi="Arial Black"/>
          <w:sz w:val="28"/>
          <w:szCs w:val="28"/>
        </w:rPr>
        <w:t>2</w:t>
      </w:r>
      <w:r>
        <w:rPr>
          <w:rFonts w:ascii="Arial Black" w:hAnsi="Arial Black"/>
          <w:sz w:val="28"/>
          <w:szCs w:val="28"/>
        </w:rPr>
        <w:t xml:space="preserve"> DE LA LEY DE ADQUISICIONES DEL  ESTADO DE SAN LUIS POTOSÍ.</w:t>
      </w:r>
    </w:p>
    <w:p w14:paraId="2F6CAFA7" w14:textId="5AE730E3" w:rsidR="003C6CAD" w:rsidRPr="003C6CAD" w:rsidRDefault="003C6CAD" w:rsidP="00401BEC">
      <w:pPr>
        <w:spacing w:line="480" w:lineRule="auto"/>
        <w:jc w:val="center"/>
        <w:rPr>
          <w:rFonts w:ascii="Arial Black" w:hAnsi="Arial Black"/>
          <w:sz w:val="24"/>
          <w:szCs w:val="24"/>
        </w:rPr>
      </w:pPr>
      <w:r w:rsidRPr="003C6CAD">
        <w:rPr>
          <w:rFonts w:ascii="Arial Black" w:hAnsi="Arial Black"/>
          <w:sz w:val="24"/>
          <w:szCs w:val="24"/>
        </w:rPr>
        <w:t>LEY DE ADQUISICONES DEL ESTADO DE SAN LUIS POTOSÍ</w:t>
      </w:r>
      <w:r>
        <w:rPr>
          <w:rFonts w:ascii="Arial Black" w:hAnsi="Arial Black"/>
          <w:sz w:val="24"/>
          <w:szCs w:val="24"/>
        </w:rPr>
        <w:t>:</w:t>
      </w:r>
    </w:p>
    <w:p w14:paraId="686762EA" w14:textId="2D7EA6B6" w:rsidR="003C6CAD" w:rsidRDefault="003C6CAD" w:rsidP="003C6CAD">
      <w:pPr>
        <w:rPr>
          <w:rFonts w:ascii="Arial Black" w:hAnsi="Arial Black"/>
          <w:sz w:val="16"/>
          <w:szCs w:val="16"/>
        </w:rPr>
      </w:pPr>
      <w:r>
        <w:rPr>
          <w:rFonts w:ascii="Arial Black" w:hAnsi="Arial Black"/>
          <w:sz w:val="16"/>
          <w:szCs w:val="16"/>
        </w:rPr>
        <w:t>[….]</w:t>
      </w:r>
    </w:p>
    <w:p w14:paraId="4C6F0450" w14:textId="77777777" w:rsidR="003C6CAD" w:rsidRPr="003C6CAD" w:rsidRDefault="003C6CAD" w:rsidP="003C6CAD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3C6CAD">
        <w:rPr>
          <w:rFonts w:asciiTheme="minorHAnsi" w:hAnsiTheme="minorHAnsi" w:cstheme="minorHAnsi"/>
          <w:sz w:val="20"/>
          <w:szCs w:val="20"/>
        </w:rPr>
        <w:t xml:space="preserve">ARTICULO 22.- Las adquisiciones, arrendamientos y servicios, solamente podrán efectuarse mediante: </w:t>
      </w:r>
    </w:p>
    <w:p w14:paraId="5A05485A" w14:textId="28244ADF" w:rsidR="003C6CAD" w:rsidRPr="003C6CAD" w:rsidRDefault="003C6CAD" w:rsidP="003C6CAD">
      <w:pPr>
        <w:pStyle w:val="Default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I.-Li</w:t>
      </w:r>
      <w:r w:rsidRPr="003C6CAD">
        <w:rPr>
          <w:rFonts w:asciiTheme="minorHAnsi" w:hAnsiTheme="minorHAnsi" w:cstheme="minorHAnsi"/>
          <w:sz w:val="20"/>
          <w:szCs w:val="20"/>
        </w:rPr>
        <w:t xml:space="preserve">citación pública; </w:t>
      </w:r>
    </w:p>
    <w:p w14:paraId="17B595FD" w14:textId="77777777" w:rsidR="003C6CAD" w:rsidRPr="003C6CAD" w:rsidRDefault="003C6CAD" w:rsidP="003C6CAD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3C6CAD">
        <w:rPr>
          <w:rFonts w:asciiTheme="minorHAnsi" w:hAnsiTheme="minorHAnsi" w:cstheme="minorHAnsi"/>
          <w:sz w:val="20"/>
          <w:szCs w:val="20"/>
        </w:rPr>
        <w:t xml:space="preserve">II. Invitación restringida a cuando menos tres proveedores; y </w:t>
      </w:r>
    </w:p>
    <w:p w14:paraId="2C47D6F7" w14:textId="77777777" w:rsidR="003C6CAD" w:rsidRPr="003C6CAD" w:rsidRDefault="003C6CAD" w:rsidP="003C6CAD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3C6CAD">
        <w:rPr>
          <w:rFonts w:asciiTheme="minorHAnsi" w:hAnsiTheme="minorHAnsi" w:cstheme="minorHAnsi"/>
          <w:sz w:val="20"/>
          <w:szCs w:val="20"/>
        </w:rPr>
        <w:t xml:space="preserve">III. Adjudicación directa. </w:t>
      </w:r>
    </w:p>
    <w:p w14:paraId="3BBCEB1A" w14:textId="6ECE596C" w:rsidR="00401BEC" w:rsidRDefault="00401BEC" w:rsidP="003C6CAD">
      <w:pPr>
        <w:rPr>
          <w:rFonts w:cstheme="minorHAnsi"/>
          <w:sz w:val="20"/>
          <w:szCs w:val="20"/>
        </w:rPr>
      </w:pPr>
    </w:p>
    <w:p w14:paraId="7D49851C" w14:textId="135910D3" w:rsidR="003C6CAD" w:rsidRPr="003C6CAD" w:rsidRDefault="003C6CAD" w:rsidP="003C6CAD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[……]</w:t>
      </w:r>
    </w:p>
    <w:p w14:paraId="0DF056A0" w14:textId="77777777" w:rsidR="00603EF2" w:rsidRPr="00ED71C3" w:rsidRDefault="00603EF2" w:rsidP="00603EF2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 xml:space="preserve">ARTICULO 42.- El procedimiento de </w:t>
      </w:r>
      <w:r w:rsidRPr="00ED71C3">
        <w:rPr>
          <w:rFonts w:asciiTheme="minorHAnsi" w:hAnsiTheme="minorHAnsi" w:cstheme="minorHAnsi"/>
          <w:sz w:val="20"/>
          <w:szCs w:val="20"/>
          <w:u w:val="single"/>
        </w:rPr>
        <w:t>invitación restringida</w:t>
      </w:r>
      <w:r w:rsidRPr="00ED71C3">
        <w:rPr>
          <w:rFonts w:asciiTheme="minorHAnsi" w:hAnsiTheme="minorHAnsi" w:cstheme="minorHAnsi"/>
          <w:sz w:val="20"/>
          <w:szCs w:val="20"/>
        </w:rPr>
        <w:t xml:space="preserve"> a cuando menos tres proveedores, deberá realizarse en forma sumaria, en una sola etapa conforme a las siguientes formalidades: </w:t>
      </w:r>
    </w:p>
    <w:p w14:paraId="5837F6FD" w14:textId="77777777" w:rsidR="00603EF2" w:rsidRPr="00ED71C3" w:rsidRDefault="00603EF2" w:rsidP="00603EF2">
      <w:pPr>
        <w:pStyle w:val="Default"/>
        <w:rPr>
          <w:rFonts w:asciiTheme="minorHAnsi" w:hAnsiTheme="minorHAnsi" w:cstheme="minorHAnsi"/>
          <w:sz w:val="20"/>
          <w:szCs w:val="20"/>
        </w:rPr>
      </w:pPr>
    </w:p>
    <w:p w14:paraId="760B30F5" w14:textId="77777777" w:rsidR="00603EF2" w:rsidRPr="00ED71C3" w:rsidRDefault="00603EF2" w:rsidP="00603EF2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 xml:space="preserve">I. Entrega de propuesta económica, firmada por quien esté autorizado legalmente para ello, misma que será obsequiada en sobre cerrado dirigido al </w:t>
      </w:r>
      <w:proofErr w:type="spellStart"/>
      <w:r w:rsidRPr="00ED71C3">
        <w:rPr>
          <w:rFonts w:asciiTheme="minorHAnsi" w:hAnsiTheme="minorHAnsi" w:cstheme="minorHAnsi"/>
          <w:sz w:val="20"/>
          <w:szCs w:val="20"/>
        </w:rPr>
        <w:t>requeriente</w:t>
      </w:r>
      <w:proofErr w:type="spellEnd"/>
      <w:r w:rsidRPr="00ED71C3">
        <w:rPr>
          <w:rFonts w:asciiTheme="minorHAnsi" w:hAnsiTheme="minorHAnsi" w:cstheme="minorHAnsi"/>
          <w:sz w:val="20"/>
          <w:szCs w:val="20"/>
        </w:rPr>
        <w:t xml:space="preserve">, conteniendo las especificaciones técnicas del bien o servicio de que se trate; </w:t>
      </w:r>
    </w:p>
    <w:p w14:paraId="26621A2C" w14:textId="77777777" w:rsidR="00603EF2" w:rsidRPr="00ED71C3" w:rsidRDefault="00603EF2" w:rsidP="00603EF2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 xml:space="preserve">II. El acto de apertura de propuesta económica se llevará a cabo sin la presencia de los correspondientes proveedores, pero, invariablemente, se invitará al representante del órgano de control de la institución; </w:t>
      </w:r>
    </w:p>
    <w:p w14:paraId="1C92C482" w14:textId="77777777" w:rsidR="00603EF2" w:rsidRPr="00ED71C3" w:rsidRDefault="00603EF2" w:rsidP="00603EF2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 xml:space="preserve">III. </w:t>
      </w:r>
      <w:proofErr w:type="spellStart"/>
      <w:r w:rsidRPr="00ED71C3">
        <w:rPr>
          <w:rFonts w:asciiTheme="minorHAnsi" w:hAnsiTheme="minorHAnsi" w:cstheme="minorHAnsi"/>
          <w:sz w:val="20"/>
          <w:szCs w:val="20"/>
        </w:rPr>
        <w:t>Recepcionadas</w:t>
      </w:r>
      <w:proofErr w:type="spellEnd"/>
      <w:r w:rsidRPr="00ED71C3">
        <w:rPr>
          <w:rFonts w:asciiTheme="minorHAnsi" w:hAnsiTheme="minorHAnsi" w:cstheme="minorHAnsi"/>
          <w:sz w:val="20"/>
          <w:szCs w:val="20"/>
        </w:rPr>
        <w:t xml:space="preserve"> las propuestas económicas, las áreas administrativas elaborarán cuadros comparativos de éstas, autorizados con la firma del titular y el representante del órgano de control; </w:t>
      </w:r>
    </w:p>
    <w:p w14:paraId="45895D62" w14:textId="77777777" w:rsidR="00603EF2" w:rsidRPr="00ED71C3" w:rsidRDefault="00603EF2" w:rsidP="00603EF2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 xml:space="preserve">IV. Para llevar a cabo la adjudicación se deberá contar con un mínimo de dos propuestas económicas solventes. De no existir éstas, el procedimiento se declarará desierto, quedando obligada el área administrativa a iniciar un nuevo procedimiento; </w:t>
      </w:r>
    </w:p>
    <w:p w14:paraId="41D04E3F" w14:textId="77777777" w:rsidR="00603EF2" w:rsidRPr="00ED71C3" w:rsidRDefault="00603EF2" w:rsidP="00603EF2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>V. En las solicitudes de cotización, se indicarán como mínimo la calidad y descripción de los bienes o servicios requeridos, plazo, lugar de entrega y condiciones de pago</w:t>
      </w:r>
      <w:r>
        <w:rPr>
          <w:rFonts w:asciiTheme="minorHAnsi" w:hAnsiTheme="minorHAnsi" w:cstheme="minorHAnsi"/>
          <w:sz w:val="20"/>
          <w:szCs w:val="20"/>
        </w:rPr>
        <w:t>.</w:t>
      </w:r>
    </w:p>
    <w:p w14:paraId="6F5691F6" w14:textId="77777777" w:rsidR="00603EF2" w:rsidRDefault="00603EF2" w:rsidP="00603EF2">
      <w:pPr>
        <w:pStyle w:val="Default"/>
        <w:jc w:val="both"/>
        <w:rPr>
          <w:sz w:val="20"/>
          <w:szCs w:val="20"/>
        </w:rPr>
      </w:pPr>
      <w:r w:rsidRPr="001C70D0">
        <w:rPr>
          <w:rFonts w:asciiTheme="minorHAnsi" w:hAnsiTheme="minorHAnsi" w:cstheme="minorHAnsi"/>
          <w:sz w:val="20"/>
          <w:szCs w:val="20"/>
        </w:rPr>
        <w:t>VI. Los plazos para la presentación de las proposiciones se fijarán en cada operación, atendiendo al tipo de bienes o servicios requeridos, así como a la complejidad para elaborar la propuesta y llevar a cabo su evaluación</w:t>
      </w:r>
      <w:r>
        <w:rPr>
          <w:sz w:val="20"/>
          <w:szCs w:val="20"/>
        </w:rPr>
        <w:t>.</w:t>
      </w:r>
    </w:p>
    <w:p w14:paraId="7BB363EA" w14:textId="77777777" w:rsidR="003D6964" w:rsidRDefault="003D6964" w:rsidP="00603EF2">
      <w:pPr>
        <w:pStyle w:val="Default"/>
        <w:jc w:val="both"/>
        <w:rPr>
          <w:sz w:val="20"/>
          <w:szCs w:val="20"/>
        </w:rPr>
      </w:pPr>
    </w:p>
    <w:p w14:paraId="0A517955" w14:textId="41E55F9E" w:rsidR="003D6964" w:rsidRPr="003D6964" w:rsidRDefault="003D6964" w:rsidP="003D6964">
      <w:pPr>
        <w:pStyle w:val="Default"/>
        <w:jc w:val="center"/>
        <w:rPr>
          <w:b/>
          <w:bCs/>
          <w:sz w:val="20"/>
          <w:szCs w:val="20"/>
        </w:rPr>
      </w:pPr>
      <w:r w:rsidRPr="003D6964">
        <w:rPr>
          <w:b/>
          <w:bCs/>
          <w:sz w:val="20"/>
          <w:szCs w:val="20"/>
        </w:rPr>
        <w:t xml:space="preserve">REFERENTE A LA FACTURA QUE CUMPLA CON REQUISITOS FISCALES, DEBIDO AL CAMBIO DE </w:t>
      </w:r>
      <w:r>
        <w:rPr>
          <w:b/>
          <w:bCs/>
          <w:sz w:val="20"/>
          <w:szCs w:val="20"/>
        </w:rPr>
        <w:t>LINEAMIENTOS,</w:t>
      </w:r>
      <w:r w:rsidRPr="003D6964">
        <w:rPr>
          <w:b/>
          <w:bCs/>
          <w:sz w:val="20"/>
          <w:szCs w:val="20"/>
        </w:rPr>
        <w:t xml:space="preserve"> E</w:t>
      </w:r>
      <w:r>
        <w:rPr>
          <w:b/>
          <w:bCs/>
          <w:sz w:val="20"/>
          <w:szCs w:val="20"/>
        </w:rPr>
        <w:t>S</w:t>
      </w:r>
      <w:r w:rsidRPr="003D6964">
        <w:rPr>
          <w:b/>
          <w:bCs/>
          <w:sz w:val="20"/>
          <w:szCs w:val="20"/>
        </w:rPr>
        <w:t xml:space="preserve"> NECESARIO MAS TIEMPO PARA PROCESAR LA INFORMACIÓN.</w:t>
      </w:r>
    </w:p>
    <w:p w14:paraId="2D3DB99D" w14:textId="77777777" w:rsidR="003D6964" w:rsidRPr="00ED71C3" w:rsidRDefault="003D6964" w:rsidP="00603EF2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</w:p>
    <w:sectPr w:rsidR="003D6964" w:rsidRPr="00ED71C3" w:rsidSect="00255D9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7E764F"/>
    <w:multiLevelType w:val="hybridMultilevel"/>
    <w:tmpl w:val="8CDC7D32"/>
    <w:lvl w:ilvl="0" w:tplc="005288D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8F5AB1"/>
    <w:multiLevelType w:val="hybridMultilevel"/>
    <w:tmpl w:val="68562A5C"/>
    <w:lvl w:ilvl="0" w:tplc="649A0880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6555240">
    <w:abstractNumId w:val="1"/>
  </w:num>
  <w:num w:numId="2" w16cid:durableId="7961453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932"/>
    <w:rsid w:val="001579F6"/>
    <w:rsid w:val="002367A8"/>
    <w:rsid w:val="00255D93"/>
    <w:rsid w:val="002D44B6"/>
    <w:rsid w:val="003A600D"/>
    <w:rsid w:val="003B2245"/>
    <w:rsid w:val="003C6CAD"/>
    <w:rsid w:val="003D6964"/>
    <w:rsid w:val="003F4AF4"/>
    <w:rsid w:val="00401BEC"/>
    <w:rsid w:val="00473346"/>
    <w:rsid w:val="00603EF2"/>
    <w:rsid w:val="0062325E"/>
    <w:rsid w:val="0073780D"/>
    <w:rsid w:val="00740E56"/>
    <w:rsid w:val="007520F5"/>
    <w:rsid w:val="00782393"/>
    <w:rsid w:val="00915932"/>
    <w:rsid w:val="0093491E"/>
    <w:rsid w:val="00A80C6A"/>
    <w:rsid w:val="00B02307"/>
    <w:rsid w:val="00B307D9"/>
    <w:rsid w:val="00D05892"/>
    <w:rsid w:val="00D5323D"/>
    <w:rsid w:val="00E20292"/>
    <w:rsid w:val="00F32C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DA34D0"/>
  <w15:docId w15:val="{67F60652-36A1-4E2A-A1E4-6C00CBCB1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3C6CA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7C5677-2049-44D8-B7D5-56C17FF1FB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314</Words>
  <Characters>1727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Gerardo Rdz</dc:creator>
  <cp:lastModifiedBy>Compras UAM</cp:lastModifiedBy>
  <cp:revision>2</cp:revision>
  <dcterms:created xsi:type="dcterms:W3CDTF">2024-09-09T17:36:00Z</dcterms:created>
  <dcterms:modified xsi:type="dcterms:W3CDTF">2024-09-09T17:36:00Z</dcterms:modified>
</cp:coreProperties>
</file>