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B91" w:rsidRDefault="00E10289" w:rsidP="00611B91">
      <w:pPr>
        <w:tabs>
          <w:tab w:val="left" w:pos="1245"/>
        </w:tabs>
        <w:rPr>
          <w:b/>
          <w:sz w:val="40"/>
          <w:szCs w:val="40"/>
        </w:rPr>
      </w:pPr>
      <w:r>
        <w:rPr>
          <w:rFonts w:ascii="Century Gothic" w:hAnsi="Century Gothic"/>
          <w:i/>
          <w:noProof/>
          <w:color w:val="000080"/>
          <w:lang w:val="en-US"/>
        </w:rPr>
        <w:drawing>
          <wp:anchor distT="0" distB="0" distL="114300" distR="114300" simplePos="0" relativeHeight="251661312" behindDoc="0" locked="0" layoutInCell="1" allowOverlap="1" wp14:anchorId="1A058B75" wp14:editId="61C3D757">
            <wp:simplePos x="0" y="0"/>
            <wp:positionH relativeFrom="column">
              <wp:posOffset>1368260</wp:posOffset>
            </wp:positionH>
            <wp:positionV relativeFrom="paragraph">
              <wp:posOffset>-1905</wp:posOffset>
            </wp:positionV>
            <wp:extent cx="4498975" cy="419100"/>
            <wp:effectExtent l="0" t="0" r="0" b="0"/>
            <wp:wrapNone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8975" cy="41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1B91">
        <w:rPr>
          <w:b/>
          <w:sz w:val="40"/>
          <w:szCs w:val="40"/>
        </w:rPr>
        <w:tab/>
      </w:r>
      <w:r>
        <w:rPr>
          <w:rFonts w:ascii="Century Gothic" w:hAnsi="Century Gothic"/>
          <w:i/>
          <w:noProof/>
          <w:color w:val="000080"/>
          <w:lang w:val="en-US"/>
        </w:rPr>
        <w:drawing>
          <wp:anchor distT="0" distB="0" distL="114300" distR="114300" simplePos="0" relativeHeight="251659264" behindDoc="0" locked="0" layoutInCell="1" allowOverlap="1" wp14:anchorId="003DA74B" wp14:editId="58478B63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188720" cy="1188720"/>
            <wp:effectExtent l="0" t="0" r="0" b="0"/>
            <wp:wrapNone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188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11B91" w:rsidRDefault="00611B91" w:rsidP="00611B91">
      <w:pPr>
        <w:jc w:val="center"/>
        <w:rPr>
          <w:b/>
          <w:sz w:val="40"/>
          <w:szCs w:val="40"/>
        </w:rPr>
      </w:pPr>
    </w:p>
    <w:p w:rsidR="00611B91" w:rsidRPr="00477515" w:rsidRDefault="00611B91" w:rsidP="00611B91">
      <w:pPr>
        <w:jc w:val="center"/>
        <w:rPr>
          <w:b/>
          <w:sz w:val="40"/>
          <w:szCs w:val="40"/>
        </w:rPr>
      </w:pPr>
      <w:r w:rsidRPr="00477515">
        <w:rPr>
          <w:b/>
          <w:sz w:val="40"/>
          <w:szCs w:val="40"/>
        </w:rPr>
        <w:t>NO SE GENERA</w:t>
      </w:r>
    </w:p>
    <w:p w:rsidR="00611B91" w:rsidRDefault="00611B91" w:rsidP="00611B91"/>
    <w:p w:rsidR="00611B91" w:rsidRDefault="00611B91" w:rsidP="00611B91">
      <w:pPr>
        <w:jc w:val="both"/>
      </w:pPr>
      <w:r>
        <w:t xml:space="preserve">ESTO EN ATENCIÓN A QUE LA SESIÓN </w:t>
      </w:r>
      <w:bookmarkStart w:id="0" w:name="_GoBack"/>
      <w:bookmarkEnd w:id="0"/>
      <w:r>
        <w:t xml:space="preserve">CELEBRADA EN EL MES QUE SE REPORTA TIENEN EL CARÁCTER DE PÚBLICA, DE CONFORMIDAD </w:t>
      </w:r>
      <w:r w:rsidR="00D96755">
        <w:t xml:space="preserve">LA NORMATIVIDAD APLICABLE. </w:t>
      </w:r>
    </w:p>
    <w:p w:rsidR="00FC571A" w:rsidRDefault="00FC571A"/>
    <w:sectPr w:rsidR="00FC571A" w:rsidSect="000032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B91"/>
    <w:rsid w:val="001A6F5C"/>
    <w:rsid w:val="00611B91"/>
    <w:rsid w:val="00D96755"/>
    <w:rsid w:val="00E10289"/>
    <w:rsid w:val="00FC5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9AE56"/>
  <w15:chartTrackingRefBased/>
  <w15:docId w15:val="{3A35E75E-7102-4DD7-8487-39467F6B7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1B9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Paulina Guadalupe Arredondo Mendez</cp:lastModifiedBy>
  <cp:revision>2</cp:revision>
  <dcterms:created xsi:type="dcterms:W3CDTF">2026-04-09T20:02:00Z</dcterms:created>
  <dcterms:modified xsi:type="dcterms:W3CDTF">2026-04-09T20:02:00Z</dcterms:modified>
</cp:coreProperties>
</file>