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16DF66" w14:textId="07AC7A3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 xml:space="preserve">SOLICITUDES DE ACCESO A LA INFORMACIÓN RECIBIDAS DURANTE EL MES </w:t>
      </w:r>
      <w:r w:rsidR="000A3F1C">
        <w:rPr>
          <w:rFonts w:ascii="Literata 18pt" w:eastAsia="Times New Roman" w:hAnsi="Literata 18pt" w:cs="Tahoma"/>
          <w:b/>
          <w:sz w:val="16"/>
          <w:szCs w:val="16"/>
          <w:lang w:val="es-ES" w:eastAsia="es-ES"/>
        </w:rPr>
        <w:t xml:space="preserve">DE </w:t>
      </w:r>
      <w:r w:rsidR="00AE33DC">
        <w:rPr>
          <w:rFonts w:ascii="Literata 18pt" w:eastAsia="Times New Roman" w:hAnsi="Literata 18pt" w:cs="Tahoma"/>
          <w:b/>
          <w:sz w:val="16"/>
          <w:szCs w:val="16"/>
          <w:lang w:val="es-ES" w:eastAsia="es-ES"/>
        </w:rPr>
        <w:t>ENERO</w:t>
      </w:r>
      <w:r w:rsidR="0093189C">
        <w:rPr>
          <w:rFonts w:ascii="Literata 18pt" w:eastAsia="Times New Roman" w:hAnsi="Literata 18pt" w:cs="Tahoma"/>
          <w:b/>
          <w:sz w:val="16"/>
          <w:szCs w:val="16"/>
          <w:lang w:val="es-ES" w:eastAsia="es-ES"/>
        </w:rPr>
        <w:t xml:space="preserve"> </w:t>
      </w:r>
      <w:r w:rsidR="00AE33DC">
        <w:rPr>
          <w:rFonts w:ascii="Literata 18pt" w:eastAsia="Times New Roman" w:hAnsi="Literata 18pt" w:cs="Tahoma"/>
          <w:b/>
          <w:sz w:val="16"/>
          <w:szCs w:val="16"/>
          <w:lang w:val="es-ES" w:eastAsia="es-ES"/>
        </w:rPr>
        <w:t>DE 2025</w:t>
      </w:r>
    </w:p>
    <w:p w14:paraId="25851AF5"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p>
    <w:tbl>
      <w:tblPr>
        <w:tblW w:w="15244"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11"/>
        <w:gridCol w:w="2002"/>
        <w:gridCol w:w="3951"/>
        <w:gridCol w:w="6880"/>
      </w:tblGrid>
      <w:tr w:rsidR="00754199" w:rsidRPr="001C086B" w14:paraId="6C11576D" w14:textId="77777777" w:rsidTr="00E22FAC">
        <w:trPr>
          <w:trHeight w:val="841"/>
        </w:trPr>
        <w:tc>
          <w:tcPr>
            <w:tcW w:w="2411" w:type="dxa"/>
            <w:tcBorders>
              <w:bottom w:val="single" w:sz="4" w:space="0" w:color="000000"/>
            </w:tcBorders>
            <w:shd w:val="clear" w:color="auto" w:fill="C2D69B"/>
          </w:tcPr>
          <w:p w14:paraId="7E67E6BE"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FOLIO DE LA SOLICITUD</w:t>
            </w:r>
          </w:p>
        </w:tc>
        <w:tc>
          <w:tcPr>
            <w:tcW w:w="2002" w:type="dxa"/>
            <w:tcBorders>
              <w:bottom w:val="single" w:sz="4" w:space="0" w:color="000000"/>
            </w:tcBorders>
            <w:shd w:val="clear" w:color="auto" w:fill="C2D69B"/>
          </w:tcPr>
          <w:p w14:paraId="730BFAA3"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FECHA DE PRESENTACIÓN DE LA SOLICITUD</w:t>
            </w:r>
          </w:p>
        </w:tc>
        <w:tc>
          <w:tcPr>
            <w:tcW w:w="3951" w:type="dxa"/>
            <w:tcBorders>
              <w:bottom w:val="single" w:sz="4" w:space="0" w:color="000000"/>
            </w:tcBorders>
            <w:shd w:val="clear" w:color="auto" w:fill="C2D69B"/>
          </w:tcPr>
          <w:p w14:paraId="2D9B238C"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CONTENIDO DE LA SOLICITUD</w:t>
            </w:r>
          </w:p>
        </w:tc>
        <w:tc>
          <w:tcPr>
            <w:tcW w:w="6880" w:type="dxa"/>
            <w:tcBorders>
              <w:bottom w:val="single" w:sz="4" w:space="0" w:color="000000"/>
            </w:tcBorders>
            <w:shd w:val="clear" w:color="auto" w:fill="C2D69B"/>
          </w:tcPr>
          <w:p w14:paraId="33AF6DBA" w14:textId="77777777" w:rsidR="00754199" w:rsidRPr="001C086B" w:rsidRDefault="00754199" w:rsidP="00754199">
            <w:pPr>
              <w:spacing w:after="0" w:line="240" w:lineRule="auto"/>
              <w:jc w:val="center"/>
              <w:rPr>
                <w:rFonts w:ascii="Literata 18pt" w:eastAsia="Times New Roman" w:hAnsi="Literata 18pt" w:cs="Tahoma"/>
                <w:b/>
                <w:sz w:val="16"/>
                <w:szCs w:val="16"/>
                <w:lang w:val="es-ES" w:eastAsia="es-ES"/>
              </w:rPr>
            </w:pPr>
            <w:r w:rsidRPr="001C086B">
              <w:rPr>
                <w:rFonts w:ascii="Literata 18pt" w:eastAsia="Times New Roman" w:hAnsi="Literata 18pt" w:cs="Tahoma"/>
                <w:b/>
                <w:sz w:val="16"/>
                <w:szCs w:val="16"/>
                <w:lang w:val="es-ES" w:eastAsia="es-ES"/>
              </w:rPr>
              <w:t>RESPUESTA OTORGADA</w:t>
            </w:r>
          </w:p>
        </w:tc>
      </w:tr>
      <w:tr w:rsidR="002D44A6" w:rsidRPr="001C086B" w14:paraId="3B4E4D1F" w14:textId="77777777" w:rsidTr="002D44A6">
        <w:trPr>
          <w:trHeight w:val="841"/>
        </w:trPr>
        <w:tc>
          <w:tcPr>
            <w:tcW w:w="2411" w:type="dxa"/>
            <w:shd w:val="clear" w:color="auto" w:fill="C2D69B"/>
          </w:tcPr>
          <w:p w14:paraId="2E0D27F0" w14:textId="24D688B2" w:rsidR="002D44A6" w:rsidRPr="001C086B" w:rsidRDefault="00AE33DC" w:rsidP="00754199">
            <w:pPr>
              <w:spacing w:after="0" w:line="240" w:lineRule="auto"/>
              <w:jc w:val="center"/>
              <w:rPr>
                <w:rFonts w:ascii="Literata 18pt" w:eastAsia="Times New Roman" w:hAnsi="Literata 18pt" w:cs="Tahoma"/>
                <w:b/>
                <w:sz w:val="16"/>
                <w:szCs w:val="16"/>
                <w:lang w:val="es-ES" w:eastAsia="es-ES"/>
              </w:rPr>
            </w:pPr>
            <w:r>
              <w:rPr>
                <w:rFonts w:ascii="Segoe UI" w:hAnsi="Segoe UI" w:cs="Segoe UI"/>
                <w:color w:val="212121"/>
                <w:sz w:val="19"/>
                <w:szCs w:val="19"/>
                <w:shd w:val="clear" w:color="auto" w:fill="FFFFFF"/>
              </w:rPr>
              <w:t>241196125000001</w:t>
            </w:r>
          </w:p>
        </w:tc>
        <w:tc>
          <w:tcPr>
            <w:tcW w:w="2002" w:type="dxa"/>
            <w:shd w:val="clear" w:color="auto" w:fill="C2D69B"/>
          </w:tcPr>
          <w:p w14:paraId="49C200F9" w14:textId="5E3B67C3" w:rsidR="002D44A6" w:rsidRPr="001C086B" w:rsidRDefault="00E22FAC" w:rsidP="00AE33DC">
            <w:pPr>
              <w:spacing w:after="0" w:line="240" w:lineRule="auto"/>
              <w:jc w:val="center"/>
              <w:rPr>
                <w:rFonts w:ascii="Literata 18pt" w:eastAsia="Times New Roman" w:hAnsi="Literata 18pt" w:cs="Tahoma"/>
                <w:b/>
                <w:sz w:val="16"/>
                <w:szCs w:val="16"/>
                <w:lang w:val="es-ES" w:eastAsia="es-ES"/>
              </w:rPr>
            </w:pPr>
            <w:r>
              <w:rPr>
                <w:rFonts w:ascii="Literata 18pt" w:eastAsia="Times New Roman" w:hAnsi="Literata 18pt" w:cs="Tahoma"/>
                <w:b/>
                <w:sz w:val="16"/>
                <w:szCs w:val="16"/>
                <w:lang w:val="es-ES" w:eastAsia="es-ES"/>
              </w:rPr>
              <w:t>0</w:t>
            </w:r>
            <w:r w:rsidR="00AE33DC">
              <w:rPr>
                <w:rFonts w:ascii="Literata 18pt" w:eastAsia="Times New Roman" w:hAnsi="Literata 18pt" w:cs="Tahoma"/>
                <w:b/>
                <w:sz w:val="16"/>
                <w:szCs w:val="16"/>
                <w:lang w:val="es-ES" w:eastAsia="es-ES"/>
              </w:rPr>
              <w:t>7/01/2025</w:t>
            </w:r>
          </w:p>
        </w:tc>
        <w:tc>
          <w:tcPr>
            <w:tcW w:w="3951" w:type="dxa"/>
            <w:shd w:val="clear" w:color="auto" w:fill="C2D69B"/>
          </w:tcPr>
          <w:p w14:paraId="41180A83"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A las autoridades consultadas, y con fundamento en el derecho a la información, emitir:</w:t>
            </w:r>
          </w:p>
          <w:p w14:paraId="525808AC"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 xml:space="preserve">-Documentos en </w:t>
            </w:r>
            <w:proofErr w:type="spellStart"/>
            <w:r w:rsidRPr="00AE33DC">
              <w:rPr>
                <w:rFonts w:ascii="Literata 18pt" w:eastAsia="Times New Roman" w:hAnsi="Literata 18pt" w:cs="Tahoma"/>
                <w:b/>
                <w:sz w:val="16"/>
                <w:szCs w:val="16"/>
                <w:lang w:val="es-ES" w:eastAsia="es-ES"/>
              </w:rPr>
              <w:t>pdf</w:t>
            </w:r>
            <w:proofErr w:type="spellEnd"/>
            <w:r w:rsidRPr="00AE33DC">
              <w:rPr>
                <w:rFonts w:ascii="Literata 18pt" w:eastAsia="Times New Roman" w:hAnsi="Literata 18pt" w:cs="Tahoma"/>
                <w:b/>
                <w:sz w:val="16"/>
                <w:szCs w:val="16"/>
                <w:lang w:val="es-ES" w:eastAsia="es-ES"/>
              </w:rPr>
              <w:t xml:space="preserve">, </w:t>
            </w:r>
            <w:proofErr w:type="spellStart"/>
            <w:r w:rsidRPr="00AE33DC">
              <w:rPr>
                <w:rFonts w:ascii="Literata 18pt" w:eastAsia="Times New Roman" w:hAnsi="Literata 18pt" w:cs="Tahoma"/>
                <w:b/>
                <w:sz w:val="16"/>
                <w:szCs w:val="16"/>
                <w:lang w:val="es-ES" w:eastAsia="es-ES"/>
              </w:rPr>
              <w:t>word</w:t>
            </w:r>
            <w:proofErr w:type="spellEnd"/>
            <w:r w:rsidRPr="00AE33DC">
              <w:rPr>
                <w:rFonts w:ascii="Literata 18pt" w:eastAsia="Times New Roman" w:hAnsi="Literata 18pt" w:cs="Tahoma"/>
                <w:b/>
                <w:sz w:val="16"/>
                <w:szCs w:val="16"/>
                <w:lang w:val="es-ES" w:eastAsia="es-ES"/>
              </w:rPr>
              <w:t xml:space="preserve"> o </w:t>
            </w:r>
            <w:proofErr w:type="spellStart"/>
            <w:r w:rsidRPr="00AE33DC">
              <w:rPr>
                <w:rFonts w:ascii="Literata 18pt" w:eastAsia="Times New Roman" w:hAnsi="Literata 18pt" w:cs="Tahoma"/>
                <w:b/>
                <w:sz w:val="16"/>
                <w:szCs w:val="16"/>
                <w:lang w:val="es-ES" w:eastAsia="es-ES"/>
              </w:rPr>
              <w:t>excel</w:t>
            </w:r>
            <w:proofErr w:type="spellEnd"/>
            <w:r w:rsidRPr="00AE33DC">
              <w:rPr>
                <w:rFonts w:ascii="Literata 18pt" w:eastAsia="Times New Roman" w:hAnsi="Literata 18pt" w:cs="Tahoma"/>
                <w:b/>
                <w:sz w:val="16"/>
                <w:szCs w:val="16"/>
                <w:lang w:val="es-ES" w:eastAsia="es-ES"/>
              </w:rPr>
              <w:t xml:space="preserve"> que acrediten los costos y adquisiciones de las luminarias, adornos y luces que fueron colocadas con motivo de las celebraciones navideñas en el Centro Histórico de San Luis Potosí, durante diciembre del año 2024.</w:t>
            </w:r>
          </w:p>
          <w:p w14:paraId="16519A75"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 xml:space="preserve">Adjuntar documentos que prueben la compra o renta de estas luminarias, adornos y luces que fueron colocadas en diversas plazas como Plaza Fundadores, Plaza de Armas, Plaza del Carmen, Jardín de San Francisco, corredores como Avenida Carranza y la Calzada de Guadalupe, así como edificios tales como Edificio </w:t>
            </w:r>
            <w:proofErr w:type="spellStart"/>
            <w:r w:rsidRPr="00AE33DC">
              <w:rPr>
                <w:rFonts w:ascii="Literata 18pt" w:eastAsia="Times New Roman" w:hAnsi="Literata 18pt" w:cs="Tahoma"/>
                <w:b/>
                <w:sz w:val="16"/>
                <w:szCs w:val="16"/>
                <w:lang w:val="es-ES" w:eastAsia="es-ES"/>
              </w:rPr>
              <w:t>Ipiña</w:t>
            </w:r>
            <w:proofErr w:type="spellEnd"/>
            <w:r w:rsidRPr="00AE33DC">
              <w:rPr>
                <w:rFonts w:ascii="Literata 18pt" w:eastAsia="Times New Roman" w:hAnsi="Literata 18pt" w:cs="Tahoma"/>
                <w:b/>
                <w:sz w:val="16"/>
                <w:szCs w:val="16"/>
                <w:lang w:val="es-ES" w:eastAsia="es-ES"/>
              </w:rPr>
              <w:t xml:space="preserve"> y el Museo de la Máscara.</w:t>
            </w:r>
          </w:p>
          <w:p w14:paraId="604F6479" w14:textId="539F4A87" w:rsidR="00E22FAC" w:rsidRPr="00E22FA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Señalar los montos de gastos por estas luminarias, adornos y luces, a quien fueron compradas o rentadas, y bajo que rubro de presupuesto fueron ejercidos tales gastos.</w:t>
            </w:r>
          </w:p>
          <w:p w14:paraId="32AC21AE" w14:textId="4103709B" w:rsidR="002D44A6" w:rsidRPr="001C086B" w:rsidRDefault="002D44A6" w:rsidP="00E22FAC">
            <w:pPr>
              <w:spacing w:after="0" w:line="240" w:lineRule="auto"/>
              <w:jc w:val="center"/>
              <w:rPr>
                <w:rFonts w:ascii="Literata 18pt" w:eastAsia="Times New Roman" w:hAnsi="Literata 18pt" w:cs="Tahoma"/>
                <w:b/>
                <w:sz w:val="16"/>
                <w:szCs w:val="16"/>
                <w:lang w:val="es-ES" w:eastAsia="es-ES"/>
              </w:rPr>
            </w:pPr>
          </w:p>
        </w:tc>
        <w:tc>
          <w:tcPr>
            <w:tcW w:w="6880" w:type="dxa"/>
            <w:shd w:val="clear" w:color="auto" w:fill="C2D69B"/>
          </w:tcPr>
          <w:p w14:paraId="6E55AC79"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A las autoridades consultadas, y con fundamento en el derecho a la información, emitir:</w:t>
            </w:r>
          </w:p>
          <w:p w14:paraId="67C6988A"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 xml:space="preserve">-Documentos en </w:t>
            </w:r>
            <w:proofErr w:type="spellStart"/>
            <w:r w:rsidRPr="00AE33DC">
              <w:rPr>
                <w:rFonts w:ascii="Literata 18pt" w:eastAsia="Times New Roman" w:hAnsi="Literata 18pt" w:cs="Tahoma"/>
                <w:b/>
                <w:sz w:val="16"/>
                <w:szCs w:val="16"/>
                <w:lang w:val="es-ES" w:eastAsia="es-ES"/>
              </w:rPr>
              <w:t>pdf</w:t>
            </w:r>
            <w:proofErr w:type="spellEnd"/>
            <w:r w:rsidRPr="00AE33DC">
              <w:rPr>
                <w:rFonts w:ascii="Literata 18pt" w:eastAsia="Times New Roman" w:hAnsi="Literata 18pt" w:cs="Tahoma"/>
                <w:b/>
                <w:sz w:val="16"/>
                <w:szCs w:val="16"/>
                <w:lang w:val="es-ES" w:eastAsia="es-ES"/>
              </w:rPr>
              <w:t xml:space="preserve">, </w:t>
            </w:r>
            <w:proofErr w:type="spellStart"/>
            <w:r w:rsidRPr="00AE33DC">
              <w:rPr>
                <w:rFonts w:ascii="Literata 18pt" w:eastAsia="Times New Roman" w:hAnsi="Literata 18pt" w:cs="Tahoma"/>
                <w:b/>
                <w:sz w:val="16"/>
                <w:szCs w:val="16"/>
                <w:lang w:val="es-ES" w:eastAsia="es-ES"/>
              </w:rPr>
              <w:t>word</w:t>
            </w:r>
            <w:proofErr w:type="spellEnd"/>
            <w:r w:rsidRPr="00AE33DC">
              <w:rPr>
                <w:rFonts w:ascii="Literata 18pt" w:eastAsia="Times New Roman" w:hAnsi="Literata 18pt" w:cs="Tahoma"/>
                <w:b/>
                <w:sz w:val="16"/>
                <w:szCs w:val="16"/>
                <w:lang w:val="es-ES" w:eastAsia="es-ES"/>
              </w:rPr>
              <w:t xml:space="preserve"> o </w:t>
            </w:r>
            <w:proofErr w:type="spellStart"/>
            <w:r w:rsidRPr="00AE33DC">
              <w:rPr>
                <w:rFonts w:ascii="Literata 18pt" w:eastAsia="Times New Roman" w:hAnsi="Literata 18pt" w:cs="Tahoma"/>
                <w:b/>
                <w:sz w:val="16"/>
                <w:szCs w:val="16"/>
                <w:lang w:val="es-ES" w:eastAsia="es-ES"/>
              </w:rPr>
              <w:t>excel</w:t>
            </w:r>
            <w:proofErr w:type="spellEnd"/>
            <w:r w:rsidRPr="00AE33DC">
              <w:rPr>
                <w:rFonts w:ascii="Literata 18pt" w:eastAsia="Times New Roman" w:hAnsi="Literata 18pt" w:cs="Tahoma"/>
                <w:b/>
                <w:sz w:val="16"/>
                <w:szCs w:val="16"/>
                <w:lang w:val="es-ES" w:eastAsia="es-ES"/>
              </w:rPr>
              <w:t xml:space="preserve"> que acrediten los costos y adquisiciones de las luminarias, adornos y luces que fueron colocadas con motivo de las celebraciones navideñas en el Centro Histórico de San Luis Potosí, durante diciembre del año 2024.</w:t>
            </w:r>
          </w:p>
          <w:p w14:paraId="48D6C644"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 xml:space="preserve">Adjuntar documentos que prueben la compra o renta de estas luminarias, adornos y luces que fueron colocadas en diversas plazas como Plaza Fundadores, Plaza de Armas, Plaza del Carmen, Jardín de San Francisco, corredores como Avenida Carranza y la Calzada de Guadalupe, así como edificios tales como Edificio </w:t>
            </w:r>
            <w:proofErr w:type="spellStart"/>
            <w:r w:rsidRPr="00AE33DC">
              <w:rPr>
                <w:rFonts w:ascii="Literata 18pt" w:eastAsia="Times New Roman" w:hAnsi="Literata 18pt" w:cs="Tahoma"/>
                <w:b/>
                <w:sz w:val="16"/>
                <w:szCs w:val="16"/>
                <w:lang w:val="es-ES" w:eastAsia="es-ES"/>
              </w:rPr>
              <w:t>Ipiña</w:t>
            </w:r>
            <w:proofErr w:type="spellEnd"/>
            <w:r w:rsidRPr="00AE33DC">
              <w:rPr>
                <w:rFonts w:ascii="Literata 18pt" w:eastAsia="Times New Roman" w:hAnsi="Literata 18pt" w:cs="Tahoma"/>
                <w:b/>
                <w:sz w:val="16"/>
                <w:szCs w:val="16"/>
                <w:lang w:val="es-ES" w:eastAsia="es-ES"/>
              </w:rPr>
              <w:t xml:space="preserve"> y el Museo de la Máscara.</w:t>
            </w:r>
          </w:p>
          <w:p w14:paraId="7280FA43"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Señalar los montos de gastos por estas luminarias, adornos y luces, a quien fueron compradas o rentadas, y bajo que rubro de presupuesto fueron ejercidos tales gastos.</w:t>
            </w:r>
          </w:p>
          <w:p w14:paraId="590DDB31"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039ED493"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 xml:space="preserve">En relación y derivado de las atribuciones que le son conferidas a este Dependencia, en los términos de la Ley de Turismo en el artículo 7, así como los previsto en el Titulo Segundo, Capítulo I del Reglamento Interno de esta Secretaría de Turismo, se advierte que no le fue asignado a la Secretaría de Turismo la adquisición de las luminarias, adornos y luces que fueron colocados con motivo de las celebraciones navideñas en el Centro Histórico de San Luis Potosí durante el mes de diciembre del año 2024, y por ende se desconoce cualquier costo, montos o presupuestos relacionada adquisición de dichas luminarias, adornos y luces, encontrándose esta Dependencia impedida legal y administrativamente para emitir dicha repuesta, al desconocer los términos y/o </w:t>
            </w:r>
            <w:bookmarkStart w:id="0" w:name="_GoBack"/>
            <w:bookmarkEnd w:id="0"/>
            <w:r w:rsidRPr="00AE33DC">
              <w:rPr>
                <w:rFonts w:ascii="Literata 18pt" w:eastAsia="Times New Roman" w:hAnsi="Literata 18pt" w:cs="Tahoma"/>
                <w:b/>
                <w:sz w:val="16"/>
                <w:szCs w:val="16"/>
                <w:lang w:val="es-ES" w:eastAsia="es-ES"/>
              </w:rPr>
              <w:lastRenderedPageBreak/>
              <w:t xml:space="preserve">gestiones de su implementación. </w:t>
            </w:r>
          </w:p>
          <w:p w14:paraId="7F4DC2D9"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5ADD95A4" w14:textId="559EE003" w:rsidR="002D44A6" w:rsidRPr="0093189C" w:rsidRDefault="00AE33DC" w:rsidP="00AE33DC">
            <w:pPr>
              <w:spacing w:after="0" w:line="240" w:lineRule="auto"/>
              <w:jc w:val="center"/>
              <w:rPr>
                <w:rFonts w:ascii="Literata 18pt" w:eastAsia="Times New Roman" w:hAnsi="Literata 18pt" w:cs="Tahoma"/>
                <w:sz w:val="16"/>
                <w:szCs w:val="16"/>
                <w:lang w:val="es-ES" w:eastAsia="es-ES"/>
              </w:rPr>
            </w:pPr>
            <w:r w:rsidRPr="00AE33DC">
              <w:rPr>
                <w:rFonts w:ascii="Literata 18pt" w:eastAsia="Times New Roman" w:hAnsi="Literata 18pt" w:cs="Tahoma"/>
                <w:b/>
                <w:sz w:val="16"/>
                <w:szCs w:val="16"/>
                <w:lang w:val="es-ES" w:eastAsia="es-ES"/>
              </w:rPr>
              <w:t xml:space="preserve">Al respecto, me permito informar a usted que, de acuerdo al Artículo 158 de la Ley de Transparencia y Acceso a la Información Pública esta Secretaría de Turismo es incompetente para contestar esta solicitud. </w:t>
            </w:r>
            <w:r w:rsidR="0093189C">
              <w:rPr>
                <w:rFonts w:ascii="Literata 18pt" w:eastAsia="Times New Roman" w:hAnsi="Literata 18pt" w:cs="Tahoma"/>
                <w:sz w:val="16"/>
                <w:szCs w:val="16"/>
                <w:lang w:val="es-ES" w:eastAsia="es-ES"/>
              </w:rPr>
              <w:tab/>
            </w:r>
          </w:p>
        </w:tc>
      </w:tr>
      <w:tr w:rsidR="002D44A6" w:rsidRPr="001C086B" w14:paraId="502B8D00" w14:textId="77777777" w:rsidTr="002D44A6">
        <w:trPr>
          <w:trHeight w:val="841"/>
        </w:trPr>
        <w:tc>
          <w:tcPr>
            <w:tcW w:w="2411" w:type="dxa"/>
            <w:shd w:val="clear" w:color="auto" w:fill="C2D69B"/>
          </w:tcPr>
          <w:p w14:paraId="3D126B7C" w14:textId="0983D87B" w:rsidR="002D44A6" w:rsidRPr="001C086B" w:rsidRDefault="00AE33DC" w:rsidP="00486DCD">
            <w:pPr>
              <w:spacing w:after="0" w:line="240" w:lineRule="auto"/>
              <w:jc w:val="center"/>
              <w:rPr>
                <w:rFonts w:ascii="Literata 18pt" w:eastAsia="Times New Roman" w:hAnsi="Literata 18pt" w:cs="Tahoma"/>
                <w:b/>
                <w:sz w:val="16"/>
                <w:szCs w:val="16"/>
                <w:lang w:val="es-ES" w:eastAsia="es-ES"/>
              </w:rPr>
            </w:pPr>
            <w:r>
              <w:rPr>
                <w:rFonts w:ascii="Segoe UI" w:hAnsi="Segoe UI" w:cs="Segoe UI"/>
                <w:color w:val="212121"/>
                <w:sz w:val="19"/>
                <w:szCs w:val="19"/>
                <w:shd w:val="clear" w:color="auto" w:fill="FFFFFF"/>
              </w:rPr>
              <w:lastRenderedPageBreak/>
              <w:t>241196125000002</w:t>
            </w:r>
          </w:p>
        </w:tc>
        <w:tc>
          <w:tcPr>
            <w:tcW w:w="2002" w:type="dxa"/>
            <w:shd w:val="clear" w:color="auto" w:fill="C2D69B"/>
          </w:tcPr>
          <w:p w14:paraId="06B2437A" w14:textId="4B686889" w:rsidR="002D44A6" w:rsidRPr="001C086B" w:rsidRDefault="00AE33DC" w:rsidP="00754199">
            <w:pPr>
              <w:spacing w:after="0" w:line="240" w:lineRule="auto"/>
              <w:jc w:val="center"/>
              <w:rPr>
                <w:rFonts w:ascii="Literata 18pt" w:eastAsia="Times New Roman" w:hAnsi="Literata 18pt" w:cs="Tahoma"/>
                <w:b/>
                <w:sz w:val="16"/>
                <w:szCs w:val="16"/>
                <w:lang w:val="es-ES" w:eastAsia="es-ES"/>
              </w:rPr>
            </w:pPr>
            <w:r>
              <w:rPr>
                <w:rFonts w:ascii="Literata 18pt" w:eastAsia="Times New Roman" w:hAnsi="Literata 18pt" w:cs="Tahoma"/>
                <w:b/>
                <w:sz w:val="16"/>
                <w:szCs w:val="16"/>
                <w:lang w:val="es-ES" w:eastAsia="es-ES"/>
              </w:rPr>
              <w:t>08/01/2025</w:t>
            </w:r>
          </w:p>
        </w:tc>
        <w:tc>
          <w:tcPr>
            <w:tcW w:w="3951" w:type="dxa"/>
            <w:shd w:val="clear" w:color="auto" w:fill="C2D69B"/>
          </w:tcPr>
          <w:p w14:paraId="7AAF2EC5"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Número de turistas nacionales y extranjeros que tuvo cada uno de los seis Pueblos Mágicos de SLP en los años 2020, 2021, 2022, 2023 y 2024.</w:t>
            </w:r>
          </w:p>
          <w:p w14:paraId="2DA24570"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Derrama económica registrada en cada uno de ellos en esos años.</w:t>
            </w:r>
          </w:p>
          <w:p w14:paraId="454E958E"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Cantidad de hoteles formales domiciliados en cada uno de los Pueblos Mágicos en esos años.</w:t>
            </w:r>
          </w:p>
          <w:p w14:paraId="72CC4771"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21DDB89B"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Cantidad de turistas nacionales y extranjeros que tuvo San Luis Potosí en años 2020, 2021, 2022, 2023 y 2024.</w:t>
            </w:r>
          </w:p>
          <w:p w14:paraId="51FFE434"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Derrama económica que generaron actividades turísticas en esos años.</w:t>
            </w:r>
          </w:p>
          <w:p w14:paraId="60E28D2F"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Ocupación hotelera promedio, por región estatal, en cada uno de esos años.</w:t>
            </w:r>
          </w:p>
          <w:p w14:paraId="6E4F2C4C"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Porcentaje de crecimiento de actividades turísticas en cada uno de esos años.</w:t>
            </w:r>
          </w:p>
          <w:p w14:paraId="1256A30F" w14:textId="6E6352D9" w:rsidR="00AE33DC" w:rsidRPr="001C086B"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Cantidad de dólares captados por actividades turísticas en cada uno de esos años.</w:t>
            </w:r>
          </w:p>
          <w:p w14:paraId="7FD3411C" w14:textId="20FAF696" w:rsidR="002D44A6" w:rsidRPr="001C086B" w:rsidRDefault="002D44A6" w:rsidP="00486DCD">
            <w:pPr>
              <w:spacing w:after="0" w:line="240" w:lineRule="auto"/>
              <w:jc w:val="center"/>
              <w:rPr>
                <w:rFonts w:ascii="Literata 18pt" w:eastAsia="Times New Roman" w:hAnsi="Literata 18pt" w:cs="Tahoma"/>
                <w:b/>
                <w:sz w:val="16"/>
                <w:szCs w:val="16"/>
                <w:lang w:val="es-ES" w:eastAsia="es-ES"/>
              </w:rPr>
            </w:pPr>
          </w:p>
        </w:tc>
        <w:tc>
          <w:tcPr>
            <w:tcW w:w="6880" w:type="dxa"/>
            <w:shd w:val="clear" w:color="auto" w:fill="C2D69B"/>
          </w:tcPr>
          <w:p w14:paraId="35E80F1D"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Número de turistas nacionales y extranjeros que tuvo cada uno de los seis Pueblos Mágicos de SLP en los años 2020, 2021, 2022, 2023 y 2024</w:t>
            </w:r>
          </w:p>
          <w:p w14:paraId="51447121" w14:textId="15EE830D"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6BC16EB8"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Hago de su conocimiento que la información referente a los resultados a la anualidad 2024 se encuentran en proceso de trasformación de los datos como lo es su clasificación, codificación, revisión, validación, etc. de los mismos. Por lo que se advierte que la disposición de los mismos será durante el mes de abril del presente agradezco la comprensión a efecto de esperar el tiempo válido para su consulta.</w:t>
            </w:r>
          </w:p>
          <w:p w14:paraId="76C17B68"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26B3C488"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w:t>
            </w:r>
            <w:r w:rsidRPr="00AE33DC">
              <w:rPr>
                <w:rFonts w:ascii="Literata 18pt" w:eastAsia="Times New Roman" w:hAnsi="Literata 18pt" w:cs="Tahoma"/>
                <w:b/>
                <w:sz w:val="16"/>
                <w:szCs w:val="16"/>
                <w:lang w:val="es-ES" w:eastAsia="es-ES"/>
              </w:rPr>
              <w:tab/>
              <w:t>Derrama económica registrada en cada uno de ellos en esos años</w:t>
            </w:r>
          </w:p>
          <w:p w14:paraId="59874FA0"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78AFEBCF"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w:t>
            </w:r>
            <w:r w:rsidRPr="00AE33DC">
              <w:rPr>
                <w:rFonts w:ascii="Literata 18pt" w:eastAsia="Times New Roman" w:hAnsi="Literata 18pt" w:cs="Tahoma"/>
                <w:b/>
                <w:sz w:val="16"/>
                <w:szCs w:val="16"/>
                <w:lang w:val="es-ES" w:eastAsia="es-ES"/>
              </w:rPr>
              <w:tab/>
              <w:t>Cantidad de hoteles formales domiciliados en cada uno de los Pueblos Mágicos en esos años</w:t>
            </w:r>
          </w:p>
          <w:p w14:paraId="0FF65438"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4819C3B8"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w:t>
            </w:r>
            <w:r w:rsidRPr="00AE33DC">
              <w:rPr>
                <w:rFonts w:ascii="Literata 18pt" w:eastAsia="Times New Roman" w:hAnsi="Literata 18pt" w:cs="Tahoma"/>
                <w:b/>
                <w:sz w:val="16"/>
                <w:szCs w:val="16"/>
                <w:lang w:val="es-ES" w:eastAsia="es-ES"/>
              </w:rPr>
              <w:tab/>
              <w:t>Cantidad de turistas nacionales y extranjeros que tuvo San Luis Potosí en años 2020, 2021, 2022, 2023 y 2024</w:t>
            </w:r>
          </w:p>
          <w:p w14:paraId="1F764841"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0780BF27"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 xml:space="preserve">Cifras expresadas en miles de personas. Hago de su conocimiento que la información referente a los resultados de la anualidad 2024 se encuentra en proceso de trasformación de los datos como lo es su clasificación, codificación, revisión, validación, etc. de los mismos. Por lo que se advierte que la disposición de los mismos será durante el mes de abril del presente agradezco la comprensión a efecto de esperar el tiempo válido para su consulta. </w:t>
            </w:r>
          </w:p>
          <w:p w14:paraId="7132021F"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58D74925"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w:t>
            </w:r>
            <w:r w:rsidRPr="00AE33DC">
              <w:rPr>
                <w:rFonts w:ascii="Literata 18pt" w:eastAsia="Times New Roman" w:hAnsi="Literata 18pt" w:cs="Tahoma"/>
                <w:b/>
                <w:sz w:val="16"/>
                <w:szCs w:val="16"/>
                <w:lang w:val="es-ES" w:eastAsia="es-ES"/>
              </w:rPr>
              <w:tab/>
              <w:t>Derrama económica que generaron actividades turísticas en esos años</w:t>
            </w:r>
          </w:p>
          <w:p w14:paraId="561E0148"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17E5D1D7"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 xml:space="preserve">Cifras expresadas en millones de pesos. Hago de su conocimiento que la información referente a los resultados de la anualidad 2024 se encuentra en proceso de trasformación de los datos como lo es su clasificación, codificación, revisión, validación, etc. de los mismos. Por lo que se advierte que la disposición de los mismos será durante el mes de abril del presente agradezco la comprensión a efecto de esperar el tiempo válido para su consulta. </w:t>
            </w:r>
          </w:p>
          <w:p w14:paraId="66AFD5CF"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2825AFB5"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w:t>
            </w:r>
            <w:r w:rsidRPr="00AE33DC">
              <w:rPr>
                <w:rFonts w:ascii="Literata 18pt" w:eastAsia="Times New Roman" w:hAnsi="Literata 18pt" w:cs="Tahoma"/>
                <w:b/>
                <w:sz w:val="16"/>
                <w:szCs w:val="16"/>
                <w:lang w:val="es-ES" w:eastAsia="es-ES"/>
              </w:rPr>
              <w:tab/>
              <w:t>Ocupación hotelera promedio, por región estatal, en cada uno de esos años</w:t>
            </w:r>
          </w:p>
          <w:p w14:paraId="48D27584"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73CF3E89"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w:t>
            </w:r>
            <w:r w:rsidRPr="00AE33DC">
              <w:rPr>
                <w:rFonts w:ascii="Literata 18pt" w:eastAsia="Times New Roman" w:hAnsi="Literata 18pt" w:cs="Tahoma"/>
                <w:b/>
                <w:sz w:val="16"/>
                <w:szCs w:val="16"/>
                <w:lang w:val="es-ES" w:eastAsia="es-ES"/>
              </w:rPr>
              <w:tab/>
              <w:t>Porcentaje de crecimiento de actividades turísticas en cada uno de esos años.</w:t>
            </w:r>
          </w:p>
          <w:p w14:paraId="709F13AA"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21C25161"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 xml:space="preserve">Con base a las atribuciones y al alcance de las facultades conferidas a esta dependencia de conformidad con lo previsto en el artículo 8 de la Ley de Turismo del Estado de San Luis Potosí y demás relativos de la Ley Orgánica de la Administración Pública del Estado de San Luis Potosí y por tratarse de actividades de recreación y/o esparcimiento que proporcionan particulares no se cuenta con el porcentaje de crecimiento de actividades turísticas requerido. </w:t>
            </w:r>
          </w:p>
          <w:p w14:paraId="36B8AA04"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2F65C4FD" w14:textId="180B0A63" w:rsidR="00AE33DC"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w:t>
            </w:r>
            <w:r w:rsidRPr="00AE33DC">
              <w:rPr>
                <w:rFonts w:ascii="Literata 18pt" w:eastAsia="Times New Roman" w:hAnsi="Literata 18pt" w:cs="Tahoma"/>
                <w:b/>
                <w:sz w:val="16"/>
                <w:szCs w:val="16"/>
                <w:lang w:val="es-ES" w:eastAsia="es-ES"/>
              </w:rPr>
              <w:tab/>
              <w:t>Cantidad de dólares captados por actividades turísticas en cada uno de esos años.</w:t>
            </w:r>
          </w:p>
          <w:p w14:paraId="7A9A3CF8" w14:textId="77777777" w:rsidR="00AE33DC" w:rsidRPr="00AE33DC" w:rsidRDefault="00AE33DC" w:rsidP="00AE33DC">
            <w:pPr>
              <w:spacing w:after="0" w:line="240" w:lineRule="auto"/>
              <w:jc w:val="center"/>
              <w:rPr>
                <w:rFonts w:ascii="Literata 18pt" w:eastAsia="Times New Roman" w:hAnsi="Literata 18pt" w:cs="Tahoma"/>
                <w:b/>
                <w:sz w:val="16"/>
                <w:szCs w:val="16"/>
                <w:lang w:val="es-ES" w:eastAsia="es-ES"/>
              </w:rPr>
            </w:pPr>
          </w:p>
          <w:p w14:paraId="6675CC4D" w14:textId="6E42DB93" w:rsidR="002D44A6" w:rsidRPr="001C086B" w:rsidRDefault="00AE33DC" w:rsidP="00AE33DC">
            <w:pPr>
              <w:spacing w:after="0" w:line="240" w:lineRule="auto"/>
              <w:jc w:val="center"/>
              <w:rPr>
                <w:rFonts w:ascii="Literata 18pt" w:eastAsia="Times New Roman" w:hAnsi="Literata 18pt" w:cs="Tahoma"/>
                <w:b/>
                <w:sz w:val="16"/>
                <w:szCs w:val="16"/>
                <w:lang w:val="es-ES" w:eastAsia="es-ES"/>
              </w:rPr>
            </w:pPr>
            <w:r w:rsidRPr="00AE33DC">
              <w:rPr>
                <w:rFonts w:ascii="Literata 18pt" w:eastAsia="Times New Roman" w:hAnsi="Literata 18pt" w:cs="Tahoma"/>
                <w:b/>
                <w:sz w:val="16"/>
                <w:szCs w:val="16"/>
                <w:lang w:val="es-ES" w:eastAsia="es-ES"/>
              </w:rPr>
              <w:t>Con base a las atribuciones y al alcance de las facultades conferidas a esta dependencia de conformidad con lo previsto en el artículo 8 de la Ley de Turismo del Estado de San Luis Potosí y demás relativos de la Ley Orgánica de la Administración Pública del Estado de San Luis Potosí y por tratarse de actividades de recreación y/o esparcimiento que proporcionan particulares no se cuenta con la cantidad de dólares captados por actividades turísticas en los años requeridos.</w:t>
            </w:r>
          </w:p>
        </w:tc>
      </w:tr>
    </w:tbl>
    <w:p w14:paraId="52A2D206" w14:textId="77777777" w:rsidR="006147B7" w:rsidRPr="001C086B" w:rsidRDefault="006147B7" w:rsidP="00AE33DC">
      <w:pPr>
        <w:rPr>
          <w:rFonts w:ascii="Literata 18pt" w:hAnsi="Literata 18pt"/>
          <w:sz w:val="16"/>
          <w:szCs w:val="16"/>
        </w:rPr>
      </w:pPr>
    </w:p>
    <w:sectPr w:rsidR="006147B7" w:rsidRPr="001C086B" w:rsidSect="0092615E">
      <w:headerReference w:type="default" r:id="rId6"/>
      <w:footerReference w:type="default" r:id="rId7"/>
      <w:pgSz w:w="16838" w:h="11906" w:orient="landscape"/>
      <w:pgMar w:top="256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62127F7" w14:textId="77777777" w:rsidR="00440A41" w:rsidRDefault="00440A41" w:rsidP="00754199">
      <w:pPr>
        <w:spacing w:after="0" w:line="240" w:lineRule="auto"/>
      </w:pPr>
      <w:r>
        <w:separator/>
      </w:r>
    </w:p>
  </w:endnote>
  <w:endnote w:type="continuationSeparator" w:id="0">
    <w:p w14:paraId="3E32732C" w14:textId="77777777" w:rsidR="00440A41" w:rsidRDefault="00440A41" w:rsidP="007541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terata 18pt">
    <w:panose1 w:val="00000000000000000000"/>
    <w:charset w:val="00"/>
    <w:family w:val="auto"/>
    <w:pitch w:val="variable"/>
    <w:sig w:usb0="E00002FF" w:usb1="5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2E0480" w14:textId="77777777" w:rsidR="009541D3" w:rsidRDefault="00754199">
    <w:pPr>
      <w:pStyle w:val="Piedepgina"/>
    </w:pPr>
    <w:r>
      <w:rPr>
        <w:noProof/>
        <w:lang w:eastAsia="es-MX"/>
      </w:rPr>
      <w:drawing>
        <wp:inline distT="0" distB="0" distL="0" distR="0" wp14:anchorId="269BFA13" wp14:editId="48D56366">
          <wp:extent cx="2204085" cy="730250"/>
          <wp:effectExtent l="0" t="0" r="5715" b="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4085" cy="73025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5DFD0ED" w14:textId="77777777" w:rsidR="00440A41" w:rsidRDefault="00440A41" w:rsidP="00754199">
      <w:pPr>
        <w:spacing w:after="0" w:line="240" w:lineRule="auto"/>
      </w:pPr>
      <w:r>
        <w:separator/>
      </w:r>
    </w:p>
  </w:footnote>
  <w:footnote w:type="continuationSeparator" w:id="0">
    <w:p w14:paraId="2ECD308C" w14:textId="77777777" w:rsidR="00440A41" w:rsidRDefault="00440A41" w:rsidP="007541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B4EB90" w14:textId="41C38BCF" w:rsidR="00754199" w:rsidRDefault="0092615E" w:rsidP="002B783A">
    <w:pPr>
      <w:pStyle w:val="Encabezado"/>
      <w:jc w:val="both"/>
      <w:rPr>
        <w:noProof/>
        <w:lang w:eastAsia="es-MX"/>
      </w:rPr>
    </w:pPr>
    <w:r>
      <w:rPr>
        <w:noProof/>
        <w:lang w:eastAsia="es-MX"/>
      </w:rPr>
      <w:drawing>
        <wp:anchor distT="0" distB="0" distL="114300" distR="114300" simplePos="0" relativeHeight="251659264" behindDoc="1" locked="0" layoutInCell="1" allowOverlap="1" wp14:anchorId="05D74DC8" wp14:editId="164E32DC">
          <wp:simplePos x="0" y="0"/>
          <wp:positionH relativeFrom="column">
            <wp:posOffset>1118870</wp:posOffset>
          </wp:positionH>
          <wp:positionV relativeFrom="paragraph">
            <wp:posOffset>-383540</wp:posOffset>
          </wp:positionV>
          <wp:extent cx="6748638" cy="1658068"/>
          <wp:effectExtent l="0" t="0" r="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rca Veda Institucional 01_Mesa de trabajo 1.png"/>
                  <pic:cNvPicPr/>
                </pic:nvPicPr>
                <pic:blipFill>
                  <a:blip r:embed="rId1">
                    <a:extLst>
                      <a:ext uri="{28A0092B-C50C-407E-A947-70E740481C1C}">
                        <a14:useLocalDpi xmlns:a14="http://schemas.microsoft.com/office/drawing/2010/main" val="0"/>
                      </a:ext>
                    </a:extLst>
                  </a:blip>
                  <a:stretch>
                    <a:fillRect/>
                  </a:stretch>
                </pic:blipFill>
                <pic:spPr>
                  <a:xfrm>
                    <a:off x="0" y="0"/>
                    <a:ext cx="6893221" cy="1693590"/>
                  </a:xfrm>
                  <a:prstGeom prst="rect">
                    <a:avLst/>
                  </a:prstGeom>
                </pic:spPr>
              </pic:pic>
            </a:graphicData>
          </a:graphic>
          <wp14:sizeRelH relativeFrom="margin">
            <wp14:pctWidth>0</wp14:pctWidth>
          </wp14:sizeRelH>
          <wp14:sizeRelV relativeFrom="margin">
            <wp14:pctHeight>0</wp14:pctHeight>
          </wp14:sizeRelV>
        </wp:anchor>
      </w:drawing>
    </w:r>
  </w:p>
  <w:p w14:paraId="51BDEA4C" w14:textId="77777777" w:rsidR="00754199" w:rsidRDefault="002666FD" w:rsidP="002666FD">
    <w:pPr>
      <w:pStyle w:val="Encabezado"/>
      <w:tabs>
        <w:tab w:val="clear" w:pos="8838"/>
        <w:tab w:val="left" w:pos="4419"/>
      </w:tabs>
      <w:jc w:val="both"/>
      <w:rPr>
        <w:noProof/>
        <w:lang w:eastAsia="es-MX"/>
      </w:rPr>
    </w:pPr>
    <w:r>
      <w:rPr>
        <w:noProof/>
        <w:lang w:eastAsia="es-MX"/>
      </w:rPr>
      <w:tab/>
    </w:r>
  </w:p>
  <w:p w14:paraId="7DD25087" w14:textId="28076A36" w:rsidR="009541D3" w:rsidRDefault="002666FD" w:rsidP="002B783A">
    <w:pPr>
      <w:pStyle w:val="Encabezado"/>
      <w:jc w:val="both"/>
    </w:pPr>
    <w:r>
      <w:rPr>
        <w:noProof/>
        <w:lang w:eastAsia="es-MX"/>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54199"/>
    <w:rsid w:val="00023A27"/>
    <w:rsid w:val="00025291"/>
    <w:rsid w:val="000646FB"/>
    <w:rsid w:val="000A3F1C"/>
    <w:rsid w:val="00137A48"/>
    <w:rsid w:val="001C086B"/>
    <w:rsid w:val="001E4F39"/>
    <w:rsid w:val="00242E88"/>
    <w:rsid w:val="00257B37"/>
    <w:rsid w:val="002666FD"/>
    <w:rsid w:val="002D44A6"/>
    <w:rsid w:val="002E6326"/>
    <w:rsid w:val="0033071F"/>
    <w:rsid w:val="00347E42"/>
    <w:rsid w:val="003817F2"/>
    <w:rsid w:val="003C2FE8"/>
    <w:rsid w:val="00440A41"/>
    <w:rsid w:val="00464749"/>
    <w:rsid w:val="004740F7"/>
    <w:rsid w:val="00486DCD"/>
    <w:rsid w:val="004B7518"/>
    <w:rsid w:val="005055F3"/>
    <w:rsid w:val="005D6608"/>
    <w:rsid w:val="00605775"/>
    <w:rsid w:val="00611D4A"/>
    <w:rsid w:val="006147B7"/>
    <w:rsid w:val="00620325"/>
    <w:rsid w:val="00714ABB"/>
    <w:rsid w:val="00754199"/>
    <w:rsid w:val="007B4EE9"/>
    <w:rsid w:val="00822C14"/>
    <w:rsid w:val="008514BF"/>
    <w:rsid w:val="008C52FE"/>
    <w:rsid w:val="0092615E"/>
    <w:rsid w:val="00927712"/>
    <w:rsid w:val="00927C51"/>
    <w:rsid w:val="0093189C"/>
    <w:rsid w:val="00946B6F"/>
    <w:rsid w:val="009541D3"/>
    <w:rsid w:val="009A23AD"/>
    <w:rsid w:val="00A44A5E"/>
    <w:rsid w:val="00AD1D2C"/>
    <w:rsid w:val="00AE33DC"/>
    <w:rsid w:val="00B65AC9"/>
    <w:rsid w:val="00B71C06"/>
    <w:rsid w:val="00BA4D65"/>
    <w:rsid w:val="00BB6B1F"/>
    <w:rsid w:val="00C24D61"/>
    <w:rsid w:val="00C4081C"/>
    <w:rsid w:val="00C6006A"/>
    <w:rsid w:val="00C74602"/>
    <w:rsid w:val="00E16176"/>
    <w:rsid w:val="00E22FAC"/>
    <w:rsid w:val="00E7407A"/>
    <w:rsid w:val="00EF6F58"/>
    <w:rsid w:val="00F919FA"/>
    <w:rsid w:val="00F948BD"/>
    <w:rsid w:val="00FD61B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7D5FAB6"/>
  <w15:docId w15:val="{B8A12D73-4D46-469D-8BC4-8110A5C40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54199"/>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54199"/>
  </w:style>
  <w:style w:type="paragraph" w:styleId="Piedepgina">
    <w:name w:val="footer"/>
    <w:basedOn w:val="Normal"/>
    <w:link w:val="PiedepginaCar"/>
    <w:uiPriority w:val="99"/>
    <w:unhideWhenUsed/>
    <w:rsid w:val="00754199"/>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54199"/>
  </w:style>
  <w:style w:type="paragraph" w:styleId="Textodeglobo">
    <w:name w:val="Balloon Text"/>
    <w:basedOn w:val="Normal"/>
    <w:link w:val="TextodegloboCar"/>
    <w:uiPriority w:val="99"/>
    <w:semiHidden/>
    <w:unhideWhenUsed/>
    <w:rsid w:val="0075419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5419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99677293">
      <w:bodyDiv w:val="1"/>
      <w:marLeft w:val="0"/>
      <w:marRight w:val="0"/>
      <w:marTop w:val="0"/>
      <w:marBottom w:val="0"/>
      <w:divBdr>
        <w:top w:val="none" w:sz="0" w:space="0" w:color="auto"/>
        <w:left w:val="none" w:sz="0" w:space="0" w:color="auto"/>
        <w:bottom w:val="none" w:sz="0" w:space="0" w:color="auto"/>
        <w:right w:val="none" w:sz="0" w:space="0" w:color="auto"/>
      </w:divBdr>
    </w:div>
    <w:div w:id="1519926223">
      <w:bodyDiv w:val="1"/>
      <w:marLeft w:val="0"/>
      <w:marRight w:val="0"/>
      <w:marTop w:val="0"/>
      <w:marBottom w:val="0"/>
      <w:divBdr>
        <w:top w:val="none" w:sz="0" w:space="0" w:color="auto"/>
        <w:left w:val="none" w:sz="0" w:space="0" w:color="auto"/>
        <w:bottom w:val="none" w:sz="0" w:space="0" w:color="auto"/>
        <w:right w:val="none" w:sz="0" w:space="0" w:color="auto"/>
      </w:divBdr>
    </w:div>
    <w:div w:id="1592087503">
      <w:bodyDiv w:val="1"/>
      <w:marLeft w:val="0"/>
      <w:marRight w:val="0"/>
      <w:marTop w:val="0"/>
      <w:marBottom w:val="0"/>
      <w:divBdr>
        <w:top w:val="none" w:sz="0" w:space="0" w:color="auto"/>
        <w:left w:val="none" w:sz="0" w:space="0" w:color="auto"/>
        <w:bottom w:val="none" w:sz="0" w:space="0" w:color="auto"/>
        <w:right w:val="none" w:sz="0" w:space="0" w:color="auto"/>
      </w:divBdr>
    </w:div>
    <w:div w:id="18341796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300</TotalTime>
  <Pages>3</Pages>
  <Words>1018</Words>
  <Characters>5602</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Fide-U23</dc:creator>
  <cp:lastModifiedBy>SECTUR 019</cp:lastModifiedBy>
  <cp:revision>34</cp:revision>
  <dcterms:created xsi:type="dcterms:W3CDTF">2023-02-14T15:39:00Z</dcterms:created>
  <dcterms:modified xsi:type="dcterms:W3CDTF">2025-02-10T17:10:00Z</dcterms:modified>
</cp:coreProperties>
</file>