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D68870" w14:textId="77777777" w:rsidR="00656139" w:rsidRPr="0032002E" w:rsidRDefault="00656139" w:rsidP="00656139">
      <w:pPr>
        <w:spacing w:line="360" w:lineRule="auto"/>
        <w:ind w:firstLine="708"/>
        <w:jc w:val="both"/>
        <w:rPr>
          <w:rFonts w:ascii="Arial" w:hAnsi="Arial" w:cs="Arial"/>
          <w:color w:val="323E4F" w:themeColor="text2" w:themeShade="BF"/>
        </w:rPr>
      </w:pPr>
      <w:r w:rsidRPr="0032002E">
        <w:rPr>
          <w:rFonts w:ascii="Arial" w:hAnsi="Arial" w:cs="Arial"/>
          <w:b/>
          <w:color w:val="323E4F" w:themeColor="text2" w:themeShade="BF"/>
        </w:rPr>
        <w:t>Visto</w:t>
      </w:r>
      <w:r w:rsidRPr="0032002E">
        <w:rPr>
          <w:rFonts w:ascii="Arial" w:hAnsi="Arial" w:cs="Arial"/>
          <w:color w:val="323E4F" w:themeColor="text2" w:themeShade="BF"/>
        </w:rPr>
        <w:t xml:space="preserve"> el estado procesal que guarda el expediente citado al rubro; se procede a dictar Acuerdo, con base en los antecedentes y considerandos siguientes:</w:t>
      </w:r>
    </w:p>
    <w:p w14:paraId="0E3CF660" w14:textId="77777777" w:rsidR="00656139" w:rsidRPr="0032002E" w:rsidRDefault="00656139" w:rsidP="00656139">
      <w:pPr>
        <w:spacing w:line="360" w:lineRule="auto"/>
        <w:ind w:firstLine="708"/>
        <w:jc w:val="both"/>
        <w:rPr>
          <w:rFonts w:ascii="Arial" w:hAnsi="Arial" w:cs="Arial"/>
          <w:color w:val="323E4F" w:themeColor="text2" w:themeShade="BF"/>
        </w:rPr>
      </w:pPr>
    </w:p>
    <w:p w14:paraId="53C47F4A" w14:textId="77777777" w:rsidR="00656139" w:rsidRPr="0032002E" w:rsidRDefault="00656139" w:rsidP="00656139">
      <w:pPr>
        <w:spacing w:line="360" w:lineRule="auto"/>
        <w:jc w:val="center"/>
        <w:rPr>
          <w:rFonts w:ascii="Arial" w:hAnsi="Arial" w:cs="Arial"/>
          <w:b/>
          <w:color w:val="323E4F" w:themeColor="text2" w:themeShade="BF"/>
          <w:lang w:eastAsia="es-MX"/>
        </w:rPr>
      </w:pPr>
      <w:r w:rsidRPr="0032002E">
        <w:rPr>
          <w:rFonts w:ascii="Arial" w:hAnsi="Arial" w:cs="Arial"/>
          <w:b/>
          <w:color w:val="323E4F" w:themeColor="text2" w:themeShade="BF"/>
          <w:lang w:eastAsia="es-MX"/>
        </w:rPr>
        <w:t xml:space="preserve">ANTECEDENTES: </w:t>
      </w:r>
    </w:p>
    <w:p w14:paraId="34541F7D" w14:textId="77777777" w:rsidR="00656139" w:rsidRPr="0032002E" w:rsidRDefault="00656139" w:rsidP="00656139">
      <w:pPr>
        <w:spacing w:line="360" w:lineRule="auto"/>
        <w:ind w:firstLine="708"/>
        <w:jc w:val="both"/>
        <w:rPr>
          <w:rFonts w:ascii="Arial" w:hAnsi="Arial" w:cs="Arial"/>
          <w:color w:val="323E4F" w:themeColor="text2" w:themeShade="BF"/>
          <w:sz w:val="22"/>
          <w:szCs w:val="22"/>
        </w:rPr>
      </w:pPr>
    </w:p>
    <w:p w14:paraId="1A48BD94" w14:textId="4E3A1063" w:rsidR="00656139" w:rsidRPr="0032002E" w:rsidRDefault="00656139" w:rsidP="00656139">
      <w:pPr>
        <w:spacing w:line="360" w:lineRule="auto"/>
        <w:ind w:firstLine="709"/>
        <w:jc w:val="both"/>
        <w:rPr>
          <w:rFonts w:ascii="Arial" w:hAnsi="Arial" w:cs="Arial"/>
          <w:color w:val="323E4F" w:themeColor="text2" w:themeShade="BF"/>
        </w:rPr>
      </w:pPr>
      <w:r w:rsidRPr="0032002E">
        <w:rPr>
          <w:rFonts w:ascii="Arial" w:hAnsi="Arial" w:cs="Arial"/>
          <w:b/>
          <w:color w:val="323E4F" w:themeColor="text2" w:themeShade="BF"/>
        </w:rPr>
        <w:t xml:space="preserve">PRIMERO. Resolución. </w:t>
      </w:r>
      <w:r w:rsidRPr="0032002E">
        <w:rPr>
          <w:rFonts w:ascii="Arial" w:hAnsi="Arial" w:cs="Arial"/>
          <w:color w:val="323E4F" w:themeColor="text2" w:themeShade="BF"/>
        </w:rPr>
        <w:t xml:space="preserve">El </w:t>
      </w:r>
      <w:r w:rsidR="00C13461">
        <w:rPr>
          <w:rFonts w:ascii="Arial" w:hAnsi="Arial" w:cs="Arial"/>
          <w:color w:val="323E4F" w:themeColor="text2" w:themeShade="BF"/>
        </w:rPr>
        <w:t>07 siete de febrero</w:t>
      </w:r>
      <w:r w:rsidR="00415B78">
        <w:rPr>
          <w:rFonts w:ascii="Arial" w:hAnsi="Arial" w:cs="Arial"/>
          <w:color w:val="323E4F" w:themeColor="text2" w:themeShade="BF"/>
        </w:rPr>
        <w:t xml:space="preserve"> de 2024 dos mil veinticuatro</w:t>
      </w:r>
      <w:r w:rsidRPr="0032002E">
        <w:rPr>
          <w:rFonts w:ascii="Arial" w:hAnsi="Arial" w:cs="Arial"/>
          <w:color w:val="323E4F" w:themeColor="text2" w:themeShade="BF"/>
        </w:rPr>
        <w:t xml:space="preserve">, el Pleno de esta Comisión resolvió en definitiva el recurso de revisión citado al rubro, conminando al Sujeto Obligado para efecto de: </w:t>
      </w:r>
    </w:p>
    <w:p w14:paraId="739D8EF6" w14:textId="77777777" w:rsidR="00656139" w:rsidRPr="0032002E" w:rsidRDefault="00656139" w:rsidP="00656139">
      <w:pPr>
        <w:spacing w:line="360" w:lineRule="auto"/>
        <w:ind w:firstLine="708"/>
        <w:jc w:val="both"/>
        <w:rPr>
          <w:rFonts w:ascii="Arial" w:hAnsi="Arial" w:cs="Arial"/>
          <w:color w:val="323E4F" w:themeColor="text2" w:themeShade="BF"/>
        </w:rPr>
      </w:pPr>
    </w:p>
    <w:p w14:paraId="7E82560B" w14:textId="749B5077" w:rsidR="00656139" w:rsidRPr="00656139" w:rsidRDefault="00656139" w:rsidP="00C13461">
      <w:pPr>
        <w:ind w:left="1134" w:right="1183"/>
        <w:jc w:val="both"/>
        <w:rPr>
          <w:rFonts w:ascii="Arial" w:hAnsi="Arial" w:cs="Arial"/>
          <w:b/>
          <w:color w:val="323E4F" w:themeColor="text2" w:themeShade="BF"/>
          <w:sz w:val="22"/>
          <w:szCs w:val="22"/>
        </w:rPr>
      </w:pPr>
      <w:r w:rsidRPr="0032002E">
        <w:rPr>
          <w:rFonts w:ascii="Arial" w:hAnsi="Arial" w:cs="Arial"/>
          <w:b/>
          <w:color w:val="323E4F" w:themeColor="text2" w:themeShade="BF"/>
          <w:sz w:val="22"/>
          <w:szCs w:val="22"/>
        </w:rPr>
        <w:t>“</w:t>
      </w:r>
      <w:r w:rsidR="00C13461" w:rsidRPr="00C13461">
        <w:rPr>
          <w:rFonts w:ascii="Arial" w:hAnsi="Arial" w:cs="Arial"/>
          <w:b/>
          <w:color w:val="323E4F" w:themeColor="text2" w:themeShade="BF"/>
          <w:sz w:val="22"/>
          <w:szCs w:val="22"/>
        </w:rPr>
        <w:t xml:space="preserve">Por lo anteriormente expuesto, esta Comisión, con fundamento en lo dispuesto por el artículo 175 fracción III, de la Ley de Transparencia y Acceso a la Información Pública del Estado, REVOCA la respuesta proporcionada </w:t>
      </w:r>
      <w:r w:rsidR="00C13461">
        <w:rPr>
          <w:rFonts w:ascii="Arial" w:hAnsi="Arial" w:cs="Arial"/>
          <w:b/>
          <w:color w:val="323E4F" w:themeColor="text2" w:themeShade="BF"/>
          <w:sz w:val="22"/>
          <w:szCs w:val="22"/>
        </w:rPr>
        <w:t>por el Sujeto Obligado</w:t>
      </w:r>
      <w:r w:rsidR="00DB01C6" w:rsidRPr="00DB01C6">
        <w:rPr>
          <w:rFonts w:ascii="Arial" w:hAnsi="Arial" w:cs="Arial"/>
          <w:b/>
          <w:color w:val="323E4F" w:themeColor="text2" w:themeShade="BF"/>
          <w:sz w:val="22"/>
          <w:szCs w:val="22"/>
        </w:rPr>
        <w:t>.</w:t>
      </w:r>
      <w:r w:rsidRPr="0032002E">
        <w:rPr>
          <w:rFonts w:ascii="Arial" w:hAnsi="Arial" w:cs="Arial"/>
          <w:color w:val="323E4F" w:themeColor="text2" w:themeShade="BF"/>
          <w:sz w:val="22"/>
          <w:szCs w:val="22"/>
        </w:rPr>
        <w:t>”</w:t>
      </w:r>
    </w:p>
    <w:p w14:paraId="692BECBD" w14:textId="77777777" w:rsidR="00656139" w:rsidRPr="0032002E" w:rsidRDefault="00656139" w:rsidP="00656139">
      <w:pPr>
        <w:ind w:left="1134" w:right="1183"/>
        <w:jc w:val="both"/>
        <w:rPr>
          <w:rFonts w:ascii="Arial" w:hAnsi="Arial" w:cs="Arial"/>
          <w:b/>
          <w:color w:val="323E4F" w:themeColor="text2" w:themeShade="BF"/>
          <w:sz w:val="22"/>
          <w:szCs w:val="22"/>
        </w:rPr>
      </w:pPr>
    </w:p>
    <w:p w14:paraId="5525FB88" w14:textId="77777777" w:rsidR="00656139" w:rsidRPr="0032002E" w:rsidRDefault="00656139" w:rsidP="00656139">
      <w:pPr>
        <w:ind w:left="1134" w:right="1183"/>
        <w:jc w:val="both"/>
        <w:rPr>
          <w:rFonts w:ascii="Arial" w:hAnsi="Arial" w:cs="Arial"/>
          <w:b/>
          <w:color w:val="323E4F" w:themeColor="text2" w:themeShade="BF"/>
          <w:lang w:eastAsia="es-MX"/>
        </w:rPr>
      </w:pPr>
    </w:p>
    <w:p w14:paraId="2D2F6753" w14:textId="77777777" w:rsidR="00656139" w:rsidRPr="0032002E" w:rsidRDefault="00656139" w:rsidP="00656139">
      <w:pPr>
        <w:spacing w:line="360" w:lineRule="auto"/>
        <w:jc w:val="center"/>
        <w:rPr>
          <w:rFonts w:ascii="Arial" w:hAnsi="Arial" w:cs="Arial"/>
          <w:b/>
          <w:color w:val="323E4F" w:themeColor="text2" w:themeShade="BF"/>
          <w:lang w:eastAsia="es-MX"/>
        </w:rPr>
      </w:pPr>
      <w:r w:rsidRPr="0032002E">
        <w:rPr>
          <w:rFonts w:ascii="Arial" w:hAnsi="Arial" w:cs="Arial"/>
          <w:b/>
          <w:color w:val="323E4F" w:themeColor="text2" w:themeShade="BF"/>
          <w:lang w:eastAsia="es-MX"/>
        </w:rPr>
        <w:t>CONSIDERANDOS</w:t>
      </w:r>
    </w:p>
    <w:p w14:paraId="0E9BA99B" w14:textId="77777777" w:rsidR="00656139" w:rsidRPr="0032002E" w:rsidRDefault="00656139" w:rsidP="00656139">
      <w:pPr>
        <w:spacing w:line="360" w:lineRule="auto"/>
        <w:jc w:val="center"/>
        <w:rPr>
          <w:rFonts w:ascii="Arial" w:hAnsi="Arial" w:cs="Arial"/>
          <w:b/>
          <w:color w:val="323E4F" w:themeColor="text2" w:themeShade="BF"/>
          <w:lang w:eastAsia="es-MX"/>
        </w:rPr>
      </w:pPr>
    </w:p>
    <w:p w14:paraId="04C6599B" w14:textId="77777777" w:rsidR="00656139" w:rsidRPr="0032002E" w:rsidRDefault="00656139" w:rsidP="00656139">
      <w:pPr>
        <w:spacing w:line="360" w:lineRule="auto"/>
        <w:ind w:firstLine="709"/>
        <w:jc w:val="both"/>
        <w:rPr>
          <w:rFonts w:ascii="Arial" w:eastAsia="Arial" w:hAnsi="Arial" w:cs="Arial"/>
          <w:spacing w:val="1"/>
        </w:rPr>
      </w:pPr>
      <w:r w:rsidRPr="0032002E">
        <w:rPr>
          <w:rFonts w:ascii="Arial" w:eastAsia="Arial" w:hAnsi="Arial" w:cs="Arial"/>
          <w:b/>
          <w:spacing w:val="1"/>
        </w:rPr>
        <w:t xml:space="preserve">PRIMERO. </w:t>
      </w:r>
      <w:r w:rsidRPr="0032002E">
        <w:rPr>
          <w:rFonts w:ascii="Arial" w:eastAsia="Arial" w:hAnsi="Arial" w:cs="Arial"/>
          <w:spacing w:val="1"/>
        </w:rPr>
        <w:t>La Comisionada Ponente es competente para conocer el presente asunto, con fundamento en los artículos 34, fracciones I y II, 35 fracciones I y VIII y 185 de la Ley de Transparencia y Acceso a la Información Pública del Estado de San Luis Potosí, así como de los numerales 8 fracción II; y 30 fracciones XII y XIII, del Reglamento Interior de la Comisión Estatal de Garantía de Acceso a la Información Pública de San Luis Potosí.</w:t>
      </w:r>
    </w:p>
    <w:p w14:paraId="48684EEC" w14:textId="77777777" w:rsidR="00656139" w:rsidRPr="0032002E" w:rsidRDefault="00656139" w:rsidP="00656139">
      <w:pPr>
        <w:spacing w:line="360" w:lineRule="auto"/>
        <w:ind w:firstLine="709"/>
        <w:jc w:val="both"/>
        <w:rPr>
          <w:rFonts w:ascii="Arial" w:eastAsia="Arial" w:hAnsi="Arial" w:cs="Arial"/>
          <w:spacing w:val="1"/>
          <w:sz w:val="22"/>
          <w:szCs w:val="22"/>
        </w:rPr>
      </w:pPr>
    </w:p>
    <w:p w14:paraId="64A895BD" w14:textId="77777777" w:rsidR="00656139" w:rsidRPr="0032002E" w:rsidRDefault="00656139" w:rsidP="00656139">
      <w:pPr>
        <w:spacing w:line="360" w:lineRule="auto"/>
        <w:ind w:firstLine="709"/>
        <w:jc w:val="both"/>
        <w:rPr>
          <w:rFonts w:ascii="Arial" w:eastAsia="Arial" w:hAnsi="Arial" w:cs="Arial"/>
          <w:spacing w:val="1"/>
          <w:lang w:val="es-ES"/>
        </w:rPr>
      </w:pPr>
      <w:r w:rsidRPr="0032002E">
        <w:rPr>
          <w:rFonts w:ascii="Arial" w:eastAsia="Arial" w:hAnsi="Arial" w:cs="Arial"/>
          <w:b/>
          <w:spacing w:val="1"/>
          <w:lang w:val="es-ES"/>
        </w:rPr>
        <w:t xml:space="preserve">SEGUNDO. </w:t>
      </w:r>
      <w:r w:rsidRPr="0032002E">
        <w:rPr>
          <w:rFonts w:ascii="Arial" w:eastAsia="Arial" w:hAnsi="Arial" w:cs="Arial"/>
          <w:spacing w:val="1"/>
          <w:lang w:val="es-ES"/>
        </w:rPr>
        <w:t xml:space="preserve">La suscrita es competente para dictar el presente Acuerdo, de conformidad con lo establecido en los artículos 27 y 34 fracción I y II de la Ley de Transparencia y Acceso a la Información Pública del Estado de San Luis Potosí; así como los artículos 2°, 5º, 8º fracción II y 51 fracción VII del Reglamento Interno de la Comisión Estatal de Garantía de Acceso a la Información Pública, en correlación con el Acuerdo CEGAIP-738/2023, emitido por el Pleno de este Órgano Garante el 05 cinco de octubre de 2023 dos mil veintitrés y publicado en el Periódico Oficial del Estado el 01 primero de noviembre del mismo año.   </w:t>
      </w:r>
    </w:p>
    <w:p w14:paraId="328563FB" w14:textId="77777777" w:rsidR="00656139" w:rsidRPr="0032002E" w:rsidRDefault="00656139" w:rsidP="00656139">
      <w:pPr>
        <w:spacing w:line="360" w:lineRule="auto"/>
        <w:jc w:val="both"/>
        <w:rPr>
          <w:rFonts w:ascii="Arial" w:hAnsi="Arial" w:cs="Arial"/>
        </w:rPr>
      </w:pPr>
    </w:p>
    <w:p w14:paraId="42595260" w14:textId="77777777" w:rsidR="00656139" w:rsidRPr="0032002E" w:rsidRDefault="00656139" w:rsidP="00656139">
      <w:pPr>
        <w:spacing w:line="360" w:lineRule="auto"/>
        <w:jc w:val="both"/>
        <w:rPr>
          <w:rFonts w:ascii="Arial" w:hAnsi="Arial" w:cs="Arial"/>
        </w:rPr>
      </w:pPr>
      <w:r w:rsidRPr="0032002E">
        <w:rPr>
          <w:rFonts w:ascii="Arial" w:hAnsi="Arial" w:cs="Arial"/>
        </w:rPr>
        <w:lastRenderedPageBreak/>
        <w:tab/>
      </w:r>
      <w:r w:rsidRPr="0032002E">
        <w:rPr>
          <w:rFonts w:ascii="Arial" w:hAnsi="Arial" w:cs="Arial"/>
          <w:b/>
        </w:rPr>
        <w:t xml:space="preserve">TERCERO. </w:t>
      </w:r>
      <w:r w:rsidRPr="0032002E">
        <w:rPr>
          <w:rFonts w:ascii="Arial" w:hAnsi="Arial" w:cs="Arial"/>
        </w:rPr>
        <w:t xml:space="preserve">Se tiene por </w:t>
      </w:r>
      <w:proofErr w:type="spellStart"/>
      <w:r w:rsidRPr="0032002E">
        <w:rPr>
          <w:rFonts w:ascii="Arial" w:hAnsi="Arial" w:cs="Arial"/>
        </w:rPr>
        <w:t>precluído</w:t>
      </w:r>
      <w:proofErr w:type="spellEnd"/>
      <w:r w:rsidRPr="0032002E">
        <w:rPr>
          <w:rFonts w:ascii="Arial" w:hAnsi="Arial" w:cs="Arial"/>
        </w:rPr>
        <w:t xml:space="preserve"> el derecho de la parte recurrente para manifestar lo que a su derecho conviniera, en apego a lo previsto por el artículo 184 segundo párrafo de la Ley de Transparencia y Acceso a la Información Pública del Estado, sin que hubiera comparecido para tal efecto.</w:t>
      </w:r>
    </w:p>
    <w:p w14:paraId="77B9FD92" w14:textId="77777777" w:rsidR="00656139" w:rsidRPr="0032002E" w:rsidRDefault="00656139" w:rsidP="00656139">
      <w:pPr>
        <w:spacing w:line="360" w:lineRule="auto"/>
        <w:jc w:val="both"/>
        <w:rPr>
          <w:rFonts w:ascii="Arial" w:hAnsi="Arial" w:cs="Arial"/>
        </w:rPr>
      </w:pPr>
    </w:p>
    <w:p w14:paraId="3541BBEE" w14:textId="397EECE0" w:rsidR="00656139" w:rsidRPr="0032002E" w:rsidRDefault="00656139" w:rsidP="00656139">
      <w:pPr>
        <w:spacing w:line="360" w:lineRule="auto"/>
        <w:jc w:val="both"/>
        <w:rPr>
          <w:rFonts w:ascii="Arial" w:hAnsi="Arial" w:cs="Arial"/>
        </w:rPr>
      </w:pPr>
      <w:r w:rsidRPr="0032002E">
        <w:rPr>
          <w:rFonts w:ascii="Arial" w:hAnsi="Arial" w:cs="Arial"/>
        </w:rPr>
        <w:tab/>
      </w:r>
      <w:r w:rsidRPr="0032002E">
        <w:rPr>
          <w:rFonts w:ascii="Arial" w:hAnsi="Arial" w:cs="Arial"/>
          <w:b/>
        </w:rPr>
        <w:t xml:space="preserve">CUARTO. </w:t>
      </w:r>
      <w:r w:rsidRPr="0032002E">
        <w:rPr>
          <w:rFonts w:ascii="Arial" w:hAnsi="Arial" w:cs="Arial"/>
        </w:rPr>
        <w:t>No habiendo cuestiones pendientes por acordar y al no existir diligencias pendientes por desahogar, con fundamento en lo dispuesto en el artículo 185 de la Ley de Transparencia y Acceso a la Información Pública del Estado,</w:t>
      </w:r>
      <w:r w:rsidRPr="0032002E">
        <w:rPr>
          <w:rFonts w:ascii="Arial" w:hAnsi="Arial" w:cs="Arial"/>
          <w:b/>
        </w:rPr>
        <w:t xml:space="preserve"> </w:t>
      </w:r>
      <w:r w:rsidRPr="0032002E">
        <w:rPr>
          <w:rFonts w:ascii="Arial" w:hAnsi="Arial" w:cs="Arial"/>
        </w:rPr>
        <w:t xml:space="preserve">este Organismo Garante procederá a analizar los autos que corren agregados al presente sumario, a fin de determinar el cumplimiento a la resolución de fecha </w:t>
      </w:r>
      <w:r w:rsidR="00C13461">
        <w:rPr>
          <w:rFonts w:ascii="Arial" w:hAnsi="Arial" w:cs="Arial"/>
          <w:color w:val="FF0000"/>
        </w:rPr>
        <w:t xml:space="preserve">07 siete de febrero </w:t>
      </w:r>
      <w:r w:rsidR="00415B78">
        <w:rPr>
          <w:rFonts w:ascii="Arial" w:hAnsi="Arial" w:cs="Arial"/>
          <w:color w:val="FF0000"/>
        </w:rPr>
        <w:t>de 2024 dos mil veinticuatro</w:t>
      </w:r>
      <w:r w:rsidRPr="0032002E">
        <w:rPr>
          <w:rFonts w:ascii="Arial" w:hAnsi="Arial" w:cs="Arial"/>
        </w:rPr>
        <w:t>.</w:t>
      </w:r>
    </w:p>
    <w:p w14:paraId="35D376E6" w14:textId="77777777" w:rsidR="00656139" w:rsidRPr="0032002E" w:rsidRDefault="00656139" w:rsidP="00656139">
      <w:pPr>
        <w:spacing w:line="360" w:lineRule="auto"/>
        <w:ind w:firstLine="708"/>
        <w:jc w:val="both"/>
        <w:rPr>
          <w:rFonts w:ascii="Arial" w:hAnsi="Arial" w:cs="Arial"/>
          <w:b/>
          <w:color w:val="323E4F" w:themeColor="text2" w:themeShade="BF"/>
          <w:lang w:eastAsia="es-MX"/>
        </w:rPr>
      </w:pPr>
    </w:p>
    <w:p w14:paraId="373068A8" w14:textId="102578C5" w:rsidR="00100D36" w:rsidRPr="00100D36" w:rsidRDefault="00656139" w:rsidP="00100D36">
      <w:pPr>
        <w:spacing w:line="360" w:lineRule="auto"/>
        <w:ind w:firstLine="708"/>
        <w:jc w:val="both"/>
        <w:rPr>
          <w:rFonts w:ascii="Arial" w:hAnsi="Arial" w:cs="Arial"/>
          <w:color w:val="323E4F" w:themeColor="text2" w:themeShade="BF"/>
          <w:lang w:val="es-ES" w:eastAsia="es-MX"/>
        </w:rPr>
      </w:pPr>
      <w:r w:rsidRPr="0032002E">
        <w:rPr>
          <w:rFonts w:ascii="Arial" w:hAnsi="Arial" w:cs="Arial"/>
          <w:color w:val="323E4F" w:themeColor="text2" w:themeShade="BF"/>
          <w:lang w:eastAsia="es-MX"/>
        </w:rPr>
        <w:t xml:space="preserve">De un análisis a las constancias que corren agregadas al presente procedimiento, es de precisarse que el recurrente </w:t>
      </w:r>
      <w:r w:rsidR="00C13461">
        <w:rPr>
          <w:rFonts w:ascii="Arial" w:hAnsi="Arial" w:cs="Arial"/>
          <w:color w:val="323E4F" w:themeColor="text2" w:themeShade="BF"/>
          <w:lang w:eastAsia="es-MX"/>
        </w:rPr>
        <w:t xml:space="preserve">realizó diversas manifestaciones de las cuales es posible advertir que se inconforma respecto de la documentación </w:t>
      </w:r>
      <w:r w:rsidR="00100D36">
        <w:rPr>
          <w:rFonts w:ascii="Arial" w:hAnsi="Arial" w:cs="Arial"/>
          <w:color w:val="323E4F" w:themeColor="text2" w:themeShade="BF"/>
          <w:lang w:eastAsia="es-MX"/>
        </w:rPr>
        <w:t xml:space="preserve">que se puso a su disposición, lo cual se traduce en una impugnación directa a los documentos y no así, al procedimiento de acceso a la información; a este respecto, </w:t>
      </w:r>
      <w:r w:rsidR="00100D36" w:rsidRPr="00100D36">
        <w:rPr>
          <w:rFonts w:ascii="Arial" w:hAnsi="Arial" w:cs="Arial"/>
          <w:color w:val="323E4F" w:themeColor="text2" w:themeShade="BF"/>
          <w:lang w:eastAsia="es-MX"/>
        </w:rPr>
        <w:t xml:space="preserve">esta Comisión no cuenta con atribuciones para emitir un pronunciamiento en cuanto a la validez y veracidad de la información, en razón de que </w:t>
      </w:r>
      <w:r w:rsidR="00100D36" w:rsidRPr="00100D36">
        <w:rPr>
          <w:rFonts w:ascii="Arial" w:hAnsi="Arial" w:cs="Arial"/>
          <w:color w:val="323E4F" w:themeColor="text2" w:themeShade="BF"/>
          <w:lang w:val="es-ES" w:eastAsia="es-MX"/>
        </w:rPr>
        <w:t>este Órgano Garante únicamente puede llevar a cabo las atribuciones previstas en el artículo 34 de la Ley de Transparencia Local.</w:t>
      </w:r>
      <w:r w:rsidR="00100D36" w:rsidRPr="00100D36">
        <w:rPr>
          <w:rFonts w:ascii="Arial" w:hAnsi="Arial" w:cs="Arial"/>
          <w:color w:val="323E4F" w:themeColor="text2" w:themeShade="BF"/>
          <w:vertAlign w:val="superscript"/>
          <w:lang w:val="es-ES" w:eastAsia="es-MX"/>
        </w:rPr>
        <w:footnoteReference w:id="1"/>
      </w:r>
    </w:p>
    <w:p w14:paraId="572BD7DC" w14:textId="77777777" w:rsidR="00100D36" w:rsidRPr="00100D36" w:rsidRDefault="00100D36" w:rsidP="00100D36">
      <w:pPr>
        <w:spacing w:line="360" w:lineRule="auto"/>
        <w:ind w:firstLine="708"/>
        <w:jc w:val="both"/>
        <w:rPr>
          <w:rFonts w:ascii="Arial" w:hAnsi="Arial" w:cs="Arial"/>
          <w:color w:val="323E4F" w:themeColor="text2" w:themeShade="BF"/>
          <w:lang w:val="es-ES" w:eastAsia="es-MX"/>
        </w:rPr>
      </w:pPr>
    </w:p>
    <w:p w14:paraId="4805032A" w14:textId="77777777" w:rsidR="00100D36" w:rsidRPr="00100D36" w:rsidRDefault="00100D36" w:rsidP="00100D36">
      <w:pPr>
        <w:spacing w:line="360" w:lineRule="auto"/>
        <w:ind w:firstLine="708"/>
        <w:jc w:val="both"/>
        <w:rPr>
          <w:rFonts w:ascii="Arial" w:hAnsi="Arial" w:cs="Arial"/>
          <w:color w:val="323E4F" w:themeColor="text2" w:themeShade="BF"/>
          <w:lang w:val="es-ES" w:eastAsia="es-MX"/>
        </w:rPr>
      </w:pPr>
      <w:r w:rsidRPr="00100D36">
        <w:rPr>
          <w:rFonts w:ascii="Arial" w:hAnsi="Arial" w:cs="Arial"/>
          <w:color w:val="323E4F" w:themeColor="text2" w:themeShade="BF"/>
          <w:lang w:val="es-ES" w:eastAsia="es-MX"/>
        </w:rPr>
        <w:t>Lo anterior resulta así, en virtud de que este Órgano Garante carece de competencia para pronunciarse sobre la legalidad de su contenido, pues ello deviene del ejercicio de las funciones de la autoridad responsable, y no con motivo del ejercicio del derecho de acceso a la información pública.</w:t>
      </w:r>
    </w:p>
    <w:p w14:paraId="03573FD9" w14:textId="77777777" w:rsidR="00100D36" w:rsidRPr="00100D36" w:rsidRDefault="00100D36" w:rsidP="00100D36">
      <w:pPr>
        <w:spacing w:line="360" w:lineRule="auto"/>
        <w:ind w:firstLine="708"/>
        <w:jc w:val="both"/>
        <w:rPr>
          <w:rFonts w:ascii="Arial" w:hAnsi="Arial" w:cs="Arial"/>
          <w:color w:val="323E4F" w:themeColor="text2" w:themeShade="BF"/>
          <w:lang w:val="es-ES" w:eastAsia="es-MX"/>
        </w:rPr>
      </w:pPr>
    </w:p>
    <w:p w14:paraId="4539164A" w14:textId="77777777" w:rsidR="00100D36" w:rsidRPr="00100D36" w:rsidRDefault="00100D36" w:rsidP="00100D36">
      <w:pPr>
        <w:spacing w:line="360" w:lineRule="auto"/>
        <w:ind w:firstLine="708"/>
        <w:jc w:val="both"/>
        <w:rPr>
          <w:rFonts w:ascii="Arial" w:hAnsi="Arial" w:cs="Arial"/>
          <w:color w:val="323E4F" w:themeColor="text2" w:themeShade="BF"/>
          <w:lang w:val="es-ES" w:eastAsia="es-MX"/>
        </w:rPr>
      </w:pPr>
      <w:r w:rsidRPr="00100D36">
        <w:rPr>
          <w:rFonts w:ascii="Arial" w:hAnsi="Arial" w:cs="Arial"/>
          <w:color w:val="323E4F" w:themeColor="text2" w:themeShade="BF"/>
          <w:lang w:val="es-ES" w:eastAsia="es-MX"/>
        </w:rPr>
        <w:t>Dicho en otras palabras, el agravio que al respecto pretende hacer valer la persona recurrente pone en tela de juicio la información que se encuentra cargada en la Plataforma Estatal de Transparencia, en el ejercicio de las funciones conferidas al amparo de su marco normativo aplicable, pues, como se aprecia, con él pretender hace valer su falta de veracidad, a lo que se le debe reiterar que esta Comisión, carece de facultades para pronunciarse sobre ello.</w:t>
      </w:r>
    </w:p>
    <w:p w14:paraId="3A18E009" w14:textId="77777777" w:rsidR="00100D36" w:rsidRPr="00100D36" w:rsidRDefault="00100D36" w:rsidP="00100D36">
      <w:pPr>
        <w:spacing w:line="360" w:lineRule="auto"/>
        <w:ind w:firstLine="708"/>
        <w:jc w:val="both"/>
        <w:rPr>
          <w:rFonts w:ascii="Arial" w:hAnsi="Arial" w:cs="Arial"/>
          <w:color w:val="323E4F" w:themeColor="text2" w:themeShade="BF"/>
          <w:lang w:val="es-ES" w:eastAsia="es-MX"/>
        </w:rPr>
      </w:pPr>
    </w:p>
    <w:p w14:paraId="67579A3A" w14:textId="77777777" w:rsidR="00100D36" w:rsidRPr="00100D36" w:rsidRDefault="00100D36" w:rsidP="00100D36">
      <w:pPr>
        <w:spacing w:line="360" w:lineRule="auto"/>
        <w:ind w:firstLine="708"/>
        <w:jc w:val="both"/>
        <w:rPr>
          <w:rFonts w:ascii="Arial" w:hAnsi="Arial" w:cs="Arial"/>
          <w:color w:val="323E4F" w:themeColor="text2" w:themeShade="BF"/>
          <w:lang w:val="es-ES" w:eastAsia="es-MX"/>
        </w:rPr>
      </w:pPr>
      <w:r w:rsidRPr="00100D36">
        <w:rPr>
          <w:rFonts w:ascii="Arial" w:hAnsi="Arial" w:cs="Arial"/>
          <w:color w:val="323E4F" w:themeColor="text2" w:themeShade="BF"/>
          <w:lang w:val="es-ES" w:eastAsia="es-MX"/>
        </w:rPr>
        <w:t>Lo anterior, toda vez que, este Órgano Garante constituye un organismo autónomo, especializado, imparcial con plena autonomía técnica, de gestión, capacidad para decidir sobre el ejercicio de su presupuesto y determinar su organización interna, responsable de garantizar el cumplimiento del derecho de acceso a la información pública y a la protección de datos personales en posesión de los sujetos obligados.</w:t>
      </w:r>
    </w:p>
    <w:p w14:paraId="202E5E85" w14:textId="77777777" w:rsidR="00100D36" w:rsidRDefault="00100D36" w:rsidP="00656139">
      <w:pPr>
        <w:spacing w:line="360" w:lineRule="auto"/>
        <w:ind w:firstLine="708"/>
        <w:jc w:val="both"/>
        <w:rPr>
          <w:rFonts w:ascii="Arial" w:hAnsi="Arial" w:cs="Arial"/>
          <w:color w:val="323E4F" w:themeColor="text2" w:themeShade="BF"/>
          <w:lang w:eastAsia="es-MX"/>
        </w:rPr>
      </w:pPr>
    </w:p>
    <w:p w14:paraId="69679CF5" w14:textId="502AA6DD" w:rsidR="00656139" w:rsidRDefault="00100D36" w:rsidP="00656139">
      <w:pPr>
        <w:spacing w:line="360" w:lineRule="auto"/>
        <w:ind w:firstLine="708"/>
        <w:jc w:val="both"/>
        <w:rPr>
          <w:rFonts w:ascii="Arial" w:hAnsi="Arial" w:cs="Arial"/>
          <w:color w:val="323E4F" w:themeColor="text2" w:themeShade="BF"/>
          <w:lang w:eastAsia="es-MX"/>
        </w:rPr>
      </w:pPr>
      <w:r>
        <w:rPr>
          <w:rFonts w:ascii="Arial" w:hAnsi="Arial" w:cs="Arial"/>
          <w:color w:val="323E4F" w:themeColor="text2" w:themeShade="BF"/>
          <w:lang w:eastAsia="es-MX"/>
        </w:rPr>
        <w:t xml:space="preserve">Ahora bien, </w:t>
      </w:r>
      <w:r w:rsidR="00656139" w:rsidRPr="0032002E">
        <w:rPr>
          <w:rFonts w:ascii="Arial" w:hAnsi="Arial" w:cs="Arial"/>
          <w:color w:val="323E4F" w:themeColor="text2" w:themeShade="BF"/>
          <w:lang w:eastAsia="es-MX"/>
        </w:rPr>
        <w:t xml:space="preserve">el Sujeto Obligado </w:t>
      </w:r>
      <w:r w:rsidR="00656139">
        <w:rPr>
          <w:rFonts w:ascii="Arial" w:hAnsi="Arial" w:cs="Arial"/>
          <w:color w:val="323E4F" w:themeColor="text2" w:themeShade="BF"/>
          <w:lang w:eastAsia="es-MX"/>
        </w:rPr>
        <w:t xml:space="preserve">emitió en cumplimiento a la determinación que nos ocupa, se tiene que en </w:t>
      </w:r>
      <w:r>
        <w:rPr>
          <w:rFonts w:ascii="Arial" w:hAnsi="Arial" w:cs="Arial"/>
          <w:color w:val="323E4F" w:themeColor="text2" w:themeShade="BF"/>
          <w:lang w:eastAsia="es-MX"/>
        </w:rPr>
        <w:t>20 veinte de febrero</w:t>
      </w:r>
      <w:r w:rsidR="002E37B1">
        <w:rPr>
          <w:rFonts w:ascii="Arial" w:hAnsi="Arial" w:cs="Arial"/>
          <w:color w:val="323E4F" w:themeColor="text2" w:themeShade="BF"/>
          <w:lang w:eastAsia="es-MX"/>
        </w:rPr>
        <w:t xml:space="preserve"> de 2024 dos mil veinticuatro,</w:t>
      </w:r>
      <w:r w:rsidR="00656139">
        <w:rPr>
          <w:rFonts w:ascii="Arial" w:hAnsi="Arial" w:cs="Arial"/>
          <w:color w:val="323E4F" w:themeColor="text2" w:themeShade="BF"/>
          <w:lang w:eastAsia="es-MX"/>
        </w:rPr>
        <w:t xml:space="preserve"> se recibió el oficio </w:t>
      </w:r>
      <w:r>
        <w:rPr>
          <w:rFonts w:ascii="Arial" w:hAnsi="Arial" w:cs="Arial"/>
          <w:color w:val="323E4F" w:themeColor="text2" w:themeShade="BF"/>
          <w:lang w:eastAsia="es-MX"/>
        </w:rPr>
        <w:t>SIP-210</w:t>
      </w:r>
      <w:r w:rsidR="008955A7">
        <w:rPr>
          <w:rFonts w:ascii="Arial" w:hAnsi="Arial" w:cs="Arial"/>
          <w:color w:val="323E4F" w:themeColor="text2" w:themeShade="BF"/>
          <w:lang w:eastAsia="es-MX"/>
        </w:rPr>
        <w:t>/2023</w:t>
      </w:r>
      <w:r w:rsidR="002E37B1">
        <w:rPr>
          <w:rFonts w:ascii="Arial" w:hAnsi="Arial" w:cs="Arial"/>
          <w:color w:val="323E4F" w:themeColor="text2" w:themeShade="BF"/>
          <w:lang w:eastAsia="es-MX"/>
        </w:rPr>
        <w:t>, suscrito por la Titular de la Unidad de Transparencia de</w:t>
      </w:r>
      <w:r w:rsidR="008955A7">
        <w:rPr>
          <w:rFonts w:ascii="Arial" w:hAnsi="Arial" w:cs="Arial"/>
          <w:color w:val="323E4F" w:themeColor="text2" w:themeShade="BF"/>
          <w:lang w:eastAsia="es-MX"/>
        </w:rPr>
        <w:t xml:space="preserve">l Sistema Educativo Estatal Regular, </w:t>
      </w:r>
      <w:r w:rsidR="00656139">
        <w:rPr>
          <w:rFonts w:ascii="Arial" w:hAnsi="Arial" w:cs="Arial"/>
          <w:color w:val="323E4F" w:themeColor="text2" w:themeShade="BF"/>
          <w:lang w:eastAsia="es-MX"/>
        </w:rPr>
        <w:t xml:space="preserve">a través del cual acompaña diversos anexos de los cuales se puede acreditar que realizó diversas gestiones ante las áreas señaladas en la revisión que se examina a cumplimiento. </w:t>
      </w:r>
    </w:p>
    <w:p w14:paraId="6418BEC2" w14:textId="245B1323" w:rsidR="00656139" w:rsidRDefault="00656139" w:rsidP="00656139">
      <w:pPr>
        <w:spacing w:line="360" w:lineRule="auto"/>
        <w:ind w:firstLine="708"/>
        <w:jc w:val="both"/>
        <w:rPr>
          <w:rFonts w:ascii="Arial" w:hAnsi="Arial" w:cs="Arial"/>
          <w:color w:val="323E4F" w:themeColor="text2" w:themeShade="BF"/>
          <w:lang w:eastAsia="es-MX"/>
        </w:rPr>
      </w:pPr>
    </w:p>
    <w:p w14:paraId="057B0AD1" w14:textId="4F0B821B" w:rsidR="002E37B1" w:rsidRDefault="00656139" w:rsidP="00656139">
      <w:pPr>
        <w:spacing w:line="360" w:lineRule="auto"/>
        <w:ind w:firstLine="708"/>
        <w:jc w:val="both"/>
        <w:rPr>
          <w:rFonts w:ascii="Arial" w:hAnsi="Arial" w:cs="Arial"/>
          <w:color w:val="323E4F" w:themeColor="text2" w:themeShade="BF"/>
          <w:lang w:eastAsia="es-MX"/>
        </w:rPr>
      </w:pPr>
      <w:r>
        <w:rPr>
          <w:rFonts w:ascii="Arial" w:hAnsi="Arial" w:cs="Arial"/>
          <w:color w:val="323E4F" w:themeColor="text2" w:themeShade="BF"/>
          <w:lang w:eastAsia="es-MX"/>
        </w:rPr>
        <w:t>De las constancias aportadas, es dable señalar que la Responsable da cumplimiento a lo establecido en</w:t>
      </w:r>
      <w:r w:rsidR="002E37B1">
        <w:rPr>
          <w:rFonts w:ascii="Arial" w:hAnsi="Arial" w:cs="Arial"/>
          <w:color w:val="323E4F" w:themeColor="text2" w:themeShade="BF"/>
          <w:lang w:eastAsia="es-MX"/>
        </w:rPr>
        <w:t xml:space="preserve"> los efectos ordenados por el Pleno de esta Comisión, en razón de que de las constancias aportadas es posible advertir: </w:t>
      </w:r>
    </w:p>
    <w:p w14:paraId="078B3322" w14:textId="0235535B" w:rsidR="008955A7" w:rsidRDefault="008955A7" w:rsidP="00656139">
      <w:pPr>
        <w:spacing w:line="360" w:lineRule="auto"/>
        <w:ind w:firstLine="708"/>
        <w:jc w:val="both"/>
        <w:rPr>
          <w:rFonts w:ascii="Arial" w:hAnsi="Arial" w:cs="Arial"/>
          <w:color w:val="323E4F" w:themeColor="text2" w:themeShade="BF"/>
          <w:lang w:eastAsia="es-MX"/>
        </w:rPr>
      </w:pPr>
    </w:p>
    <w:p w14:paraId="2821F984" w14:textId="1A3F4E8A" w:rsidR="00100D36" w:rsidRDefault="00100D36" w:rsidP="00100D36">
      <w:pPr>
        <w:spacing w:line="360" w:lineRule="auto"/>
        <w:ind w:firstLine="708"/>
        <w:jc w:val="both"/>
        <w:rPr>
          <w:rFonts w:ascii="Arial" w:hAnsi="Arial" w:cs="Arial"/>
          <w:bCs/>
          <w:iCs/>
          <w:color w:val="323E4F" w:themeColor="text2" w:themeShade="BF"/>
          <w:lang w:eastAsia="es-MX"/>
        </w:rPr>
      </w:pPr>
      <w:r w:rsidRPr="00100D36">
        <w:rPr>
          <w:rFonts w:ascii="Arial" w:hAnsi="Arial" w:cs="Arial"/>
          <w:bCs/>
          <w:iCs/>
          <w:color w:val="323E4F" w:themeColor="text2" w:themeShade="BF"/>
          <w:lang w:eastAsia="es-MX"/>
        </w:rPr>
        <w:t xml:space="preserve">Respecto al </w:t>
      </w:r>
      <w:r w:rsidRPr="00100D36">
        <w:rPr>
          <w:rFonts w:ascii="Arial" w:hAnsi="Arial" w:cs="Arial"/>
          <w:b/>
          <w:bCs/>
          <w:iCs/>
          <w:color w:val="323E4F" w:themeColor="text2" w:themeShade="BF"/>
          <w:lang w:eastAsia="es-MX"/>
        </w:rPr>
        <w:t xml:space="preserve">punto uno, </w:t>
      </w:r>
      <w:r>
        <w:rPr>
          <w:rFonts w:ascii="Arial" w:hAnsi="Arial" w:cs="Arial"/>
          <w:bCs/>
          <w:iCs/>
          <w:color w:val="323E4F" w:themeColor="text2" w:themeShade="BF"/>
          <w:lang w:eastAsia="es-MX"/>
        </w:rPr>
        <w:t xml:space="preserve">se otorgó </w:t>
      </w:r>
      <w:r w:rsidRPr="00100D36">
        <w:rPr>
          <w:rFonts w:ascii="Arial" w:hAnsi="Arial" w:cs="Arial"/>
          <w:bCs/>
          <w:iCs/>
          <w:color w:val="323E4F" w:themeColor="text2" w:themeShade="BF"/>
          <w:lang w:eastAsia="es-MX"/>
        </w:rPr>
        <w:t>la modalidad de acceso a la información a través de la consulta directa</w:t>
      </w:r>
      <w:r>
        <w:rPr>
          <w:rFonts w:ascii="Arial" w:hAnsi="Arial" w:cs="Arial"/>
          <w:bCs/>
          <w:iCs/>
          <w:color w:val="323E4F" w:themeColor="text2" w:themeShade="BF"/>
          <w:lang w:eastAsia="es-MX"/>
        </w:rPr>
        <w:t xml:space="preserve">; se presentó </w:t>
      </w:r>
      <w:r w:rsidRPr="00100D36">
        <w:rPr>
          <w:rFonts w:ascii="Arial" w:hAnsi="Arial" w:cs="Arial"/>
          <w:bCs/>
          <w:iCs/>
          <w:color w:val="323E4F" w:themeColor="text2" w:themeShade="BF"/>
          <w:lang w:eastAsia="es-MX"/>
        </w:rPr>
        <w:t>constancia de la entrega de las copias simples al recurrente</w:t>
      </w:r>
      <w:r>
        <w:rPr>
          <w:rFonts w:ascii="Arial" w:hAnsi="Arial" w:cs="Arial"/>
          <w:bCs/>
          <w:iCs/>
          <w:color w:val="323E4F" w:themeColor="text2" w:themeShade="BF"/>
          <w:lang w:eastAsia="es-MX"/>
        </w:rPr>
        <w:t>.</w:t>
      </w:r>
    </w:p>
    <w:p w14:paraId="2B67A730" w14:textId="77777777" w:rsidR="00100D36" w:rsidRDefault="00100D36" w:rsidP="00100D36">
      <w:pPr>
        <w:spacing w:line="360" w:lineRule="auto"/>
        <w:ind w:firstLine="708"/>
        <w:jc w:val="both"/>
        <w:rPr>
          <w:rFonts w:ascii="Arial" w:hAnsi="Arial" w:cs="Arial"/>
          <w:bCs/>
          <w:iCs/>
          <w:color w:val="323E4F" w:themeColor="text2" w:themeShade="BF"/>
          <w:lang w:eastAsia="es-MX"/>
        </w:rPr>
      </w:pPr>
    </w:p>
    <w:p w14:paraId="78E0C5CE" w14:textId="6AB16327" w:rsidR="00100D36" w:rsidRPr="00100D36" w:rsidRDefault="00100D36" w:rsidP="00100D36">
      <w:pPr>
        <w:spacing w:line="360" w:lineRule="auto"/>
        <w:ind w:firstLine="708"/>
        <w:jc w:val="both"/>
        <w:rPr>
          <w:rFonts w:ascii="Arial" w:hAnsi="Arial" w:cs="Arial"/>
          <w:bCs/>
          <w:iCs/>
          <w:color w:val="323E4F" w:themeColor="text2" w:themeShade="BF"/>
          <w:lang w:eastAsia="es-MX"/>
        </w:rPr>
      </w:pPr>
      <w:r>
        <w:rPr>
          <w:rFonts w:ascii="Arial" w:hAnsi="Arial" w:cs="Arial"/>
          <w:bCs/>
          <w:iCs/>
          <w:color w:val="323E4F" w:themeColor="text2" w:themeShade="BF"/>
          <w:lang w:eastAsia="es-MX"/>
        </w:rPr>
        <w:t xml:space="preserve">En cuanto al </w:t>
      </w:r>
      <w:r w:rsidRPr="00100D36">
        <w:rPr>
          <w:rFonts w:ascii="Arial" w:hAnsi="Arial" w:cs="Arial"/>
          <w:b/>
          <w:bCs/>
          <w:iCs/>
          <w:color w:val="323E4F" w:themeColor="text2" w:themeShade="BF"/>
          <w:lang w:eastAsia="es-MX"/>
        </w:rPr>
        <w:t xml:space="preserve">punto dos, </w:t>
      </w:r>
      <w:r>
        <w:rPr>
          <w:rFonts w:ascii="Arial" w:hAnsi="Arial" w:cs="Arial"/>
          <w:bCs/>
          <w:iCs/>
          <w:color w:val="323E4F" w:themeColor="text2" w:themeShade="BF"/>
          <w:lang w:eastAsia="es-MX"/>
        </w:rPr>
        <w:t xml:space="preserve">se puso a disposición </w:t>
      </w:r>
      <w:r w:rsidRPr="00100D36">
        <w:rPr>
          <w:rFonts w:ascii="Arial" w:hAnsi="Arial" w:cs="Arial"/>
          <w:bCs/>
          <w:iCs/>
          <w:color w:val="323E4F" w:themeColor="text2" w:themeShade="BF"/>
          <w:lang w:eastAsia="es-MX"/>
        </w:rPr>
        <w:t>las facturas de las cuales se generó la obligación de pago a la</w:t>
      </w:r>
      <w:r w:rsidRPr="00100D36">
        <w:rPr>
          <w:rFonts w:ascii="Arial" w:hAnsi="Arial" w:cs="Arial"/>
          <w:b/>
          <w:bCs/>
          <w:i/>
          <w:iCs/>
          <w:color w:val="323E4F" w:themeColor="text2" w:themeShade="BF"/>
          <w:lang w:eastAsia="es-MX"/>
        </w:rPr>
        <w:t xml:space="preserve"> </w:t>
      </w:r>
      <w:r w:rsidRPr="00100D36">
        <w:rPr>
          <w:rFonts w:ascii="Arial" w:hAnsi="Arial" w:cs="Arial"/>
          <w:bCs/>
          <w:iCs/>
          <w:color w:val="323E4F" w:themeColor="text2" w:themeShade="BF"/>
          <w:lang w:eastAsia="es-MX"/>
        </w:rPr>
        <w:t>empresa de seguridad privada “soluciones integrales logo &amp; mora S.A. de C.V.”, de los meses de enero, febrero, marzo de 2023 dos mil veintitrés.</w:t>
      </w:r>
    </w:p>
    <w:p w14:paraId="449B99A3" w14:textId="77777777" w:rsidR="00100D36" w:rsidRDefault="00100D36" w:rsidP="00100D36">
      <w:pPr>
        <w:spacing w:line="360" w:lineRule="auto"/>
        <w:ind w:firstLine="708"/>
        <w:jc w:val="both"/>
        <w:rPr>
          <w:rFonts w:ascii="Arial" w:hAnsi="Arial" w:cs="Arial"/>
          <w:bCs/>
          <w:iCs/>
          <w:color w:val="323E4F" w:themeColor="text2" w:themeShade="BF"/>
          <w:lang w:eastAsia="es-MX"/>
        </w:rPr>
      </w:pPr>
    </w:p>
    <w:p w14:paraId="52C498CA" w14:textId="6BCB9E79" w:rsidR="00100D36" w:rsidRPr="00100D36" w:rsidRDefault="00100D36" w:rsidP="00100D36">
      <w:pPr>
        <w:spacing w:line="360" w:lineRule="auto"/>
        <w:ind w:firstLine="708"/>
        <w:jc w:val="both"/>
        <w:rPr>
          <w:rFonts w:ascii="Arial" w:hAnsi="Arial" w:cs="Arial"/>
          <w:bCs/>
          <w:iCs/>
          <w:color w:val="323E4F" w:themeColor="text2" w:themeShade="BF"/>
          <w:lang w:eastAsia="es-MX"/>
        </w:rPr>
      </w:pPr>
      <w:r w:rsidRPr="00100D36">
        <w:rPr>
          <w:rFonts w:ascii="Arial" w:hAnsi="Arial" w:cs="Arial"/>
          <w:bCs/>
          <w:iCs/>
          <w:color w:val="323E4F" w:themeColor="text2" w:themeShade="BF"/>
          <w:lang w:eastAsia="es-MX"/>
        </w:rPr>
        <w:t xml:space="preserve">En cuanto al </w:t>
      </w:r>
      <w:r w:rsidRPr="00100D36">
        <w:rPr>
          <w:rFonts w:ascii="Arial" w:hAnsi="Arial" w:cs="Arial"/>
          <w:b/>
          <w:bCs/>
          <w:iCs/>
          <w:color w:val="323E4F" w:themeColor="text2" w:themeShade="BF"/>
          <w:lang w:eastAsia="es-MX"/>
        </w:rPr>
        <w:t>punto tres</w:t>
      </w:r>
      <w:r w:rsidRPr="00100D36">
        <w:rPr>
          <w:rFonts w:ascii="Arial" w:hAnsi="Arial" w:cs="Arial"/>
          <w:bCs/>
          <w:iCs/>
          <w:color w:val="323E4F" w:themeColor="text2" w:themeShade="BF"/>
          <w:lang w:eastAsia="es-MX"/>
        </w:rPr>
        <w:t xml:space="preserve">, </w:t>
      </w:r>
      <w:r w:rsidRPr="00100D36">
        <w:rPr>
          <w:rFonts w:ascii="Arial" w:hAnsi="Arial" w:cs="Arial"/>
          <w:bCs/>
          <w:iCs/>
          <w:color w:val="323E4F" w:themeColor="text2" w:themeShade="BF"/>
          <w:lang w:val="es-ES" w:eastAsia="es-MX"/>
        </w:rPr>
        <w:t xml:space="preserve">se </w:t>
      </w:r>
      <w:r>
        <w:rPr>
          <w:rFonts w:ascii="Arial" w:hAnsi="Arial" w:cs="Arial"/>
          <w:bCs/>
          <w:iCs/>
          <w:color w:val="323E4F" w:themeColor="text2" w:themeShade="BF"/>
          <w:lang w:val="es-ES" w:eastAsia="es-MX"/>
        </w:rPr>
        <w:t xml:space="preserve">puso a disposición </w:t>
      </w:r>
      <w:r w:rsidRPr="00100D36">
        <w:rPr>
          <w:rFonts w:ascii="Arial" w:hAnsi="Arial" w:cs="Arial"/>
          <w:bCs/>
          <w:iCs/>
          <w:color w:val="323E4F" w:themeColor="text2" w:themeShade="BF"/>
          <w:lang w:val="es-ES" w:eastAsia="es-MX"/>
        </w:rPr>
        <w:t>el listado de nombres de las personas que han ejercido las funciones de encargado de la unidad de información</w:t>
      </w:r>
      <w:r>
        <w:rPr>
          <w:rFonts w:ascii="Arial" w:hAnsi="Arial" w:cs="Arial"/>
          <w:bCs/>
          <w:iCs/>
          <w:color w:val="323E4F" w:themeColor="text2" w:themeShade="BF"/>
          <w:lang w:val="es-ES" w:eastAsia="es-MX"/>
        </w:rPr>
        <w:t>.</w:t>
      </w:r>
      <w:r w:rsidRPr="00100D36">
        <w:rPr>
          <w:rFonts w:ascii="Arial" w:hAnsi="Arial" w:cs="Arial"/>
          <w:bCs/>
          <w:iCs/>
          <w:color w:val="323E4F" w:themeColor="text2" w:themeShade="BF"/>
          <w:lang w:val="es-ES" w:eastAsia="es-MX"/>
        </w:rPr>
        <w:t xml:space="preserve"> </w:t>
      </w:r>
    </w:p>
    <w:p w14:paraId="5B265D24" w14:textId="77777777" w:rsidR="00100D36" w:rsidRPr="00100D36" w:rsidRDefault="00100D36" w:rsidP="00100D36">
      <w:pPr>
        <w:spacing w:line="360" w:lineRule="auto"/>
        <w:ind w:firstLine="708"/>
        <w:jc w:val="both"/>
        <w:rPr>
          <w:rFonts w:ascii="Arial" w:hAnsi="Arial" w:cs="Arial"/>
          <w:bCs/>
          <w:iCs/>
          <w:color w:val="323E4F" w:themeColor="text2" w:themeShade="BF"/>
          <w:lang w:val="es-ES" w:eastAsia="es-MX"/>
        </w:rPr>
      </w:pPr>
    </w:p>
    <w:p w14:paraId="1A22F435" w14:textId="2A2BBC04" w:rsidR="00B53715" w:rsidRPr="00A5421E" w:rsidRDefault="00B53715" w:rsidP="00783AAA">
      <w:pPr>
        <w:spacing w:line="360" w:lineRule="auto"/>
        <w:ind w:firstLine="708"/>
        <w:jc w:val="both"/>
        <w:rPr>
          <w:rFonts w:ascii="Arial" w:eastAsia="Arial" w:hAnsi="Arial" w:cs="Arial"/>
          <w:spacing w:val="1"/>
        </w:rPr>
      </w:pPr>
      <w:bookmarkStart w:id="0" w:name="_GoBack"/>
      <w:bookmarkEnd w:id="0"/>
      <w:r w:rsidRPr="00A5421E">
        <w:rPr>
          <w:rFonts w:ascii="Arial" w:eastAsia="Arial" w:hAnsi="Arial" w:cs="Arial"/>
          <w:spacing w:val="1"/>
        </w:rPr>
        <w:t xml:space="preserve">De lo anterior, </w:t>
      </w:r>
      <w:r w:rsidR="00783AAA" w:rsidRPr="00A5421E">
        <w:rPr>
          <w:rFonts w:ascii="Arial" w:eastAsia="Arial" w:hAnsi="Arial" w:cs="Arial"/>
          <w:spacing w:val="1"/>
        </w:rPr>
        <w:t xml:space="preserve">se estima que la respuesta otorgada por el sujeto obligado atiende los efectos señalados en la determinación adoptada por el Pleno de esta </w:t>
      </w:r>
      <w:r w:rsidR="00783AAA" w:rsidRPr="00A5421E">
        <w:rPr>
          <w:rFonts w:ascii="Arial" w:eastAsia="Arial" w:hAnsi="Arial" w:cs="Arial"/>
          <w:spacing w:val="1"/>
        </w:rPr>
        <w:lastRenderedPageBreak/>
        <w:t>comisión, ello así en virtud de que se atienden los puntos formu</w:t>
      </w:r>
      <w:r w:rsidR="00DB01C6">
        <w:rPr>
          <w:rFonts w:ascii="Arial" w:eastAsia="Arial" w:hAnsi="Arial" w:cs="Arial"/>
          <w:spacing w:val="1"/>
        </w:rPr>
        <w:t>lados en la referida solicitud.</w:t>
      </w:r>
    </w:p>
    <w:p w14:paraId="60B2E9D2" w14:textId="77777777" w:rsidR="00B53715" w:rsidRPr="00A5421E" w:rsidRDefault="00B53715" w:rsidP="00783AAA">
      <w:pPr>
        <w:spacing w:line="360" w:lineRule="auto"/>
        <w:ind w:firstLine="708"/>
        <w:jc w:val="both"/>
        <w:rPr>
          <w:rFonts w:ascii="Arial" w:eastAsia="Arial" w:hAnsi="Arial" w:cs="Arial"/>
          <w:spacing w:val="1"/>
        </w:rPr>
      </w:pPr>
    </w:p>
    <w:p w14:paraId="56B334E9" w14:textId="1148E9FE" w:rsidR="00783AAA" w:rsidRPr="00A5421E" w:rsidRDefault="00783AAA" w:rsidP="00783AAA">
      <w:pPr>
        <w:spacing w:line="360" w:lineRule="auto"/>
        <w:ind w:firstLine="708"/>
        <w:jc w:val="both"/>
        <w:rPr>
          <w:rFonts w:ascii="Arial" w:eastAsia="Arial" w:hAnsi="Arial" w:cs="Arial"/>
          <w:spacing w:val="1"/>
          <w:lang w:val="es-ES"/>
        </w:rPr>
      </w:pPr>
      <w:r w:rsidRPr="00A5421E">
        <w:rPr>
          <w:rFonts w:ascii="Arial" w:eastAsia="Arial" w:hAnsi="Arial" w:cs="Arial"/>
          <w:spacing w:val="1"/>
          <w:lang w:val="es-ES"/>
        </w:rPr>
        <w:t xml:space="preserve">A este respecto, es necesario precisar que </w:t>
      </w:r>
      <w:r w:rsidR="00B53715" w:rsidRPr="00A5421E">
        <w:rPr>
          <w:rFonts w:ascii="Arial" w:eastAsia="Arial" w:hAnsi="Arial" w:cs="Arial"/>
          <w:spacing w:val="1"/>
          <w:lang w:val="es-ES"/>
        </w:rPr>
        <w:t>la responsable ha acreditado la notificación por la cual da cumplimiento a los extremos de la determinación del asunto que nos ocupa</w:t>
      </w:r>
      <w:r w:rsidRPr="00A5421E">
        <w:rPr>
          <w:rFonts w:ascii="Arial" w:eastAsia="Arial" w:hAnsi="Arial" w:cs="Arial"/>
          <w:spacing w:val="1"/>
          <w:lang w:val="es-ES"/>
        </w:rPr>
        <w:t xml:space="preserve">, misma que debe ser entendida como el acto mediante el cual se da a conocer al interesado a través de un medio remoto una decisión administrativa, y por ello debe contar con un documento que de manera fehaciente demuestre la notificación al destinario, ya que de otro modo se violentaría en perjuicio del solicitante la garantía de seguridad jurídica que le asiste. </w:t>
      </w:r>
    </w:p>
    <w:p w14:paraId="354566F4" w14:textId="77777777" w:rsidR="00B53715" w:rsidRPr="00A5421E" w:rsidRDefault="00B53715" w:rsidP="00783AAA">
      <w:pPr>
        <w:spacing w:line="360" w:lineRule="auto"/>
        <w:ind w:firstLine="708"/>
        <w:jc w:val="both"/>
        <w:rPr>
          <w:rFonts w:ascii="Arial" w:eastAsia="Arial" w:hAnsi="Arial" w:cs="Arial"/>
          <w:spacing w:val="1"/>
          <w:lang w:val="es-ES"/>
        </w:rPr>
      </w:pPr>
    </w:p>
    <w:p w14:paraId="3401BE24" w14:textId="77777777" w:rsidR="00783AAA" w:rsidRPr="00A5421E" w:rsidRDefault="00783AAA" w:rsidP="00783AAA">
      <w:pPr>
        <w:spacing w:line="360" w:lineRule="auto"/>
        <w:ind w:firstLine="708"/>
        <w:jc w:val="both"/>
        <w:rPr>
          <w:rFonts w:ascii="Arial" w:eastAsia="Arial" w:hAnsi="Arial" w:cs="Arial"/>
          <w:spacing w:val="1"/>
          <w:lang w:val="es-ES"/>
        </w:rPr>
      </w:pPr>
      <w:r w:rsidRPr="00A5421E">
        <w:rPr>
          <w:rFonts w:ascii="Arial" w:eastAsia="Arial" w:hAnsi="Arial" w:cs="Arial"/>
          <w:spacing w:val="1"/>
          <w:lang w:val="es-ES"/>
        </w:rPr>
        <w:t>En ese sentido, el Tribunal Colegiado en Materias de Trabajo y Administrativa del Décimo Tercer Circuito, emitió un criterio relacionado con la cuestión que nos ocupa, mismo que se identifica con el número XIII.T.A.3 A (10a.), y que establece:</w:t>
      </w:r>
    </w:p>
    <w:p w14:paraId="41E82958" w14:textId="77777777" w:rsidR="00783AAA" w:rsidRPr="00A5421E" w:rsidRDefault="00783AAA" w:rsidP="00783AAA">
      <w:pPr>
        <w:spacing w:line="360" w:lineRule="auto"/>
        <w:ind w:firstLine="708"/>
        <w:jc w:val="both"/>
        <w:rPr>
          <w:rFonts w:ascii="Arial" w:eastAsia="Arial" w:hAnsi="Arial" w:cs="Arial"/>
          <w:spacing w:val="1"/>
          <w:lang w:val="es-ES"/>
        </w:rPr>
      </w:pPr>
    </w:p>
    <w:p w14:paraId="0286ECA4" w14:textId="77777777" w:rsidR="00783AAA" w:rsidRPr="00A5421E" w:rsidRDefault="00783AAA" w:rsidP="00B53715">
      <w:pPr>
        <w:ind w:left="1134" w:right="1183"/>
        <w:jc w:val="both"/>
        <w:rPr>
          <w:rFonts w:ascii="Arial" w:eastAsia="Arial" w:hAnsi="Arial" w:cs="Arial"/>
          <w:b/>
          <w:spacing w:val="1"/>
          <w:sz w:val="22"/>
          <w:szCs w:val="22"/>
          <w:lang w:val="es-ES"/>
        </w:rPr>
      </w:pPr>
      <w:r w:rsidRPr="00A5421E">
        <w:rPr>
          <w:rFonts w:ascii="Arial" w:eastAsia="Arial" w:hAnsi="Arial" w:cs="Arial"/>
          <w:b/>
          <w:bCs/>
          <w:spacing w:val="1"/>
          <w:sz w:val="22"/>
          <w:szCs w:val="22"/>
          <w:lang w:val="es-ES"/>
        </w:rPr>
        <w:t xml:space="preserve">“NOTIFICACIÓN ELECTRÓNICA. AL PRACTICARLA, LA AUTORIDAD DEBE ANEXAR EN AUTOS DEL EXPEDIENTE ADMINISTRATIVO O JUDICIAL DEL QUE DERIVE, LA CONSTANCIA FEHACIENTE DE RECEPCIÓN POR SU DESTINATARIO. </w:t>
      </w:r>
      <w:r w:rsidRPr="00A5421E">
        <w:rPr>
          <w:rFonts w:ascii="Arial" w:eastAsia="Arial" w:hAnsi="Arial" w:cs="Arial"/>
          <w:spacing w:val="1"/>
          <w:sz w:val="22"/>
          <w:szCs w:val="22"/>
          <w:lang w:val="es-ES"/>
        </w:rPr>
        <w:t>La </w:t>
      </w:r>
      <w:r w:rsidRPr="00A5421E">
        <w:rPr>
          <w:rFonts w:ascii="Arial" w:eastAsia="Arial" w:hAnsi="Arial" w:cs="Arial"/>
          <w:bCs/>
          <w:spacing w:val="1"/>
          <w:sz w:val="22"/>
          <w:szCs w:val="22"/>
          <w:lang w:val="es-ES"/>
        </w:rPr>
        <w:t>notificación</w:t>
      </w:r>
      <w:r w:rsidRPr="00A5421E">
        <w:rPr>
          <w:rFonts w:ascii="Arial" w:eastAsia="Arial" w:hAnsi="Arial" w:cs="Arial"/>
          <w:spacing w:val="1"/>
          <w:sz w:val="22"/>
          <w:szCs w:val="22"/>
          <w:lang w:val="es-ES"/>
        </w:rPr>
        <w:t> </w:t>
      </w:r>
      <w:r w:rsidRPr="00A5421E">
        <w:rPr>
          <w:rFonts w:ascii="Arial" w:eastAsia="Arial" w:hAnsi="Arial" w:cs="Arial"/>
          <w:bCs/>
          <w:spacing w:val="1"/>
          <w:sz w:val="22"/>
          <w:szCs w:val="22"/>
          <w:lang w:val="es-ES"/>
        </w:rPr>
        <w:t>electrónica</w:t>
      </w:r>
      <w:r w:rsidRPr="00A5421E">
        <w:rPr>
          <w:rFonts w:ascii="Arial" w:eastAsia="Arial" w:hAnsi="Arial" w:cs="Arial"/>
          <w:spacing w:val="1"/>
          <w:sz w:val="22"/>
          <w:szCs w:val="22"/>
          <w:lang w:val="es-ES"/>
        </w:rPr>
        <w:t xml:space="preserve"> es el acto mediante el cual, con las formalidades legales preestablecidas, se da a conocer a los interesados a través de medios electrónicos y telemáticos, tales como una página web o correo electrónico, un acuerdo administrativo o resolución judicial, por lo que, al practicarla, la autoridad debe anexar en autos del expediente administrativo o judicial del que derive, la constancia fehaciente de recepción por su destinatario, sin que baste la razón actuarial de que se realizó de esa manera, pues la omisión de esa constancia constituye una violación que transgrede las leyes del procedimiento y afecta las defensas del quejoso, la cual actualiza el supuesto previsto </w:t>
      </w:r>
      <w:r w:rsidRPr="00A5421E">
        <w:rPr>
          <w:rFonts w:ascii="Arial" w:eastAsia="Arial" w:hAnsi="Arial" w:cs="Arial"/>
          <w:b/>
          <w:spacing w:val="1"/>
          <w:sz w:val="22"/>
          <w:szCs w:val="22"/>
          <w:lang w:val="es-ES"/>
        </w:rPr>
        <w:t>en la </w:t>
      </w:r>
      <w:hyperlink r:id="rId8" w:history="1">
        <w:r w:rsidRPr="00A5421E">
          <w:rPr>
            <w:rStyle w:val="Hipervnculo"/>
            <w:rFonts w:ascii="Arial" w:eastAsia="Arial" w:hAnsi="Arial" w:cs="Arial"/>
            <w:b/>
            <w:color w:val="auto"/>
            <w:spacing w:val="1"/>
            <w:sz w:val="22"/>
            <w:szCs w:val="22"/>
            <w:lang w:val="es-ES"/>
          </w:rPr>
          <w:t>fracción I del artículo 172 de la Ley de Amparo</w:t>
        </w:r>
      </w:hyperlink>
      <w:r w:rsidRPr="00A5421E">
        <w:rPr>
          <w:rFonts w:ascii="Arial" w:eastAsia="Arial" w:hAnsi="Arial" w:cs="Arial"/>
          <w:b/>
          <w:spacing w:val="1"/>
          <w:sz w:val="22"/>
          <w:szCs w:val="22"/>
          <w:lang w:val="es-ES"/>
        </w:rPr>
        <w:t>, vigente a partir del 3 de abril de 2013”.</w:t>
      </w:r>
    </w:p>
    <w:p w14:paraId="0D30F0A0" w14:textId="77777777" w:rsidR="00783AAA" w:rsidRPr="00A5421E" w:rsidRDefault="00783AAA" w:rsidP="00783AAA">
      <w:pPr>
        <w:spacing w:line="360" w:lineRule="auto"/>
        <w:ind w:firstLine="708"/>
        <w:jc w:val="both"/>
        <w:rPr>
          <w:rFonts w:ascii="Arial" w:eastAsia="Arial" w:hAnsi="Arial" w:cs="Arial"/>
          <w:b/>
          <w:spacing w:val="1"/>
          <w:lang w:val="es-ES"/>
        </w:rPr>
      </w:pPr>
    </w:p>
    <w:p w14:paraId="298BE193" w14:textId="3C9B266C" w:rsidR="00783AAA" w:rsidRPr="00A5421E" w:rsidRDefault="00783AAA" w:rsidP="00783AAA">
      <w:pPr>
        <w:spacing w:line="360" w:lineRule="auto"/>
        <w:ind w:firstLine="708"/>
        <w:jc w:val="both"/>
        <w:rPr>
          <w:rFonts w:ascii="Arial" w:eastAsia="Arial" w:hAnsi="Arial" w:cs="Arial"/>
          <w:spacing w:val="1"/>
          <w:lang w:val="es-ES"/>
        </w:rPr>
      </w:pPr>
      <w:r w:rsidRPr="00A5421E">
        <w:rPr>
          <w:rFonts w:ascii="Arial" w:eastAsia="Arial" w:hAnsi="Arial" w:cs="Arial"/>
          <w:spacing w:val="1"/>
          <w:lang w:val="es-ES"/>
        </w:rPr>
        <w:t xml:space="preserve">En razón de la tesis invocada y del análisis de las constancias que acompañó el sujeto obligado, se puede verificar a foja </w:t>
      </w:r>
      <w:r w:rsidR="00A5421E" w:rsidRPr="00A5421E">
        <w:rPr>
          <w:rFonts w:ascii="Arial" w:eastAsia="Arial" w:hAnsi="Arial" w:cs="Arial"/>
          <w:spacing w:val="1"/>
          <w:lang w:val="es-ES"/>
        </w:rPr>
        <w:t>96</w:t>
      </w:r>
      <w:r w:rsidRPr="00A5421E">
        <w:rPr>
          <w:rFonts w:ascii="Arial" w:eastAsia="Arial" w:hAnsi="Arial" w:cs="Arial"/>
          <w:spacing w:val="1"/>
          <w:lang w:val="es-ES"/>
        </w:rPr>
        <w:t>, que notificó la información generada al particular a través de</w:t>
      </w:r>
      <w:r w:rsidR="00A5421E" w:rsidRPr="00A5421E">
        <w:rPr>
          <w:rFonts w:ascii="Arial" w:eastAsia="Arial" w:hAnsi="Arial" w:cs="Arial"/>
          <w:spacing w:val="1"/>
          <w:lang w:val="es-ES"/>
        </w:rPr>
        <w:t xml:space="preserve">l medio señalado por la persona recurrente, </w:t>
      </w:r>
      <w:r w:rsidRPr="00A5421E">
        <w:rPr>
          <w:rFonts w:ascii="Arial" w:eastAsia="Arial" w:hAnsi="Arial" w:cs="Arial"/>
          <w:spacing w:val="1"/>
          <w:lang w:val="es-ES"/>
        </w:rPr>
        <w:t>tal y como se puede corroborar a foja 1 del presente sumario, lo cual permite apreciar que se le entregó la respuesta que emitió el área ante la cual se le gestionó la solicitud de información.</w:t>
      </w:r>
    </w:p>
    <w:p w14:paraId="76599EC1" w14:textId="77777777" w:rsidR="00783AAA" w:rsidRPr="00A5421E" w:rsidRDefault="00783AAA" w:rsidP="00783AAA">
      <w:pPr>
        <w:spacing w:line="360" w:lineRule="auto"/>
        <w:ind w:firstLine="708"/>
        <w:jc w:val="both"/>
        <w:rPr>
          <w:rFonts w:ascii="Arial" w:eastAsia="Arial" w:hAnsi="Arial" w:cs="Arial"/>
          <w:spacing w:val="1"/>
          <w:lang w:val="es-ES"/>
        </w:rPr>
      </w:pPr>
    </w:p>
    <w:p w14:paraId="672C4550" w14:textId="054F9134" w:rsidR="00783AAA" w:rsidRDefault="00783AAA" w:rsidP="00783AAA">
      <w:pPr>
        <w:spacing w:line="360" w:lineRule="auto"/>
        <w:ind w:firstLine="708"/>
        <w:jc w:val="both"/>
        <w:rPr>
          <w:rFonts w:ascii="Arial" w:eastAsia="Arial" w:hAnsi="Arial" w:cs="Arial"/>
          <w:spacing w:val="1"/>
        </w:rPr>
      </w:pPr>
      <w:r w:rsidRPr="00A5421E">
        <w:rPr>
          <w:rFonts w:ascii="Arial" w:eastAsia="Arial" w:hAnsi="Arial" w:cs="Arial"/>
          <w:spacing w:val="1"/>
          <w:lang w:val="es-ES"/>
        </w:rPr>
        <w:t xml:space="preserve">Asimismo, de las constancias aportadas al presente sumario, se advierte que el particular no realizo manifestación alguna en sentido contrario al presente cumplimiento, por lo que es </w:t>
      </w:r>
      <w:r w:rsidRPr="00A5421E">
        <w:rPr>
          <w:rFonts w:ascii="Arial" w:eastAsia="Arial" w:hAnsi="Arial" w:cs="Arial"/>
          <w:spacing w:val="1"/>
        </w:rPr>
        <w:t>necesario señalar que el inconforme</w:t>
      </w:r>
      <w:r w:rsidR="00A5421E" w:rsidRPr="00A5421E">
        <w:rPr>
          <w:rFonts w:ascii="Arial" w:eastAsia="Arial" w:hAnsi="Arial" w:cs="Arial"/>
          <w:spacing w:val="1"/>
        </w:rPr>
        <w:t xml:space="preserve"> no se duele del contenido de</w:t>
      </w:r>
      <w:r w:rsidRPr="00A5421E">
        <w:rPr>
          <w:rFonts w:ascii="Arial" w:eastAsia="Arial" w:hAnsi="Arial" w:cs="Arial"/>
          <w:spacing w:val="1"/>
        </w:rPr>
        <w:t xml:space="preserve"> la información entregada, por lo que se colige que se mostraba conforme con la respuesta emitida por el sujeto obligado respecto de aquello que requirió y, por la otra, no se inconformó del contenido de aquello que se le entregó.</w:t>
      </w:r>
    </w:p>
    <w:p w14:paraId="58823DA6" w14:textId="77777777" w:rsidR="000F223D" w:rsidRPr="00A5421E" w:rsidRDefault="000F223D" w:rsidP="00783AAA">
      <w:pPr>
        <w:spacing w:line="360" w:lineRule="auto"/>
        <w:ind w:firstLine="708"/>
        <w:jc w:val="both"/>
        <w:rPr>
          <w:rFonts w:ascii="Arial" w:eastAsia="Arial" w:hAnsi="Arial" w:cs="Arial"/>
          <w:spacing w:val="1"/>
        </w:rPr>
      </w:pPr>
    </w:p>
    <w:p w14:paraId="286C0593" w14:textId="0AEA798C" w:rsidR="00783AAA" w:rsidRPr="00A5421E" w:rsidRDefault="00783AAA" w:rsidP="00783AAA">
      <w:pPr>
        <w:spacing w:line="360" w:lineRule="auto"/>
        <w:ind w:firstLine="708"/>
        <w:jc w:val="both"/>
        <w:rPr>
          <w:rFonts w:ascii="Arial" w:eastAsia="Arial" w:hAnsi="Arial" w:cs="Arial"/>
          <w:spacing w:val="1"/>
        </w:rPr>
      </w:pPr>
      <w:r w:rsidRPr="00A5421E">
        <w:rPr>
          <w:rFonts w:ascii="Arial" w:eastAsia="Arial" w:hAnsi="Arial" w:cs="Arial"/>
          <w:spacing w:val="1"/>
        </w:rPr>
        <w:t xml:space="preserve">En razón de lo expuesto, quedó acreditado que el sujeto obligado dio cumplimiento a la resolución que nos ocupa, ya que notificó la respuesta mediante la cual justificó la causa o razón que sustentara la omisión de la respuesta primigenia; consecuentemente, con fundamento en lo dispuesto por el artículo 185 de la citada, se declara </w:t>
      </w:r>
      <w:r w:rsidRPr="00A5421E">
        <w:rPr>
          <w:rFonts w:ascii="Arial" w:eastAsia="Arial" w:hAnsi="Arial" w:cs="Arial"/>
          <w:b/>
          <w:spacing w:val="1"/>
          <w:u w:val="single"/>
        </w:rPr>
        <w:t>cumplida</w:t>
      </w:r>
      <w:r w:rsidRPr="00A5421E">
        <w:rPr>
          <w:rFonts w:ascii="Arial" w:eastAsia="Arial" w:hAnsi="Arial" w:cs="Arial"/>
          <w:b/>
          <w:spacing w:val="1"/>
        </w:rPr>
        <w:t xml:space="preserve"> </w:t>
      </w:r>
      <w:r w:rsidRPr="00A5421E">
        <w:rPr>
          <w:rFonts w:ascii="Arial" w:eastAsia="Arial" w:hAnsi="Arial" w:cs="Arial"/>
          <w:spacing w:val="1"/>
        </w:rPr>
        <w:t xml:space="preserve">la presente resolución. </w:t>
      </w:r>
    </w:p>
    <w:p w14:paraId="38A1C589" w14:textId="77777777" w:rsidR="00A5421E" w:rsidRPr="00A5421E" w:rsidRDefault="00A5421E" w:rsidP="00783AAA">
      <w:pPr>
        <w:spacing w:line="360" w:lineRule="auto"/>
        <w:ind w:firstLine="708"/>
        <w:jc w:val="both"/>
        <w:rPr>
          <w:rFonts w:ascii="Arial" w:eastAsia="Arial" w:hAnsi="Arial" w:cs="Arial"/>
          <w:spacing w:val="1"/>
        </w:rPr>
      </w:pPr>
    </w:p>
    <w:p w14:paraId="531EA760" w14:textId="56EC0C54" w:rsidR="00783AAA" w:rsidRPr="00A5421E" w:rsidRDefault="00783AAA" w:rsidP="00783AAA">
      <w:pPr>
        <w:spacing w:line="360" w:lineRule="auto"/>
        <w:ind w:firstLine="708"/>
        <w:jc w:val="both"/>
        <w:rPr>
          <w:rFonts w:ascii="Arial" w:eastAsia="Arial" w:hAnsi="Arial" w:cs="Arial"/>
          <w:spacing w:val="1"/>
        </w:rPr>
      </w:pPr>
      <w:r w:rsidRPr="00A5421E">
        <w:rPr>
          <w:rFonts w:ascii="Arial" w:eastAsia="Arial" w:hAnsi="Arial" w:cs="Arial"/>
          <w:spacing w:val="1"/>
        </w:rPr>
        <w:t>Por lo anteriormente expuesto y fundado, se emite el siguiente:</w:t>
      </w:r>
    </w:p>
    <w:p w14:paraId="5A07F8F2" w14:textId="77777777" w:rsidR="00783AAA" w:rsidRPr="00A5421E" w:rsidRDefault="00783AAA" w:rsidP="00783AAA">
      <w:pPr>
        <w:spacing w:line="360" w:lineRule="auto"/>
        <w:ind w:firstLine="708"/>
        <w:jc w:val="both"/>
        <w:rPr>
          <w:rFonts w:ascii="Arial" w:eastAsia="Arial" w:hAnsi="Arial" w:cs="Arial"/>
          <w:spacing w:val="1"/>
        </w:rPr>
      </w:pPr>
    </w:p>
    <w:p w14:paraId="7EE64B67" w14:textId="77777777" w:rsidR="00783AAA" w:rsidRPr="00A5421E" w:rsidRDefault="00783AAA" w:rsidP="00A5421E">
      <w:pPr>
        <w:spacing w:line="360" w:lineRule="auto"/>
        <w:ind w:firstLine="708"/>
        <w:jc w:val="center"/>
        <w:rPr>
          <w:rFonts w:ascii="Arial" w:eastAsia="Arial" w:hAnsi="Arial" w:cs="Arial"/>
          <w:b/>
          <w:spacing w:val="1"/>
        </w:rPr>
      </w:pPr>
      <w:r w:rsidRPr="00A5421E">
        <w:rPr>
          <w:rFonts w:ascii="Arial" w:eastAsia="Arial" w:hAnsi="Arial" w:cs="Arial"/>
          <w:b/>
          <w:spacing w:val="1"/>
        </w:rPr>
        <w:t>ACUERDO</w:t>
      </w:r>
    </w:p>
    <w:p w14:paraId="4C9A8B46" w14:textId="77777777" w:rsidR="00A5421E" w:rsidRPr="00A5421E" w:rsidRDefault="00A5421E" w:rsidP="00783AAA">
      <w:pPr>
        <w:spacing w:line="360" w:lineRule="auto"/>
        <w:ind w:firstLine="708"/>
        <w:jc w:val="both"/>
        <w:rPr>
          <w:rFonts w:ascii="Arial" w:eastAsia="Arial" w:hAnsi="Arial" w:cs="Arial"/>
          <w:b/>
          <w:spacing w:val="1"/>
        </w:rPr>
      </w:pPr>
    </w:p>
    <w:p w14:paraId="63E7B968" w14:textId="3123FC80" w:rsidR="00783AAA" w:rsidRPr="00A5421E" w:rsidRDefault="00783AAA" w:rsidP="00783AAA">
      <w:pPr>
        <w:spacing w:line="360" w:lineRule="auto"/>
        <w:ind w:firstLine="708"/>
        <w:jc w:val="both"/>
        <w:rPr>
          <w:rFonts w:ascii="Arial" w:eastAsia="Arial" w:hAnsi="Arial" w:cs="Arial"/>
          <w:spacing w:val="1"/>
        </w:rPr>
      </w:pPr>
      <w:r w:rsidRPr="00A5421E">
        <w:rPr>
          <w:rFonts w:ascii="Arial" w:eastAsia="Arial" w:hAnsi="Arial" w:cs="Arial"/>
          <w:b/>
          <w:spacing w:val="1"/>
        </w:rPr>
        <w:t xml:space="preserve">PRIMERO. </w:t>
      </w:r>
      <w:r w:rsidRPr="00A5421E">
        <w:rPr>
          <w:rFonts w:ascii="Arial" w:eastAsia="Arial" w:hAnsi="Arial" w:cs="Arial"/>
          <w:spacing w:val="1"/>
        </w:rPr>
        <w:t xml:space="preserve">Con base en el artículo 185, fracción I de la Ley de Transparencia y Acceso a la Información Pública del Estado, declara </w:t>
      </w:r>
      <w:r w:rsidRPr="00A5421E">
        <w:rPr>
          <w:rFonts w:ascii="Arial" w:eastAsia="Arial" w:hAnsi="Arial" w:cs="Arial"/>
          <w:b/>
          <w:spacing w:val="1"/>
          <w:u w:val="single"/>
        </w:rPr>
        <w:t>cumplida</w:t>
      </w:r>
      <w:r w:rsidRPr="00A5421E">
        <w:rPr>
          <w:rFonts w:ascii="Arial" w:eastAsia="Arial" w:hAnsi="Arial" w:cs="Arial"/>
          <w:spacing w:val="1"/>
        </w:rPr>
        <w:t xml:space="preserve"> la resolución que en definitiva se dictó en el presente asunto.</w:t>
      </w:r>
    </w:p>
    <w:p w14:paraId="4BC0C8E3" w14:textId="77777777" w:rsidR="00783AAA" w:rsidRPr="00A5421E" w:rsidRDefault="00783AAA" w:rsidP="00783AAA">
      <w:pPr>
        <w:spacing w:line="360" w:lineRule="auto"/>
        <w:ind w:firstLine="708"/>
        <w:jc w:val="both"/>
        <w:rPr>
          <w:rFonts w:ascii="Arial" w:eastAsia="Arial" w:hAnsi="Arial" w:cs="Arial"/>
          <w:spacing w:val="1"/>
        </w:rPr>
      </w:pPr>
    </w:p>
    <w:p w14:paraId="3DE77AD7" w14:textId="77777777" w:rsidR="00783AAA" w:rsidRPr="00A5421E" w:rsidRDefault="00783AAA" w:rsidP="00783AAA">
      <w:pPr>
        <w:spacing w:line="360" w:lineRule="auto"/>
        <w:ind w:firstLine="708"/>
        <w:jc w:val="both"/>
        <w:rPr>
          <w:rFonts w:ascii="Arial" w:eastAsia="Arial" w:hAnsi="Arial" w:cs="Arial"/>
          <w:spacing w:val="1"/>
        </w:rPr>
      </w:pPr>
      <w:r w:rsidRPr="00A5421E">
        <w:rPr>
          <w:rFonts w:ascii="Arial" w:eastAsia="Arial" w:hAnsi="Arial" w:cs="Arial"/>
          <w:b/>
          <w:spacing w:val="1"/>
        </w:rPr>
        <w:t xml:space="preserve">SEGUNDO. </w:t>
      </w:r>
      <w:r w:rsidRPr="00A5421E">
        <w:rPr>
          <w:rFonts w:ascii="Arial" w:eastAsia="Arial" w:hAnsi="Arial" w:cs="Arial"/>
          <w:spacing w:val="1"/>
        </w:rPr>
        <w:t>Con fundamento en los artículos 2 fracción XII y 9 de los Lineamientos para la Gestión de Archivos Administrativos y Resguardo de la Información Pública del Estado de San Luis Potosí, emitidos por esta Comisión,</w:t>
      </w:r>
      <w:r w:rsidRPr="00A5421E">
        <w:rPr>
          <w:rFonts w:ascii="Arial" w:eastAsia="Arial" w:hAnsi="Arial" w:cs="Arial"/>
          <w:b/>
          <w:spacing w:val="1"/>
        </w:rPr>
        <w:t xml:space="preserve"> se remite el presente asunto al Archivo de Concentración de este Órgano Garante, </w:t>
      </w:r>
      <w:r w:rsidRPr="00A5421E">
        <w:rPr>
          <w:rFonts w:ascii="Arial" w:eastAsia="Arial" w:hAnsi="Arial" w:cs="Arial"/>
          <w:spacing w:val="1"/>
        </w:rPr>
        <w:t>como asunto concluido.</w:t>
      </w:r>
    </w:p>
    <w:p w14:paraId="746063CB" w14:textId="77777777" w:rsidR="00783AAA" w:rsidRPr="00A5421E" w:rsidRDefault="00783AAA" w:rsidP="00783AAA">
      <w:pPr>
        <w:spacing w:line="360" w:lineRule="auto"/>
        <w:ind w:firstLine="708"/>
        <w:jc w:val="both"/>
        <w:rPr>
          <w:rFonts w:ascii="Arial" w:eastAsia="Arial" w:hAnsi="Arial" w:cs="Arial"/>
          <w:b/>
          <w:spacing w:val="1"/>
        </w:rPr>
      </w:pPr>
    </w:p>
    <w:p w14:paraId="30E14CD9" w14:textId="3BA86ECD" w:rsidR="00783AAA" w:rsidRPr="00A5421E" w:rsidRDefault="00783AAA" w:rsidP="00783AAA">
      <w:pPr>
        <w:spacing w:line="360" w:lineRule="auto"/>
        <w:ind w:firstLine="708"/>
        <w:jc w:val="both"/>
        <w:rPr>
          <w:rFonts w:ascii="Arial" w:eastAsia="Arial" w:hAnsi="Arial" w:cs="Arial"/>
          <w:spacing w:val="1"/>
        </w:rPr>
      </w:pPr>
      <w:r w:rsidRPr="00A5421E">
        <w:rPr>
          <w:rFonts w:ascii="Arial" w:eastAsia="Arial" w:hAnsi="Arial" w:cs="Arial"/>
          <w:b/>
          <w:spacing w:val="1"/>
        </w:rPr>
        <w:t>TERCERO.</w:t>
      </w:r>
      <w:r w:rsidRPr="00A5421E">
        <w:rPr>
          <w:rFonts w:ascii="Arial" w:eastAsia="Arial" w:hAnsi="Arial" w:cs="Arial"/>
          <w:spacing w:val="1"/>
        </w:rPr>
        <w:t xml:space="preserve"> Notifíquese.</w:t>
      </w:r>
    </w:p>
    <w:p w14:paraId="3040206E" w14:textId="77777777" w:rsidR="00A5421E" w:rsidRPr="00A5421E" w:rsidRDefault="00A5421E" w:rsidP="00A5421E">
      <w:pPr>
        <w:spacing w:line="360" w:lineRule="auto"/>
        <w:ind w:firstLine="708"/>
        <w:jc w:val="both"/>
        <w:rPr>
          <w:rFonts w:ascii="Arial" w:hAnsi="Arial" w:cs="Arial"/>
          <w:i/>
          <w:lang w:eastAsia="es-MX"/>
        </w:rPr>
      </w:pPr>
    </w:p>
    <w:p w14:paraId="2728E04C" w14:textId="591C820E" w:rsidR="00A5421E" w:rsidRPr="00A5421E" w:rsidRDefault="00A5421E" w:rsidP="00A5421E">
      <w:pPr>
        <w:spacing w:line="360" w:lineRule="auto"/>
        <w:ind w:firstLine="708"/>
        <w:jc w:val="both"/>
        <w:rPr>
          <w:rFonts w:ascii="Arial" w:hAnsi="Arial" w:cs="Arial"/>
          <w:lang w:eastAsia="es-MX"/>
        </w:rPr>
      </w:pPr>
      <w:r w:rsidRPr="00A5421E">
        <w:rPr>
          <w:rFonts w:ascii="Arial" w:hAnsi="Arial" w:cs="Arial"/>
          <w:lang w:eastAsia="es-MX"/>
        </w:rPr>
        <w:t xml:space="preserve">Así lo proveyó y firma Adriana Berenice Capetillo Reyes, Proyectista Adscrita a la Ponencia 3 de la Comisión Estatal de Garantía de Acceso a la Información Pública, que actúa de conformidad con lo establecido en el artículo 51, fracción VII del Reglamento Interno de la Comisión Estatal de Garantía de </w:t>
      </w:r>
      <w:r w:rsidRPr="00A5421E">
        <w:rPr>
          <w:rFonts w:ascii="Arial" w:hAnsi="Arial" w:cs="Arial"/>
          <w:lang w:eastAsia="es-MX"/>
        </w:rPr>
        <w:lastRenderedPageBreak/>
        <w:t xml:space="preserve">Acceso a la Información Pública, en correlación con el Acuerdo CEGAIP-738/2023, emitido por el Pleno de este Órgano Garante, en la Ciudad de San Luis Potosí, S. L. P., a 01 primero de agosto de 2024 dos mil veinticuatro. </w:t>
      </w:r>
    </w:p>
    <w:p w14:paraId="66319042" w14:textId="77777777" w:rsidR="00A5421E" w:rsidRPr="00A5421E" w:rsidRDefault="00A5421E" w:rsidP="00A5421E">
      <w:pPr>
        <w:spacing w:line="360" w:lineRule="auto"/>
        <w:ind w:firstLine="708"/>
        <w:jc w:val="both"/>
        <w:rPr>
          <w:rFonts w:ascii="Arial" w:hAnsi="Arial" w:cs="Arial"/>
          <w:b/>
          <w:lang w:eastAsia="es-MX"/>
        </w:rPr>
      </w:pPr>
    </w:p>
    <w:p w14:paraId="16782D37" w14:textId="77777777" w:rsidR="00A5421E" w:rsidRPr="00A5421E" w:rsidRDefault="00A5421E" w:rsidP="00A5421E">
      <w:pPr>
        <w:spacing w:line="360" w:lineRule="auto"/>
        <w:ind w:firstLine="708"/>
        <w:jc w:val="both"/>
        <w:rPr>
          <w:rFonts w:ascii="Arial" w:hAnsi="Arial" w:cs="Arial"/>
          <w:b/>
          <w:lang w:eastAsia="es-MX"/>
        </w:rPr>
      </w:pPr>
    </w:p>
    <w:p w14:paraId="1B6B466A" w14:textId="77777777" w:rsidR="00A5421E" w:rsidRPr="00A5421E" w:rsidRDefault="00A5421E" w:rsidP="00A5421E">
      <w:pPr>
        <w:spacing w:line="360" w:lineRule="auto"/>
        <w:ind w:firstLine="708"/>
        <w:jc w:val="center"/>
        <w:rPr>
          <w:rFonts w:ascii="Arial" w:hAnsi="Arial" w:cs="Arial"/>
          <w:lang w:eastAsia="es-MX"/>
        </w:rPr>
      </w:pPr>
      <w:r w:rsidRPr="00A5421E">
        <w:rPr>
          <w:rFonts w:ascii="Arial" w:hAnsi="Arial" w:cs="Arial"/>
          <w:lang w:eastAsia="es-MX"/>
        </w:rPr>
        <w:t>Adriana Berenice Capetillo Reyes</w:t>
      </w:r>
    </w:p>
    <w:p w14:paraId="7D790328" w14:textId="77777777" w:rsidR="00A5421E" w:rsidRPr="00A5421E" w:rsidRDefault="00A5421E" w:rsidP="00A5421E">
      <w:pPr>
        <w:spacing w:line="360" w:lineRule="auto"/>
        <w:ind w:firstLine="708"/>
        <w:jc w:val="center"/>
        <w:rPr>
          <w:rFonts w:ascii="Arial" w:hAnsi="Arial" w:cs="Arial"/>
          <w:lang w:eastAsia="es-MX"/>
        </w:rPr>
      </w:pPr>
      <w:r w:rsidRPr="00A5421E">
        <w:rPr>
          <w:rFonts w:ascii="Arial" w:hAnsi="Arial" w:cs="Arial"/>
          <w:lang w:eastAsia="es-MX"/>
        </w:rPr>
        <w:t>Proyectista Adscrita a Ponencia Tres</w:t>
      </w:r>
    </w:p>
    <w:p w14:paraId="267B0DA5" w14:textId="77777777" w:rsidR="00A5421E" w:rsidRPr="00A5421E" w:rsidRDefault="00A5421E" w:rsidP="00A5421E">
      <w:pPr>
        <w:spacing w:line="360" w:lineRule="auto"/>
        <w:ind w:firstLine="708"/>
        <w:jc w:val="center"/>
        <w:rPr>
          <w:rFonts w:ascii="Arial" w:hAnsi="Arial" w:cs="Arial"/>
          <w:lang w:eastAsia="es-MX"/>
        </w:rPr>
      </w:pPr>
    </w:p>
    <w:p w14:paraId="49169D29" w14:textId="77777777" w:rsidR="00A5421E" w:rsidRPr="00A5421E" w:rsidRDefault="00A5421E" w:rsidP="00A5421E">
      <w:pPr>
        <w:spacing w:line="360" w:lineRule="auto"/>
        <w:ind w:firstLine="708"/>
        <w:jc w:val="center"/>
        <w:rPr>
          <w:rFonts w:ascii="Arial" w:hAnsi="Arial" w:cs="Arial"/>
          <w:lang w:eastAsia="es-MX"/>
        </w:rPr>
      </w:pPr>
    </w:p>
    <w:p w14:paraId="03981C45" w14:textId="35A317A4" w:rsidR="00A5421E" w:rsidRPr="000F223D" w:rsidRDefault="000F223D" w:rsidP="00A5421E">
      <w:pPr>
        <w:spacing w:line="360" w:lineRule="auto"/>
        <w:ind w:firstLine="708"/>
        <w:jc w:val="both"/>
        <w:rPr>
          <w:rFonts w:ascii="Arial" w:hAnsi="Arial" w:cs="Arial"/>
          <w:sz w:val="22"/>
          <w:szCs w:val="22"/>
          <w:lang w:eastAsia="es-MX"/>
        </w:rPr>
      </w:pPr>
      <w:r w:rsidRPr="000F223D">
        <w:rPr>
          <w:rFonts w:ascii="Arial" w:hAnsi="Arial" w:cs="Arial"/>
          <w:noProof/>
          <w:sz w:val="22"/>
          <w:szCs w:val="22"/>
          <w:lang w:eastAsia="es-MX"/>
        </w:rPr>
        <w:drawing>
          <wp:anchor distT="0" distB="0" distL="114300" distR="114300" simplePos="0" relativeHeight="251659264" behindDoc="0" locked="0" layoutInCell="1" allowOverlap="1" wp14:anchorId="6733C020" wp14:editId="17C72E75">
            <wp:simplePos x="0" y="0"/>
            <wp:positionH relativeFrom="page">
              <wp:posOffset>2475865</wp:posOffset>
            </wp:positionH>
            <wp:positionV relativeFrom="paragraph">
              <wp:posOffset>1062355</wp:posOffset>
            </wp:positionV>
            <wp:extent cx="3620770" cy="657225"/>
            <wp:effectExtent l="0" t="0" r="0" b="952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clrChange>
                        <a:clrFrom>
                          <a:srgbClr val="FEFEFE"/>
                        </a:clrFrom>
                        <a:clrTo>
                          <a:srgbClr val="FEFEFE">
                            <a:alpha val="0"/>
                          </a:srgbClr>
                        </a:clrTo>
                      </a:clrChange>
                      <a:extLst>
                        <a:ext uri="{28A0092B-C50C-407E-A947-70E740481C1C}">
                          <a14:useLocalDpi xmlns:a14="http://schemas.microsoft.com/office/drawing/2010/main" val="0"/>
                        </a:ext>
                      </a:extLst>
                    </a:blip>
                    <a:srcRect l="35302" t="44783" r="15479" b="36400"/>
                    <a:stretch/>
                  </pic:blipFill>
                  <pic:spPr bwMode="auto">
                    <a:xfrm>
                      <a:off x="0" y="0"/>
                      <a:ext cx="3620770" cy="6572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5421E" w:rsidRPr="000F223D">
        <w:rPr>
          <w:rFonts w:ascii="Arial" w:hAnsi="Arial" w:cs="Arial"/>
          <w:sz w:val="22"/>
          <w:szCs w:val="22"/>
          <w:lang w:eastAsia="es-MX"/>
        </w:rPr>
        <w:t xml:space="preserve">A las ocho horas del día _____ de __________________ </w:t>
      </w:r>
      <w:proofErr w:type="spellStart"/>
      <w:r w:rsidR="00A5421E" w:rsidRPr="000F223D">
        <w:rPr>
          <w:rFonts w:ascii="Arial" w:hAnsi="Arial" w:cs="Arial"/>
          <w:sz w:val="22"/>
          <w:szCs w:val="22"/>
          <w:lang w:eastAsia="es-MX"/>
        </w:rPr>
        <w:t>de</w:t>
      </w:r>
      <w:proofErr w:type="spellEnd"/>
      <w:r w:rsidR="00A5421E" w:rsidRPr="000F223D">
        <w:rPr>
          <w:rFonts w:ascii="Arial" w:hAnsi="Arial" w:cs="Arial"/>
          <w:sz w:val="22"/>
          <w:szCs w:val="22"/>
          <w:lang w:eastAsia="es-MX"/>
        </w:rPr>
        <w:t xml:space="preserve"> _______, notifiqué el auto que antecede por lista que se fija y publica en los estrados de esta Comisión Estatal de Garantía de Acceso a la Información Pública, de conformidad con el artículo 46, fracción I, del Reglamento Interior de esta Comisión, para constancia legal. - - - - - - - - - - - - - - - - - - - - - - - - - - - </w:t>
      </w:r>
      <w:r>
        <w:rPr>
          <w:rFonts w:ascii="Arial" w:hAnsi="Arial" w:cs="Arial"/>
          <w:sz w:val="22"/>
          <w:szCs w:val="22"/>
          <w:lang w:eastAsia="es-MX"/>
        </w:rPr>
        <w:t>- - - - - - - - - -</w:t>
      </w:r>
      <w:r w:rsidR="00A5421E" w:rsidRPr="000F223D">
        <w:rPr>
          <w:rFonts w:ascii="Arial" w:hAnsi="Arial" w:cs="Arial"/>
          <w:sz w:val="22"/>
          <w:szCs w:val="22"/>
          <w:lang w:eastAsia="es-MX"/>
        </w:rPr>
        <w:t xml:space="preserve">- - DOY FE- - - </w:t>
      </w:r>
      <w:r>
        <w:rPr>
          <w:rFonts w:ascii="Arial" w:hAnsi="Arial" w:cs="Arial"/>
          <w:sz w:val="22"/>
          <w:szCs w:val="22"/>
          <w:lang w:eastAsia="es-MX"/>
        </w:rPr>
        <w:t xml:space="preserve">- - - - - - - - - - - - - - - - - - - - - - </w:t>
      </w:r>
    </w:p>
    <w:p w14:paraId="7D812588" w14:textId="393EB499" w:rsidR="00A5421E" w:rsidRPr="00A5421E" w:rsidRDefault="00A5421E" w:rsidP="00A5421E">
      <w:pPr>
        <w:spacing w:line="360" w:lineRule="auto"/>
        <w:ind w:firstLine="708"/>
        <w:jc w:val="both"/>
        <w:rPr>
          <w:rFonts w:ascii="Arial" w:hAnsi="Arial" w:cs="Arial"/>
          <w:b/>
          <w:lang w:eastAsia="es-MX"/>
        </w:rPr>
      </w:pPr>
    </w:p>
    <w:p w14:paraId="5E89C186" w14:textId="77777777" w:rsidR="00A5421E" w:rsidRPr="00A5421E" w:rsidRDefault="00A5421E" w:rsidP="00A5421E">
      <w:pPr>
        <w:spacing w:line="360" w:lineRule="auto"/>
        <w:ind w:firstLine="708"/>
        <w:jc w:val="both"/>
        <w:rPr>
          <w:rFonts w:ascii="Arial" w:hAnsi="Arial" w:cs="Arial"/>
          <w:b/>
          <w:lang w:eastAsia="es-MX"/>
        </w:rPr>
      </w:pPr>
    </w:p>
    <w:p w14:paraId="65D219E7" w14:textId="77777777" w:rsidR="00A5421E" w:rsidRPr="00A5421E" w:rsidRDefault="00A5421E" w:rsidP="00A5421E">
      <w:pPr>
        <w:spacing w:line="360" w:lineRule="auto"/>
        <w:ind w:firstLine="708"/>
        <w:jc w:val="center"/>
        <w:rPr>
          <w:rFonts w:ascii="Arial" w:hAnsi="Arial" w:cs="Arial"/>
          <w:b/>
          <w:lang w:eastAsia="es-MX"/>
        </w:rPr>
      </w:pPr>
      <w:r w:rsidRPr="00A5421E">
        <w:rPr>
          <w:rFonts w:ascii="Arial" w:hAnsi="Arial" w:cs="Arial"/>
          <w:b/>
          <w:lang w:eastAsia="es-MX"/>
        </w:rPr>
        <w:t>Lic. Javier Pérez Limón</w:t>
      </w:r>
    </w:p>
    <w:p w14:paraId="5BC46FB5" w14:textId="58B86370" w:rsidR="0093541A" w:rsidRPr="000F223D" w:rsidRDefault="00A5421E" w:rsidP="000F223D">
      <w:pPr>
        <w:spacing w:line="360" w:lineRule="auto"/>
        <w:ind w:firstLine="708"/>
        <w:jc w:val="center"/>
        <w:rPr>
          <w:rFonts w:ascii="Arial" w:hAnsi="Arial" w:cs="Arial"/>
          <w:b/>
          <w:lang w:eastAsia="es-MX"/>
        </w:rPr>
      </w:pPr>
      <w:r w:rsidRPr="00A5421E">
        <w:rPr>
          <w:rFonts w:ascii="Arial" w:hAnsi="Arial" w:cs="Arial"/>
          <w:b/>
          <w:lang w:eastAsia="es-MX"/>
        </w:rPr>
        <w:t>Notificador</w:t>
      </w:r>
    </w:p>
    <w:sectPr w:rsidR="0093541A" w:rsidRPr="000F223D" w:rsidSect="00E0037E">
      <w:headerReference w:type="default" r:id="rId10"/>
      <w:pgSz w:w="12240" w:h="20160" w:code="5"/>
      <w:pgMar w:top="2948" w:right="1418" w:bottom="283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796520" w14:textId="77777777" w:rsidR="00B67348" w:rsidRDefault="00B67348" w:rsidP="00BB58C4">
      <w:r>
        <w:separator/>
      </w:r>
    </w:p>
  </w:endnote>
  <w:endnote w:type="continuationSeparator" w:id="0">
    <w:p w14:paraId="25451299" w14:textId="77777777" w:rsidR="00B67348" w:rsidRDefault="00B67348" w:rsidP="00BB58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0718EF3" w14:textId="77777777" w:rsidR="00B67348" w:rsidRDefault="00B67348" w:rsidP="00BB58C4">
      <w:r>
        <w:separator/>
      </w:r>
    </w:p>
  </w:footnote>
  <w:footnote w:type="continuationSeparator" w:id="0">
    <w:p w14:paraId="6151D180" w14:textId="77777777" w:rsidR="00B67348" w:rsidRDefault="00B67348" w:rsidP="00BB58C4">
      <w:r>
        <w:continuationSeparator/>
      </w:r>
    </w:p>
  </w:footnote>
  <w:footnote w:id="1">
    <w:p w14:paraId="5B380578" w14:textId="77777777" w:rsidR="00100D36" w:rsidRPr="00762F3E" w:rsidRDefault="00100D36" w:rsidP="00100D36">
      <w:pPr>
        <w:pStyle w:val="Textonotapie"/>
      </w:pPr>
      <w:r>
        <w:rPr>
          <w:rStyle w:val="Refdenotaalpie"/>
        </w:rPr>
        <w:footnoteRef/>
      </w:r>
      <w:r>
        <w:t xml:space="preserve"> Cfr. RIA 200/21 y RIA 1018-22 Aprobada por UNANIMIDAD por el Pleno del INAI.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EBE29" w14:textId="7B5468F4" w:rsidR="00BD2B59" w:rsidRDefault="00BD2B59">
    <w:pPr>
      <w:pStyle w:val="Encabezado"/>
      <w:jc w:val="center"/>
    </w:pPr>
    <w:r>
      <w:rPr>
        <w:noProof/>
        <w:lang w:eastAsia="es-MX"/>
      </w:rPr>
      <w:drawing>
        <wp:anchor distT="0" distB="0" distL="114300" distR="114300" simplePos="0" relativeHeight="251659264" behindDoc="1" locked="0" layoutInCell="1" allowOverlap="1" wp14:anchorId="03EFB77B" wp14:editId="58CF992C">
          <wp:simplePos x="0" y="0"/>
          <wp:positionH relativeFrom="page">
            <wp:posOffset>20955</wp:posOffset>
          </wp:positionH>
          <wp:positionV relativeFrom="paragraph">
            <wp:posOffset>-526415</wp:posOffset>
          </wp:positionV>
          <wp:extent cx="8182335" cy="12877800"/>
          <wp:effectExtent l="0" t="0" r="9525"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B62FEB" w14:textId="18370400" w:rsidR="00E25AE4" w:rsidRDefault="00E25AE4">
    <w:pPr>
      <w:pStyle w:val="Encabezado"/>
      <w:jc w:val="center"/>
    </w:pPr>
  </w:p>
  <w:p w14:paraId="11A12D19" w14:textId="3F480893" w:rsidR="00E25AE4" w:rsidRDefault="0021422B" w:rsidP="0021422B">
    <w:pPr>
      <w:pStyle w:val="Encabezado"/>
      <w:tabs>
        <w:tab w:val="clear" w:pos="8504"/>
      </w:tabs>
    </w:pPr>
    <w:r>
      <w:tab/>
    </w:r>
    <w:r>
      <w:tab/>
    </w:r>
  </w:p>
  <w:p w14:paraId="3C5C0923" w14:textId="7EBD1A87" w:rsidR="00E25AE4" w:rsidRPr="0021422B" w:rsidRDefault="0021422B" w:rsidP="0093541A">
    <w:pPr>
      <w:pStyle w:val="Encabezado"/>
      <w:tabs>
        <w:tab w:val="clear" w:pos="8504"/>
        <w:tab w:val="left" w:pos="6885"/>
        <w:tab w:val="right" w:pos="8554"/>
      </w:tabs>
      <w:rPr>
        <w:rFonts w:ascii="Arial" w:hAnsi="Arial" w:cs="Arial"/>
        <w:sz w:val="26"/>
        <w:szCs w:val="26"/>
      </w:rPr>
    </w:pPr>
    <w:r>
      <w:tab/>
      <w:t xml:space="preserve">                                                                     </w:t>
    </w:r>
    <w:r w:rsidR="0093541A">
      <w:t xml:space="preserve">                                </w:t>
    </w:r>
    <w:r w:rsidRPr="0021422B">
      <w:rPr>
        <w:rFonts w:ascii="Arial" w:hAnsi="Arial" w:cs="Arial"/>
        <w:b/>
        <w:sz w:val="26"/>
        <w:szCs w:val="26"/>
      </w:rPr>
      <w:t xml:space="preserve">RR </w:t>
    </w:r>
    <w:r w:rsidR="00C13461">
      <w:rPr>
        <w:rFonts w:ascii="Arial" w:hAnsi="Arial" w:cs="Arial"/>
        <w:b/>
        <w:sz w:val="26"/>
        <w:szCs w:val="26"/>
      </w:rPr>
      <w:t>083</w:t>
    </w:r>
    <w:r w:rsidR="00AA103D">
      <w:rPr>
        <w:rFonts w:ascii="Arial" w:hAnsi="Arial" w:cs="Arial"/>
        <w:b/>
        <w:sz w:val="26"/>
        <w:szCs w:val="26"/>
      </w:rPr>
      <w:t>/202</w:t>
    </w:r>
    <w:r w:rsidR="00CC3B99">
      <w:rPr>
        <w:rFonts w:ascii="Arial" w:hAnsi="Arial" w:cs="Arial"/>
        <w:b/>
        <w:sz w:val="26"/>
        <w:szCs w:val="26"/>
      </w:rPr>
      <w:t>3</w:t>
    </w:r>
    <w:r w:rsidRPr="0021422B">
      <w:rPr>
        <w:rFonts w:ascii="Arial" w:hAnsi="Arial" w:cs="Arial"/>
        <w:b/>
        <w:sz w:val="26"/>
        <w:szCs w:val="26"/>
      </w:rPr>
      <w:t>-3</w:t>
    </w:r>
    <w:r w:rsidR="00AA103D">
      <w:rPr>
        <w:rFonts w:ascii="Arial" w:hAnsi="Arial" w:cs="Arial"/>
        <w:b/>
        <w:sz w:val="26"/>
        <w:szCs w:val="26"/>
      </w:rPr>
      <w:t xml:space="preserve"> OP</w:t>
    </w:r>
    <w:r w:rsidRPr="0021422B">
      <w:rPr>
        <w:rFonts w:ascii="Arial" w:hAnsi="Arial" w:cs="Arial"/>
        <w:sz w:val="26"/>
        <w:szCs w:val="26"/>
      </w:rPr>
      <w:tab/>
    </w:r>
  </w:p>
  <w:p w14:paraId="167ADC62" w14:textId="77777777" w:rsidR="00E25AE4" w:rsidRDefault="00E25AE4" w:rsidP="00E25AE4">
    <w:pPr>
      <w:pStyle w:val="Encabezado"/>
      <w:tabs>
        <w:tab w:val="left" w:pos="5954"/>
      </w:tabs>
      <w:jc w:val="right"/>
      <w:rPr>
        <w:sz w:val="20"/>
        <w:szCs w:val="20"/>
      </w:rPr>
    </w:pPr>
  </w:p>
  <w:p w14:paraId="2E3B98D4" w14:textId="77777777" w:rsidR="00E25AE4" w:rsidRDefault="00E25AE4">
    <w:pPr>
      <w:pStyle w:val="Encabezado"/>
      <w:jc w:val="center"/>
    </w:pPr>
  </w:p>
  <w:p w14:paraId="4E5FFEF8" w14:textId="46E567DF" w:rsidR="00BB58C4" w:rsidRDefault="00BB58C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0204BC"/>
    <w:multiLevelType w:val="hybridMultilevel"/>
    <w:tmpl w:val="4620867A"/>
    <w:lvl w:ilvl="0" w:tplc="867839DE">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5E17A7D"/>
    <w:multiLevelType w:val="hybridMultilevel"/>
    <w:tmpl w:val="324866B8"/>
    <w:lvl w:ilvl="0" w:tplc="29309BF0">
      <w:start w:val="1"/>
      <w:numFmt w:val="upperRoman"/>
      <w:lvlText w:val="%1."/>
      <w:lvlJc w:val="left"/>
      <w:pPr>
        <w:ind w:left="436" w:hanging="720"/>
      </w:pPr>
      <w:rPr>
        <w:rFonts w:ascii="Arial" w:eastAsia="Arial Unicode MS" w:hAnsi="Arial" w:cs="Arial"/>
        <w:b w:val="0"/>
        <w:i w:val="0"/>
      </w:rPr>
    </w:lvl>
    <w:lvl w:ilvl="1" w:tplc="080A0019">
      <w:start w:val="1"/>
      <w:numFmt w:val="lowerLetter"/>
      <w:lvlText w:val="%2."/>
      <w:lvlJc w:val="left"/>
      <w:pPr>
        <w:ind w:left="796" w:hanging="360"/>
      </w:pPr>
    </w:lvl>
    <w:lvl w:ilvl="2" w:tplc="080A001B" w:tentative="1">
      <w:start w:val="1"/>
      <w:numFmt w:val="lowerRoman"/>
      <w:lvlText w:val="%3."/>
      <w:lvlJc w:val="right"/>
      <w:pPr>
        <w:ind w:left="1516" w:hanging="180"/>
      </w:pPr>
    </w:lvl>
    <w:lvl w:ilvl="3" w:tplc="080A000F" w:tentative="1">
      <w:start w:val="1"/>
      <w:numFmt w:val="decimal"/>
      <w:lvlText w:val="%4."/>
      <w:lvlJc w:val="left"/>
      <w:pPr>
        <w:ind w:left="2236" w:hanging="360"/>
      </w:pPr>
    </w:lvl>
    <w:lvl w:ilvl="4" w:tplc="080A0019" w:tentative="1">
      <w:start w:val="1"/>
      <w:numFmt w:val="lowerLetter"/>
      <w:lvlText w:val="%5."/>
      <w:lvlJc w:val="left"/>
      <w:pPr>
        <w:ind w:left="2956" w:hanging="360"/>
      </w:pPr>
    </w:lvl>
    <w:lvl w:ilvl="5" w:tplc="080A001B" w:tentative="1">
      <w:start w:val="1"/>
      <w:numFmt w:val="lowerRoman"/>
      <w:lvlText w:val="%6."/>
      <w:lvlJc w:val="right"/>
      <w:pPr>
        <w:ind w:left="3676" w:hanging="180"/>
      </w:pPr>
    </w:lvl>
    <w:lvl w:ilvl="6" w:tplc="080A000F" w:tentative="1">
      <w:start w:val="1"/>
      <w:numFmt w:val="decimal"/>
      <w:lvlText w:val="%7."/>
      <w:lvlJc w:val="left"/>
      <w:pPr>
        <w:ind w:left="4396" w:hanging="360"/>
      </w:pPr>
    </w:lvl>
    <w:lvl w:ilvl="7" w:tplc="080A0019" w:tentative="1">
      <w:start w:val="1"/>
      <w:numFmt w:val="lowerLetter"/>
      <w:lvlText w:val="%8."/>
      <w:lvlJc w:val="left"/>
      <w:pPr>
        <w:ind w:left="5116" w:hanging="360"/>
      </w:pPr>
    </w:lvl>
    <w:lvl w:ilvl="8" w:tplc="080A001B" w:tentative="1">
      <w:start w:val="1"/>
      <w:numFmt w:val="lowerRoman"/>
      <w:lvlText w:val="%9."/>
      <w:lvlJc w:val="right"/>
      <w:pPr>
        <w:ind w:left="5836" w:hanging="180"/>
      </w:pPr>
    </w:lvl>
  </w:abstractNum>
  <w:abstractNum w:abstractNumId="2" w15:restartNumberingAfterBreak="0">
    <w:nsid w:val="18C164C4"/>
    <w:multiLevelType w:val="hybridMultilevel"/>
    <w:tmpl w:val="E124CC3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3" w15:restartNumberingAfterBreak="0">
    <w:nsid w:val="18DE2300"/>
    <w:multiLevelType w:val="hybridMultilevel"/>
    <w:tmpl w:val="9C8C12DE"/>
    <w:lvl w:ilvl="0" w:tplc="A40619A2">
      <w:start w:val="1"/>
      <w:numFmt w:val="bullet"/>
      <w:lvlText w:val=""/>
      <w:lvlJc w:val="left"/>
      <w:pPr>
        <w:ind w:left="720" w:hanging="360"/>
      </w:pPr>
      <w:rPr>
        <w:rFonts w:ascii="Symbol" w:eastAsia="Times New Roman"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17533E2"/>
    <w:multiLevelType w:val="hybridMultilevel"/>
    <w:tmpl w:val="6B3E97C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 w15:restartNumberingAfterBreak="0">
    <w:nsid w:val="35FE131E"/>
    <w:multiLevelType w:val="hybridMultilevel"/>
    <w:tmpl w:val="338A88E4"/>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6" w15:restartNumberingAfterBreak="0">
    <w:nsid w:val="4D713629"/>
    <w:multiLevelType w:val="hybridMultilevel"/>
    <w:tmpl w:val="E86E75FE"/>
    <w:lvl w:ilvl="0" w:tplc="94C83028">
      <w:start w:val="1"/>
      <w:numFmt w:val="upperRoman"/>
      <w:lvlText w:val="%1."/>
      <w:lvlJc w:val="left"/>
      <w:pPr>
        <w:ind w:left="1428" w:hanging="720"/>
      </w:p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7" w15:restartNumberingAfterBreak="0">
    <w:nsid w:val="595B4FA8"/>
    <w:multiLevelType w:val="hybridMultilevel"/>
    <w:tmpl w:val="794E2E8E"/>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8" w15:restartNumberingAfterBreak="0">
    <w:nsid w:val="5C2F3B16"/>
    <w:multiLevelType w:val="hybridMultilevel"/>
    <w:tmpl w:val="102470F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9" w15:restartNumberingAfterBreak="0">
    <w:nsid w:val="5FB1461A"/>
    <w:multiLevelType w:val="hybridMultilevel"/>
    <w:tmpl w:val="1D74560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733E6AA1"/>
    <w:multiLevelType w:val="hybridMultilevel"/>
    <w:tmpl w:val="1B70D6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7EBF3FC8"/>
    <w:multiLevelType w:val="hybridMultilevel"/>
    <w:tmpl w:val="2340A3F4"/>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7F5236F5"/>
    <w:multiLevelType w:val="hybridMultilevel"/>
    <w:tmpl w:val="3168BBB6"/>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3"/>
  </w:num>
  <w:num w:numId="4">
    <w:abstractNumId w:val="0"/>
  </w:num>
  <w:num w:numId="5">
    <w:abstractNumId w:val="2"/>
  </w:num>
  <w:num w:numId="6">
    <w:abstractNumId w:val="1"/>
  </w:num>
  <w:num w:numId="7">
    <w:abstractNumId w:val="5"/>
  </w:num>
  <w:num w:numId="8">
    <w:abstractNumId w:val="8"/>
  </w:num>
  <w:num w:numId="9">
    <w:abstractNumId w:val="10"/>
  </w:num>
  <w:num w:numId="10">
    <w:abstractNumId w:val="12"/>
  </w:num>
  <w:num w:numId="11">
    <w:abstractNumId w:val="11"/>
  </w:num>
  <w:num w:numId="12">
    <w:abstractNumId w:val="9"/>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A6F40"/>
    <w:rsid w:val="000B31BD"/>
    <w:rsid w:val="000E016B"/>
    <w:rsid w:val="000F223D"/>
    <w:rsid w:val="000F76BA"/>
    <w:rsid w:val="00100D36"/>
    <w:rsid w:val="001646CB"/>
    <w:rsid w:val="001B442D"/>
    <w:rsid w:val="001B6E50"/>
    <w:rsid w:val="0021422B"/>
    <w:rsid w:val="0024671F"/>
    <w:rsid w:val="00246B7B"/>
    <w:rsid w:val="002701E9"/>
    <w:rsid w:val="002B1ACA"/>
    <w:rsid w:val="002B6959"/>
    <w:rsid w:val="002E37B1"/>
    <w:rsid w:val="002E5CB5"/>
    <w:rsid w:val="003143BF"/>
    <w:rsid w:val="003153D3"/>
    <w:rsid w:val="0031704A"/>
    <w:rsid w:val="003D0E86"/>
    <w:rsid w:val="00415B78"/>
    <w:rsid w:val="00461F00"/>
    <w:rsid w:val="00471043"/>
    <w:rsid w:val="004861AD"/>
    <w:rsid w:val="00541994"/>
    <w:rsid w:val="005612AE"/>
    <w:rsid w:val="005A54CC"/>
    <w:rsid w:val="005B557F"/>
    <w:rsid w:val="005E344F"/>
    <w:rsid w:val="00616335"/>
    <w:rsid w:val="00617E9F"/>
    <w:rsid w:val="00656139"/>
    <w:rsid w:val="00662909"/>
    <w:rsid w:val="006E7021"/>
    <w:rsid w:val="00737808"/>
    <w:rsid w:val="00760627"/>
    <w:rsid w:val="00777F6B"/>
    <w:rsid w:val="00783AAA"/>
    <w:rsid w:val="007957A2"/>
    <w:rsid w:val="0080725F"/>
    <w:rsid w:val="0083083D"/>
    <w:rsid w:val="008374D4"/>
    <w:rsid w:val="00847F9F"/>
    <w:rsid w:val="008955A7"/>
    <w:rsid w:val="008C3844"/>
    <w:rsid w:val="008C6604"/>
    <w:rsid w:val="00911D32"/>
    <w:rsid w:val="0093057A"/>
    <w:rsid w:val="00930BE0"/>
    <w:rsid w:val="0093541A"/>
    <w:rsid w:val="009459A4"/>
    <w:rsid w:val="00952E8B"/>
    <w:rsid w:val="00953DF5"/>
    <w:rsid w:val="009B792E"/>
    <w:rsid w:val="00A43468"/>
    <w:rsid w:val="00A43A1F"/>
    <w:rsid w:val="00A52F42"/>
    <w:rsid w:val="00A5421E"/>
    <w:rsid w:val="00A543D8"/>
    <w:rsid w:val="00A5546D"/>
    <w:rsid w:val="00A706BB"/>
    <w:rsid w:val="00A810E4"/>
    <w:rsid w:val="00A94ED6"/>
    <w:rsid w:val="00AA103D"/>
    <w:rsid w:val="00AD0240"/>
    <w:rsid w:val="00AD117D"/>
    <w:rsid w:val="00B2223F"/>
    <w:rsid w:val="00B24175"/>
    <w:rsid w:val="00B4223C"/>
    <w:rsid w:val="00B53715"/>
    <w:rsid w:val="00B60FFC"/>
    <w:rsid w:val="00B67348"/>
    <w:rsid w:val="00B93195"/>
    <w:rsid w:val="00BB58C4"/>
    <w:rsid w:val="00BD26E6"/>
    <w:rsid w:val="00BD2B59"/>
    <w:rsid w:val="00BE7281"/>
    <w:rsid w:val="00BF6E0C"/>
    <w:rsid w:val="00BF76BC"/>
    <w:rsid w:val="00C13461"/>
    <w:rsid w:val="00C51BA1"/>
    <w:rsid w:val="00C944A9"/>
    <w:rsid w:val="00CA0DED"/>
    <w:rsid w:val="00CA1F7C"/>
    <w:rsid w:val="00CC2CC1"/>
    <w:rsid w:val="00CC3B99"/>
    <w:rsid w:val="00CF245A"/>
    <w:rsid w:val="00D62B6C"/>
    <w:rsid w:val="00DA5BF2"/>
    <w:rsid w:val="00DB01C6"/>
    <w:rsid w:val="00DD56C0"/>
    <w:rsid w:val="00DE096C"/>
    <w:rsid w:val="00DF0A91"/>
    <w:rsid w:val="00E0037E"/>
    <w:rsid w:val="00E014D4"/>
    <w:rsid w:val="00E25AE4"/>
    <w:rsid w:val="00EC5815"/>
    <w:rsid w:val="00EE640D"/>
    <w:rsid w:val="00F468F3"/>
    <w:rsid w:val="00F54907"/>
    <w:rsid w:val="00F736D2"/>
    <w:rsid w:val="00F812A8"/>
    <w:rsid w:val="00F83B11"/>
    <w:rsid w:val="00FB0927"/>
    <w:rsid w:val="00FB217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103D"/>
    <w:pPr>
      <w:spacing w:after="0" w:line="240" w:lineRule="auto"/>
    </w:pPr>
    <w:rPr>
      <w:rFonts w:ascii="Times New Roman" w:eastAsia="Times New Roman" w:hAnsi="Times New Roman" w:cs="Times New Roman"/>
      <w:sz w:val="24"/>
      <w:szCs w:val="24"/>
      <w:lang w:val="es-MX"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pPr>
  </w:style>
  <w:style w:type="character" w:customStyle="1" w:styleId="PiedepginaCar">
    <w:name w:val="Pie de página Car"/>
    <w:basedOn w:val="Fuentedeprrafopredeter"/>
    <w:link w:val="Piedepgina"/>
    <w:uiPriority w:val="99"/>
    <w:rsid w:val="00BB58C4"/>
  </w:style>
  <w:style w:type="table" w:styleId="Tablaconcuadrcula">
    <w:name w:val="Table Grid"/>
    <w:basedOn w:val="Tablanormal"/>
    <w:uiPriority w:val="59"/>
    <w:rsid w:val="0093057A"/>
    <w:pPr>
      <w:spacing w:after="0" w:line="240" w:lineRule="auto"/>
    </w:pPr>
    <w:rPr>
      <w:rFonts w:eastAsia="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93057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93057A"/>
    <w:pPr>
      <w:jc w:val="both"/>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3057A"/>
    <w:rPr>
      <w:rFonts w:eastAsia="Times New Roman" w:cs="Times New Roman"/>
      <w:sz w:val="20"/>
      <w:szCs w:val="20"/>
      <w:lang w:val="es-MX"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93057A"/>
    <w:pPr>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3057A"/>
    <w:rPr>
      <w:lang w:val="es-MX"/>
    </w:rPr>
  </w:style>
  <w:style w:type="character" w:styleId="Hipervnculo">
    <w:name w:val="Hyperlink"/>
    <w:basedOn w:val="Fuentedeprrafopredeter"/>
    <w:uiPriority w:val="99"/>
    <w:unhideWhenUsed/>
    <w:rsid w:val="00471043"/>
    <w:rPr>
      <w:color w:val="0563C1" w:themeColor="hyperlink"/>
      <w:u w:val="single"/>
    </w:rPr>
  </w:style>
  <w:style w:type="paragraph" w:styleId="Textodeglobo">
    <w:name w:val="Balloon Text"/>
    <w:basedOn w:val="Normal"/>
    <w:link w:val="TextodegloboCar"/>
    <w:uiPriority w:val="99"/>
    <w:semiHidden/>
    <w:unhideWhenUsed/>
    <w:rsid w:val="008C660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C6604"/>
    <w:rPr>
      <w:rFonts w:ascii="Segoe UI" w:hAnsi="Segoe UI" w:cs="Segoe UI"/>
      <w:sz w:val="18"/>
      <w:szCs w:val="18"/>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AbrirModal(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C212B2-07F3-4D9D-82F5-6F8D0E31D1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6</Pages>
  <Words>1636</Words>
  <Characters>9002</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Servicio social</cp:lastModifiedBy>
  <cp:revision>11</cp:revision>
  <cp:lastPrinted>2024-08-16T18:13:00Z</cp:lastPrinted>
  <dcterms:created xsi:type="dcterms:W3CDTF">2024-04-05T19:36:00Z</dcterms:created>
  <dcterms:modified xsi:type="dcterms:W3CDTF">2024-08-16T19:12:00Z</dcterms:modified>
</cp:coreProperties>
</file>